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rPr>
          <w:rFonts w:hint="default" w:ascii="Times New Roman" w:hAnsi="Times New Roman" w:eastAsia="仿宋_GB2312" w:cs="Times New Roman"/>
          <w:sz w:val="36"/>
          <w:szCs w:val="36"/>
          <w:highlight w:val="yellow"/>
          <w:lang w:val="en-US" w:eastAsia="zh-CN"/>
        </w:rPr>
      </w:pPr>
    </w:p>
    <w:p>
      <w:pPr>
        <w:spacing w:beforeLines="0" w:afterLines="0"/>
        <w:rPr>
          <w:rFonts w:hint="default" w:ascii="Times New Roman" w:hAnsi="Times New Roman" w:eastAsia="仿宋_GB2312" w:cs="Times New Roman"/>
          <w:sz w:val="36"/>
          <w:szCs w:val="36"/>
          <w:highlight w:val="yellow"/>
        </w:rPr>
      </w:pPr>
    </w:p>
    <w:p>
      <w:pPr>
        <w:spacing w:beforeLines="0" w:afterLines="0"/>
        <w:rPr>
          <w:rFonts w:hint="default" w:ascii="Times New Roman" w:hAnsi="Times New Roman" w:eastAsia="仿宋_GB2312" w:cs="Times New Roman"/>
          <w:sz w:val="36"/>
          <w:szCs w:val="36"/>
          <w:highlight w:val="yellow"/>
        </w:rPr>
      </w:pPr>
    </w:p>
    <w:p>
      <w:pPr>
        <w:spacing w:beforeLines="0" w:afterLines="0"/>
        <w:rPr>
          <w:rFonts w:hint="default" w:ascii="Times New Roman" w:hAnsi="Times New Roman" w:eastAsia="仿宋_GB2312" w:cs="Times New Roman"/>
          <w:sz w:val="36"/>
          <w:szCs w:val="36"/>
          <w:highlight w:val="yellow"/>
        </w:rPr>
      </w:pPr>
    </w:p>
    <w:p>
      <w:pPr>
        <w:spacing w:beforeLines="0" w:afterLines="0"/>
        <w:rPr>
          <w:rFonts w:hint="eastAsia" w:ascii="宋体" w:hAnsi="宋体" w:eastAsia="宋体" w:cs="宋体"/>
          <w:sz w:val="36"/>
          <w:szCs w:val="36"/>
          <w:highlight w:val="none"/>
        </w:rPr>
      </w:pPr>
    </w:p>
    <w:p>
      <w:pPr>
        <w:adjustRightInd w:val="0"/>
        <w:snapToGrid w:val="0"/>
        <w:spacing w:beforeLines="0" w:afterLines="0"/>
        <w:jc w:val="center"/>
        <w:outlineLvl w:val="0"/>
        <w:rPr>
          <w:rFonts w:hint="eastAsia" w:ascii="宋体" w:hAnsi="宋体" w:eastAsia="宋体" w:cs="宋体"/>
          <w:sz w:val="72"/>
          <w:szCs w:val="24"/>
          <w:highlight w:val="none"/>
        </w:rPr>
      </w:pPr>
      <w:r>
        <w:rPr>
          <w:rFonts w:hint="eastAsia" w:ascii="宋体" w:hAnsi="宋体" w:eastAsia="宋体" w:cs="宋体"/>
          <w:sz w:val="72"/>
          <w:szCs w:val="24"/>
          <w:highlight w:val="none"/>
        </w:rPr>
        <w:t>建设项目环境影响报告表</w:t>
      </w:r>
    </w:p>
    <w:p>
      <w:pPr>
        <w:adjustRightInd w:val="0"/>
        <w:snapToGrid w:val="0"/>
        <w:spacing w:before="192" w:beforeLines="80" w:afterLines="0"/>
        <w:jc w:val="center"/>
        <w:rPr>
          <w:rFonts w:hint="eastAsia" w:ascii="宋体" w:hAnsi="宋体" w:eastAsia="宋体" w:cs="宋体"/>
          <w:sz w:val="48"/>
          <w:szCs w:val="24"/>
          <w:highlight w:val="none"/>
        </w:rPr>
      </w:pPr>
      <w:r>
        <w:rPr>
          <w:rFonts w:hint="eastAsia" w:ascii="宋体" w:hAnsi="宋体" w:eastAsia="宋体" w:cs="宋体"/>
          <w:sz w:val="48"/>
          <w:szCs w:val="24"/>
          <w:highlight w:val="none"/>
        </w:rPr>
        <w:t>（污染影响类）</w:t>
      </w:r>
    </w:p>
    <w:p>
      <w:pPr>
        <w:adjustRightInd w:val="0"/>
        <w:snapToGrid w:val="0"/>
        <w:spacing w:beforeLines="0" w:afterLines="0" w:line="288" w:lineRule="auto"/>
        <w:jc w:val="center"/>
        <w:outlineLvl w:val="0"/>
        <w:rPr>
          <w:rFonts w:hint="eastAsia" w:ascii="宋体" w:hAnsi="宋体" w:eastAsia="宋体" w:cs="宋体"/>
          <w:color w:val="000000"/>
          <w:kern w:val="44"/>
          <w:sz w:val="44"/>
          <w:szCs w:val="44"/>
          <w:highlight w:val="none"/>
        </w:rPr>
      </w:pPr>
    </w:p>
    <w:p>
      <w:pPr>
        <w:spacing w:beforeLines="0" w:afterLines="0"/>
        <w:jc w:val="center"/>
        <w:rPr>
          <w:rFonts w:hint="eastAsia" w:ascii="宋体" w:hAnsi="宋体" w:eastAsia="宋体" w:cs="宋体"/>
          <w:sz w:val="52"/>
          <w:szCs w:val="24"/>
          <w:highlight w:val="none"/>
        </w:rPr>
      </w:pPr>
    </w:p>
    <w:p>
      <w:pPr>
        <w:spacing w:beforeLines="0" w:afterLines="0"/>
        <w:ind w:firstLine="1040"/>
        <w:rPr>
          <w:rFonts w:hint="eastAsia" w:ascii="宋体" w:hAnsi="宋体" w:eastAsia="宋体" w:cs="宋体"/>
          <w:sz w:val="44"/>
          <w:szCs w:val="24"/>
          <w:highlight w:val="none"/>
        </w:rPr>
      </w:pPr>
    </w:p>
    <w:p>
      <w:pPr>
        <w:spacing w:beforeLines="0" w:afterLines="0"/>
        <w:rPr>
          <w:rFonts w:hint="eastAsia" w:ascii="宋体" w:hAnsi="宋体" w:eastAsia="宋体" w:cs="宋体"/>
          <w:sz w:val="44"/>
          <w:szCs w:val="24"/>
          <w:highlight w:val="none"/>
        </w:rPr>
      </w:pPr>
    </w:p>
    <w:p>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2558" w:leftChars="399" w:hanging="1600" w:hangingChars="500"/>
        <w:textAlignment w:val="auto"/>
        <w:rPr>
          <w:rFonts w:hint="eastAsia" w:ascii="宋体" w:hAnsi="宋体" w:eastAsia="宋体" w:cs="宋体"/>
          <w:sz w:val="32"/>
          <w:szCs w:val="32"/>
          <w:highlight w:val="none"/>
          <w:u w:val="single"/>
          <w:lang w:val="en-US" w:eastAsia="zh-CN"/>
        </w:rPr>
      </w:pPr>
      <w:r>
        <w:rPr>
          <w:rFonts w:hint="eastAsia" w:ascii="宋体" w:hAnsi="宋体" w:eastAsia="宋体" w:cs="宋体"/>
          <w:sz w:val="32"/>
          <w:szCs w:val="32"/>
          <w:highlight w:val="none"/>
        </w:rPr>
        <w:t>项目名称：</w:t>
      </w:r>
      <w:r>
        <w:rPr>
          <w:rFonts w:hint="eastAsia" w:ascii="宋体" w:hAnsi="宋体" w:eastAsia="宋体" w:cs="宋体"/>
          <w:color w:val="FF0000"/>
          <w:sz w:val="32"/>
          <w:szCs w:val="32"/>
          <w:highlight w:val="none"/>
          <w:u w:val="single"/>
          <w:lang w:val="en-US" w:eastAsia="zh-CN"/>
        </w:rPr>
        <w:t>锡林郭勒盟建安工贸有限责任公司彩钢板生产项目</w:t>
      </w:r>
    </w:p>
    <w:p>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1037"/>
        <w:textAlignment w:val="auto"/>
        <w:rPr>
          <w:rFonts w:hint="eastAsia" w:ascii="宋体" w:hAnsi="宋体" w:eastAsia="宋体" w:cs="宋体"/>
          <w:sz w:val="32"/>
          <w:szCs w:val="32"/>
          <w:highlight w:val="none"/>
          <w:u w:val="single"/>
          <w:lang w:eastAsia="zh-CN"/>
        </w:rPr>
      </w:pPr>
      <w:r>
        <w:rPr>
          <w:rFonts w:hint="eastAsia" w:ascii="宋体" w:hAnsi="宋体" w:eastAsia="宋体" w:cs="宋体"/>
          <w:sz w:val="32"/>
          <w:szCs w:val="32"/>
          <w:highlight w:val="none"/>
        </w:rPr>
        <w:t>建设单位（盖章）：</w:t>
      </w:r>
      <w:r>
        <w:rPr>
          <w:rFonts w:hint="eastAsia" w:ascii="宋体" w:hAnsi="宋体" w:eastAsia="宋体" w:cs="宋体"/>
          <w:sz w:val="32"/>
          <w:szCs w:val="32"/>
          <w:highlight w:val="none"/>
          <w:u w:val="single"/>
          <w:lang w:eastAsia="zh-CN"/>
        </w:rPr>
        <w:t>锡林郭勒盟建安工贸有限责任公司</w:t>
      </w:r>
    </w:p>
    <w:p>
      <w:pPr>
        <w:keepNext w:val="0"/>
        <w:keepLines w:val="0"/>
        <w:pageBreakBefore w:val="0"/>
        <w:widowControl w:val="0"/>
        <w:kinsoku/>
        <w:wordWrap/>
        <w:overflowPunct/>
        <w:topLinePunct w:val="0"/>
        <w:autoSpaceDE/>
        <w:autoSpaceDN/>
        <w:bidi w:val="0"/>
        <w:adjustRightInd w:val="0"/>
        <w:snapToGrid w:val="0"/>
        <w:spacing w:beforeLines="0" w:afterLines="0" w:line="360" w:lineRule="auto"/>
        <w:ind w:firstLine="1037"/>
        <w:textAlignment w:val="auto"/>
        <w:rPr>
          <w:rFonts w:hint="eastAsia" w:ascii="宋体" w:hAnsi="宋体" w:eastAsia="宋体" w:cs="宋体"/>
          <w:sz w:val="32"/>
          <w:szCs w:val="32"/>
          <w:highlight w:val="none"/>
          <w:u w:val="single"/>
          <w:lang w:val="en-US" w:eastAsia="zh-CN"/>
        </w:rPr>
      </w:pPr>
      <w:r>
        <w:rPr>
          <w:rFonts w:hint="eastAsia" w:ascii="宋体" w:hAnsi="宋体" w:eastAsia="宋体" w:cs="宋体"/>
          <w:sz w:val="32"/>
          <w:szCs w:val="32"/>
          <w:highlight w:val="none"/>
        </w:rPr>
        <w:t>编制日期：</w:t>
      </w:r>
      <w:r>
        <w:rPr>
          <w:rFonts w:hint="eastAsia" w:ascii="Times New Roman" w:hAnsi="Times New Roman" w:eastAsia="宋体" w:cs="宋体"/>
          <w:sz w:val="32"/>
          <w:szCs w:val="32"/>
          <w:highlight w:val="none"/>
          <w:u w:val="single"/>
          <w:lang w:val="en-US" w:eastAsia="zh-CN"/>
        </w:rPr>
        <w:t>2022</w:t>
      </w:r>
      <w:r>
        <w:rPr>
          <w:rFonts w:hint="eastAsia" w:ascii="宋体" w:hAnsi="宋体" w:eastAsia="宋体" w:cs="宋体"/>
          <w:sz w:val="32"/>
          <w:szCs w:val="32"/>
          <w:highlight w:val="none"/>
          <w:u w:val="single"/>
          <w:lang w:val="en-US" w:eastAsia="zh-CN"/>
        </w:rPr>
        <w:t>年</w:t>
      </w:r>
      <w:r>
        <w:rPr>
          <w:rFonts w:hint="eastAsia" w:ascii="Times New Roman" w:hAnsi="Times New Roman" w:eastAsia="宋体" w:cs="宋体"/>
          <w:sz w:val="32"/>
          <w:szCs w:val="32"/>
          <w:highlight w:val="none"/>
          <w:u w:val="single"/>
          <w:lang w:val="en-US" w:eastAsia="zh-CN"/>
        </w:rPr>
        <w:t>4</w:t>
      </w:r>
      <w:r>
        <w:rPr>
          <w:rFonts w:hint="eastAsia" w:ascii="宋体" w:hAnsi="宋体" w:eastAsia="宋体" w:cs="宋体"/>
          <w:sz w:val="32"/>
          <w:szCs w:val="32"/>
          <w:highlight w:val="none"/>
          <w:u w:val="single"/>
          <w:lang w:val="en-US" w:eastAsia="zh-CN"/>
        </w:rPr>
        <w:t>月</w:t>
      </w:r>
    </w:p>
    <w:p>
      <w:pPr>
        <w:adjustRightInd w:val="0"/>
        <w:snapToGrid w:val="0"/>
        <w:spacing w:beforeLines="0" w:afterLines="0" w:line="288" w:lineRule="auto"/>
        <w:ind w:firstLine="1040"/>
        <w:rPr>
          <w:rFonts w:hint="eastAsia" w:ascii="宋体" w:hAnsi="宋体" w:eastAsia="宋体" w:cs="宋体"/>
          <w:sz w:val="36"/>
          <w:szCs w:val="24"/>
          <w:highlight w:val="none"/>
          <w:u w:val="single"/>
          <w:lang w:eastAsia="zh-CN"/>
        </w:rPr>
      </w:pPr>
      <w:bookmarkStart w:id="0" w:name="_Hlk57884087"/>
    </w:p>
    <w:p>
      <w:pPr>
        <w:adjustRightInd w:val="0"/>
        <w:snapToGrid w:val="0"/>
        <w:spacing w:beforeLines="0" w:afterLines="0" w:line="288" w:lineRule="auto"/>
        <w:ind w:firstLine="1040"/>
        <w:rPr>
          <w:rFonts w:hint="eastAsia" w:ascii="宋体" w:hAnsi="宋体" w:eastAsia="宋体" w:cs="宋体"/>
          <w:sz w:val="36"/>
          <w:szCs w:val="24"/>
          <w:highlight w:val="none"/>
        </w:rPr>
      </w:pPr>
    </w:p>
    <w:p>
      <w:pPr>
        <w:adjustRightInd w:val="0"/>
        <w:snapToGrid w:val="0"/>
        <w:spacing w:beforeLines="0" w:afterLines="0" w:line="288" w:lineRule="auto"/>
        <w:ind w:firstLine="1040"/>
        <w:rPr>
          <w:rFonts w:hint="eastAsia" w:ascii="宋体" w:hAnsi="宋体" w:eastAsia="宋体" w:cs="宋体"/>
          <w:sz w:val="36"/>
          <w:szCs w:val="24"/>
          <w:highlight w:val="none"/>
        </w:rPr>
      </w:pPr>
    </w:p>
    <w:bookmarkEnd w:id="0"/>
    <w:p>
      <w:pPr>
        <w:adjustRightInd w:val="0"/>
        <w:snapToGrid w:val="0"/>
        <w:spacing w:beforeLines="0" w:afterLines="0" w:line="288" w:lineRule="auto"/>
        <w:jc w:val="both"/>
        <w:rPr>
          <w:rFonts w:hint="eastAsia" w:ascii="宋体" w:hAnsi="宋体" w:eastAsia="宋体" w:cs="宋体"/>
          <w:sz w:val="36"/>
          <w:szCs w:val="24"/>
          <w:highlight w:val="none"/>
        </w:rPr>
      </w:pPr>
    </w:p>
    <w:p>
      <w:pPr>
        <w:adjustRightInd w:val="0"/>
        <w:snapToGrid w:val="0"/>
        <w:spacing w:beforeLines="0" w:afterLines="0" w:line="288" w:lineRule="auto"/>
        <w:ind w:left="0" w:leftChars="0" w:right="0" w:rightChars="0" w:firstLine="0" w:firstLineChars="0"/>
        <w:jc w:val="center"/>
        <w:rPr>
          <w:rFonts w:hint="eastAsia" w:ascii="宋体" w:hAnsi="宋体" w:eastAsia="宋体" w:cs="宋体"/>
          <w:sz w:val="36"/>
          <w:szCs w:val="24"/>
          <w:highlight w:val="yellow"/>
        </w:rPr>
      </w:pPr>
      <w:r>
        <w:rPr>
          <w:rFonts w:hint="eastAsia" w:ascii="宋体" w:hAnsi="宋体" w:eastAsia="宋体" w:cs="宋体"/>
          <w:sz w:val="36"/>
          <w:szCs w:val="24"/>
          <w:highlight w:val="none"/>
        </w:rPr>
        <w:t>中华人民共和国生态环境部制</w:t>
      </w:r>
    </w:p>
    <w:p>
      <w:pPr>
        <w:adjustRightInd w:val="0"/>
        <w:snapToGrid w:val="0"/>
        <w:spacing w:beforeLines="0" w:afterLines="0" w:line="288" w:lineRule="auto"/>
        <w:ind w:firstLine="1040"/>
        <w:rPr>
          <w:rFonts w:hint="default" w:ascii="Times New Roman" w:hAnsi="Times New Roman" w:eastAsia="仿宋_GB2312" w:cs="Times New Roman"/>
          <w:sz w:val="36"/>
          <w:szCs w:val="24"/>
          <w:highlight w:val="yellow"/>
        </w:rPr>
        <w:sectPr>
          <w:footerReference r:id="rId4" w:type="default"/>
          <w:pgSz w:w="11906" w:h="16838"/>
          <w:pgMar w:top="1701" w:right="1531" w:bottom="1701" w:left="1531" w:header="851" w:footer="1077" w:gutter="0"/>
          <w:pgBorders>
            <w:top w:val="none" w:sz="0" w:space="0"/>
            <w:left w:val="none" w:sz="0" w:space="0"/>
            <w:bottom w:val="none" w:sz="0" w:space="0"/>
            <w:right w:val="none" w:sz="0" w:space="0"/>
          </w:pgBorders>
          <w:lnNumType w:countBy="0" w:distance="360"/>
          <w:pgNumType w:start="3"/>
          <w:cols w:space="720" w:num="1"/>
          <w:docGrid w:type="lines" w:linePitch="312" w:charSpace="0"/>
        </w:sectPr>
      </w:pPr>
    </w:p>
    <w:p>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一、建设项目基本情况</w:t>
      </w:r>
    </w:p>
    <w:tbl>
      <w:tblPr>
        <w:tblStyle w:val="21"/>
        <w:tblW w:w="889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403"/>
        <w:gridCol w:w="1637"/>
        <w:gridCol w:w="2212"/>
        <w:gridCol w:w="26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8"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建设项目名称</w:t>
            </w:r>
          </w:p>
        </w:tc>
        <w:tc>
          <w:tcPr>
            <w:tcW w:w="6488" w:type="dxa"/>
            <w:gridSpan w:val="3"/>
            <w:tcBorders>
              <w:top w:val="single" w:color="auto" w:sz="8"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color w:val="FF0000"/>
                <w:sz w:val="24"/>
                <w:szCs w:val="24"/>
                <w:highlight w:val="none"/>
                <w:lang w:val="en-US" w:eastAsia="zh-CN"/>
              </w:rPr>
              <w:t>锡林郭勒盟建安工贸有限责任公司彩钢</w:t>
            </w:r>
            <w:r>
              <w:rPr>
                <w:rFonts w:hint="eastAsia" w:ascii="Times New Roman" w:hAnsi="Times New Roman" w:cs="Times New Roman"/>
                <w:color w:val="FF0000"/>
                <w:sz w:val="24"/>
                <w:szCs w:val="24"/>
                <w:highlight w:val="none"/>
                <w:lang w:val="en-US" w:eastAsia="zh-CN"/>
              </w:rPr>
              <w:t>板</w:t>
            </w:r>
            <w:r>
              <w:rPr>
                <w:rFonts w:hint="default" w:ascii="Times New Roman" w:hAnsi="Times New Roman" w:eastAsia="宋体" w:cs="Times New Roman"/>
                <w:color w:val="FF0000"/>
                <w:sz w:val="24"/>
                <w:szCs w:val="24"/>
                <w:highlight w:val="none"/>
                <w:lang w:val="en-US" w:eastAsia="zh-CN"/>
              </w:rPr>
              <w:t>生产项目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项目代码</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建设单位联系人</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highlight w:val="none"/>
                <w:lang w:eastAsia="zh-CN"/>
              </w:rPr>
              <w:t>赵有贵</w:t>
            </w:r>
          </w:p>
        </w:tc>
        <w:tc>
          <w:tcPr>
            <w:tcW w:w="221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联系方式</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15047981117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建设地点</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u w:val="none"/>
              </w:rPr>
            </w:pPr>
            <w:r>
              <w:rPr>
                <w:rFonts w:hint="default" w:ascii="Times New Roman" w:hAnsi="Times New Roman" w:eastAsia="宋体" w:cs="Times New Roman"/>
                <w:color w:val="FF0000"/>
                <w:sz w:val="24"/>
                <w:szCs w:val="24"/>
                <w:highlight w:val="none"/>
                <w:u w:val="none"/>
                <w:lang w:val="en-US" w:eastAsia="zh-CN"/>
              </w:rPr>
              <w:t>内蒙古</w:t>
            </w:r>
            <w:r>
              <w:rPr>
                <w:rFonts w:hint="default" w:ascii="Times New Roman" w:hAnsi="Times New Roman" w:eastAsia="宋体" w:cs="Times New Roman"/>
                <w:color w:val="FF0000"/>
                <w:sz w:val="24"/>
                <w:szCs w:val="24"/>
                <w:highlight w:val="none"/>
                <w:u w:val="none"/>
              </w:rPr>
              <w:t>自治区</w:t>
            </w:r>
            <w:r>
              <w:rPr>
                <w:rFonts w:hint="default" w:ascii="Times New Roman" w:hAnsi="Times New Roman" w:eastAsia="宋体" w:cs="Times New Roman"/>
                <w:color w:val="FF0000"/>
                <w:sz w:val="24"/>
                <w:szCs w:val="24"/>
                <w:highlight w:val="none"/>
                <w:u w:val="none"/>
                <w:lang w:val="en-US" w:eastAsia="zh-CN"/>
              </w:rPr>
              <w:t>锡林郭勒盟锡林浩特</w:t>
            </w:r>
            <w:r>
              <w:rPr>
                <w:rFonts w:hint="default" w:ascii="Times New Roman" w:hAnsi="Times New Roman" w:eastAsia="宋体" w:cs="Times New Roman"/>
                <w:color w:val="FF0000"/>
                <w:sz w:val="24"/>
                <w:szCs w:val="24"/>
                <w:highlight w:val="none"/>
                <w:u w:val="none"/>
              </w:rPr>
              <w:t>市</w:t>
            </w:r>
            <w:r>
              <w:rPr>
                <w:rFonts w:hint="eastAsia" w:ascii="Times New Roman" w:hAnsi="Times New Roman" w:cs="Times New Roman"/>
                <w:color w:val="FF0000"/>
                <w:sz w:val="24"/>
                <w:szCs w:val="24"/>
                <w:highlight w:val="none"/>
                <w:lang w:val="en-US" w:eastAsia="zh-CN"/>
              </w:rPr>
              <w:t>建材园区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地理坐标</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u w:val="none"/>
              </w:rPr>
              <w:t>（</w:t>
            </w:r>
            <w:r>
              <w:rPr>
                <w:rFonts w:hint="default" w:ascii="Times New Roman" w:hAnsi="Times New Roman" w:eastAsia="宋体" w:cs="Times New Roman"/>
                <w:sz w:val="24"/>
                <w:szCs w:val="24"/>
                <w:highlight w:val="none"/>
                <w:u w:val="none"/>
                <w:lang w:eastAsia="zh-CN"/>
              </w:rPr>
              <w:t>北纬</w:t>
            </w:r>
            <w:r>
              <w:rPr>
                <w:rFonts w:hint="default" w:ascii="Times New Roman" w:hAnsi="Times New Roman" w:eastAsia="宋体" w:cs="Times New Roman"/>
                <w:sz w:val="24"/>
                <w:szCs w:val="24"/>
                <w:highlight w:val="none"/>
                <w:u w:val="none"/>
                <w:lang w:val="en-US" w:eastAsia="zh-CN"/>
              </w:rPr>
              <w:t>43</w:t>
            </w:r>
            <w:r>
              <w:rPr>
                <w:rFonts w:hint="default" w:ascii="Times New Roman" w:hAnsi="Times New Roman" w:eastAsia="宋体" w:cs="Times New Roman"/>
                <w:sz w:val="24"/>
                <w:szCs w:val="24"/>
                <w:highlight w:val="none"/>
                <w:u w:val="none"/>
              </w:rPr>
              <w:t>度</w:t>
            </w:r>
            <w:r>
              <w:rPr>
                <w:rFonts w:hint="default" w:ascii="Times New Roman" w:hAnsi="Times New Roman" w:eastAsia="宋体" w:cs="Times New Roman"/>
                <w:sz w:val="24"/>
                <w:szCs w:val="24"/>
                <w:highlight w:val="none"/>
                <w:u w:val="none"/>
                <w:lang w:val="en-US" w:eastAsia="zh-CN"/>
              </w:rPr>
              <w:t>58</w:t>
            </w:r>
            <w:r>
              <w:rPr>
                <w:rFonts w:hint="default" w:ascii="Times New Roman" w:hAnsi="Times New Roman" w:eastAsia="宋体" w:cs="Times New Roman"/>
                <w:sz w:val="24"/>
                <w:szCs w:val="24"/>
                <w:highlight w:val="none"/>
                <w:u w:val="none"/>
              </w:rPr>
              <w:t>分</w:t>
            </w:r>
            <w:r>
              <w:rPr>
                <w:rFonts w:hint="default" w:ascii="Times New Roman" w:hAnsi="Times New Roman" w:eastAsia="宋体" w:cs="Times New Roman"/>
                <w:sz w:val="24"/>
                <w:szCs w:val="24"/>
                <w:highlight w:val="none"/>
                <w:u w:val="none"/>
                <w:lang w:val="en-US" w:eastAsia="zh-CN"/>
              </w:rPr>
              <w:t>58.326</w:t>
            </w:r>
            <w:r>
              <w:rPr>
                <w:rFonts w:hint="default" w:ascii="Times New Roman" w:hAnsi="Times New Roman" w:eastAsia="宋体" w:cs="Times New Roman"/>
                <w:sz w:val="24"/>
                <w:szCs w:val="24"/>
                <w:highlight w:val="none"/>
                <w:u w:val="none"/>
              </w:rPr>
              <w:t>秒，</w:t>
            </w:r>
            <w:r>
              <w:rPr>
                <w:rFonts w:hint="default" w:ascii="Times New Roman" w:hAnsi="Times New Roman" w:eastAsia="宋体" w:cs="Times New Roman"/>
                <w:sz w:val="24"/>
                <w:szCs w:val="24"/>
                <w:highlight w:val="none"/>
                <w:u w:val="none"/>
                <w:lang w:eastAsia="zh-CN"/>
              </w:rPr>
              <w:t>东经</w:t>
            </w:r>
            <w:r>
              <w:rPr>
                <w:rFonts w:hint="default" w:ascii="Times New Roman" w:hAnsi="Times New Roman" w:eastAsia="宋体" w:cs="Times New Roman"/>
                <w:sz w:val="24"/>
                <w:szCs w:val="24"/>
                <w:highlight w:val="none"/>
                <w:u w:val="none"/>
                <w:lang w:val="en-US" w:eastAsia="zh-CN"/>
              </w:rPr>
              <w:t>116</w:t>
            </w:r>
            <w:r>
              <w:rPr>
                <w:rFonts w:hint="default" w:ascii="Times New Roman" w:hAnsi="Times New Roman" w:eastAsia="宋体" w:cs="Times New Roman"/>
                <w:sz w:val="24"/>
                <w:szCs w:val="24"/>
                <w:highlight w:val="none"/>
                <w:u w:val="none"/>
              </w:rPr>
              <w:t>度</w:t>
            </w:r>
            <w:r>
              <w:rPr>
                <w:rFonts w:hint="default" w:ascii="Times New Roman" w:hAnsi="Times New Roman" w:eastAsia="宋体" w:cs="Times New Roman"/>
                <w:sz w:val="24"/>
                <w:szCs w:val="24"/>
                <w:highlight w:val="none"/>
                <w:u w:val="none"/>
                <w:lang w:val="en-US" w:eastAsia="zh-CN"/>
              </w:rPr>
              <w:t>5</w:t>
            </w:r>
            <w:r>
              <w:rPr>
                <w:rFonts w:hint="default" w:ascii="Times New Roman" w:hAnsi="Times New Roman" w:eastAsia="宋体" w:cs="Times New Roman"/>
                <w:sz w:val="24"/>
                <w:szCs w:val="24"/>
                <w:highlight w:val="none"/>
                <w:u w:val="none"/>
              </w:rPr>
              <w:t>分</w:t>
            </w:r>
            <w:r>
              <w:rPr>
                <w:rFonts w:hint="default" w:ascii="Times New Roman" w:hAnsi="Times New Roman" w:eastAsia="宋体" w:cs="Times New Roman"/>
                <w:sz w:val="24"/>
                <w:szCs w:val="24"/>
                <w:highlight w:val="none"/>
                <w:u w:val="none"/>
                <w:lang w:val="en-US" w:eastAsia="zh-CN"/>
              </w:rPr>
              <w:t>45.201</w:t>
            </w:r>
            <w:r>
              <w:rPr>
                <w:rFonts w:hint="default" w:ascii="Times New Roman" w:hAnsi="Times New Roman" w:eastAsia="宋体" w:cs="Times New Roman"/>
                <w:sz w:val="24"/>
                <w:szCs w:val="24"/>
                <w:highlight w:val="none"/>
                <w:u w:val="none"/>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国民经济</w:t>
            </w:r>
          </w:p>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行业类别</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C3311金属结构制造</w:t>
            </w:r>
          </w:p>
        </w:tc>
        <w:tc>
          <w:tcPr>
            <w:tcW w:w="221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bookmarkStart w:id="1" w:name="_Hlk49843745"/>
            <w:r>
              <w:rPr>
                <w:rFonts w:hint="default" w:ascii="Times New Roman" w:hAnsi="Times New Roman" w:eastAsia="宋体" w:cs="Times New Roman"/>
                <w:sz w:val="24"/>
                <w:szCs w:val="24"/>
                <w:highlight w:val="none"/>
              </w:rPr>
              <w:t>建设项目</w:t>
            </w:r>
          </w:p>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行业类别</w:t>
            </w:r>
            <w:bookmarkEnd w:id="1"/>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三十、金属制品业33中66.结构性金属制品制造331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建设性质</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FE"/>
            </w:r>
            <w:r>
              <w:rPr>
                <w:rFonts w:hint="default" w:ascii="Times New Roman" w:hAnsi="Times New Roman" w:eastAsia="宋体" w:cs="Times New Roman"/>
                <w:sz w:val="24"/>
                <w:szCs w:val="24"/>
                <w:highlight w:val="none"/>
              </w:rPr>
              <w:t>新建（迁建）</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改建</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扩建</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技术改造</w:t>
            </w:r>
          </w:p>
        </w:tc>
        <w:tc>
          <w:tcPr>
            <w:tcW w:w="221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建设项目</w:t>
            </w:r>
          </w:p>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申报情形</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FE"/>
            </w:r>
            <w:r>
              <w:rPr>
                <w:rFonts w:hint="default" w:ascii="Times New Roman" w:hAnsi="Times New Roman" w:eastAsia="宋体" w:cs="Times New Roman"/>
                <w:sz w:val="24"/>
                <w:szCs w:val="24"/>
                <w:highlight w:val="none"/>
              </w:rPr>
              <w:t xml:space="preserve">首次申报项目             </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不予批准后再次申报项目</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 xml:space="preserve">超五年重新审核项目     </w:t>
            </w:r>
          </w:p>
          <w:p>
            <w:pPr>
              <w:spacing w:beforeLines="0" w:afterLines="0"/>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项目审批（核准/</w:t>
            </w:r>
          </w:p>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备案）部门（选填）</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w:t>
            </w:r>
          </w:p>
        </w:tc>
        <w:tc>
          <w:tcPr>
            <w:tcW w:w="221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项目审批（核准/</w:t>
            </w:r>
          </w:p>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备案）文号（选填）</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总投资（万元）</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30</w:t>
            </w:r>
          </w:p>
        </w:tc>
        <w:tc>
          <w:tcPr>
            <w:tcW w:w="2212" w:type="dxa"/>
            <w:tcBorders>
              <w:top w:val="single" w:color="auto" w:sz="4" w:space="0"/>
              <w:left w:val="single" w:color="auto" w:sz="4"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环保投资（万元）</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环保投资占比（%）</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6.67%</w:t>
            </w:r>
          </w:p>
        </w:tc>
        <w:tc>
          <w:tcPr>
            <w:tcW w:w="2212" w:type="dxa"/>
            <w:tcBorders>
              <w:top w:val="single" w:color="auto" w:sz="4" w:space="0"/>
              <w:left w:val="single" w:color="auto" w:sz="4"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施工工期</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是否开工建设</w:t>
            </w:r>
          </w:p>
        </w:tc>
        <w:tc>
          <w:tcPr>
            <w:tcW w:w="1637"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A8"/>
            </w:r>
            <w:r>
              <w:rPr>
                <w:rFonts w:hint="default" w:ascii="Times New Roman" w:hAnsi="Times New Roman" w:eastAsia="宋体" w:cs="Times New Roman"/>
                <w:sz w:val="24"/>
                <w:szCs w:val="24"/>
                <w:highlight w:val="none"/>
              </w:rPr>
              <w:t>否</w:t>
            </w:r>
          </w:p>
          <w:p>
            <w:pPr>
              <w:adjustRightInd w:val="0"/>
              <w:snapToGrid w:val="0"/>
              <w:spacing w:beforeLines="0" w:afterLines="0"/>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eastAsia="zh-CN"/>
              </w:rPr>
              <w:sym w:font="Wingdings" w:char="00FE"/>
            </w:r>
            <w:r>
              <w:rPr>
                <w:rFonts w:hint="default" w:ascii="Times New Roman" w:hAnsi="Times New Roman" w:eastAsia="宋体" w:cs="Times New Roman"/>
                <w:sz w:val="24"/>
                <w:szCs w:val="24"/>
                <w:highlight w:val="none"/>
              </w:rPr>
              <w:t>是：</w:t>
            </w:r>
            <w:r>
              <w:rPr>
                <w:rFonts w:hint="default" w:ascii="Times New Roman" w:hAnsi="Times New Roman" w:eastAsia="宋体" w:cs="Times New Roman"/>
                <w:sz w:val="24"/>
                <w:szCs w:val="24"/>
                <w:highlight w:val="none"/>
                <w:u w:val="single"/>
                <w:lang w:eastAsia="zh-CN"/>
              </w:rPr>
              <w:t>已于</w:t>
            </w:r>
            <w:r>
              <w:rPr>
                <w:rFonts w:hint="default" w:ascii="Times New Roman" w:hAnsi="Times New Roman" w:eastAsia="宋体" w:cs="Times New Roman"/>
                <w:sz w:val="24"/>
                <w:szCs w:val="24"/>
                <w:highlight w:val="none"/>
                <w:u w:val="single"/>
                <w:lang w:val="en-US" w:eastAsia="zh-CN"/>
              </w:rPr>
              <w:t>2014年6月建成</w:t>
            </w:r>
            <w:r>
              <w:rPr>
                <w:rFonts w:hint="eastAsia" w:ascii="Times New Roman" w:hAnsi="Times New Roman" w:cs="Times New Roman"/>
                <w:sz w:val="24"/>
                <w:szCs w:val="24"/>
                <w:highlight w:val="none"/>
                <w:u w:val="single"/>
                <w:lang w:val="en-US" w:eastAsia="zh-CN"/>
              </w:rPr>
              <w:t>并</w:t>
            </w:r>
            <w:r>
              <w:rPr>
                <w:rFonts w:hint="default" w:ascii="Times New Roman" w:hAnsi="Times New Roman" w:eastAsia="宋体" w:cs="Times New Roman"/>
                <w:sz w:val="24"/>
                <w:szCs w:val="24"/>
                <w:highlight w:val="none"/>
                <w:u w:val="single"/>
                <w:lang w:val="en-US" w:eastAsia="zh-CN"/>
              </w:rPr>
              <w:t>投产</w:t>
            </w:r>
          </w:p>
        </w:tc>
        <w:tc>
          <w:tcPr>
            <w:tcW w:w="2212" w:type="dxa"/>
            <w:tcBorders>
              <w:top w:val="single" w:color="auto" w:sz="4" w:space="0"/>
              <w:left w:val="single" w:color="auto" w:sz="4" w:space="0"/>
              <w:bottom w:val="single" w:color="auto" w:sz="4" w:space="0"/>
              <w:right w:val="single" w:color="auto" w:sz="4" w:space="0"/>
              <w:tl2br w:val="nil"/>
              <w:tr2bl w:val="nil"/>
            </w:tcBorders>
            <w:tcMar>
              <w:top w:w="16" w:type="dxa"/>
              <w:left w:w="16" w:type="dxa"/>
              <w:right w:w="16" w:type="dxa"/>
            </w:tcMar>
            <w:vAlign w:val="center"/>
          </w:tcPr>
          <w:p>
            <w:pPr>
              <w:adjustRightInd w:val="0"/>
              <w:snapToGrid w:val="0"/>
              <w:spacing w:beforeLines="0" w:afterLines="0"/>
              <w:jc w:val="center"/>
              <w:rPr>
                <w:rFonts w:hint="default" w:ascii="Times New Roman" w:hAnsi="Times New Roman" w:eastAsia="宋体" w:cs="Times New Roman"/>
                <w:spacing w:val="-6"/>
                <w:sz w:val="24"/>
                <w:szCs w:val="24"/>
                <w:highlight w:val="none"/>
              </w:rPr>
            </w:pPr>
            <w:r>
              <w:rPr>
                <w:rFonts w:hint="default" w:ascii="Times New Roman" w:hAnsi="Times New Roman" w:eastAsia="宋体" w:cs="Times New Roman"/>
                <w:spacing w:val="-6"/>
                <w:sz w:val="24"/>
                <w:szCs w:val="24"/>
                <w:highlight w:val="none"/>
              </w:rPr>
              <w:t>用地（用海）</w:t>
            </w:r>
          </w:p>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pacing w:val="-6"/>
                <w:sz w:val="24"/>
                <w:szCs w:val="24"/>
                <w:highlight w:val="none"/>
              </w:rPr>
              <w:t>面积（m</w:t>
            </w:r>
            <w:r>
              <w:rPr>
                <w:rFonts w:hint="default" w:ascii="Times New Roman" w:hAnsi="Times New Roman" w:eastAsia="宋体" w:cs="Times New Roman"/>
                <w:spacing w:val="-6"/>
                <w:sz w:val="24"/>
                <w:szCs w:val="24"/>
                <w:highlight w:val="none"/>
                <w:vertAlign w:val="superscript"/>
              </w:rPr>
              <w:t>2</w:t>
            </w:r>
            <w:r>
              <w:rPr>
                <w:rFonts w:hint="default" w:ascii="Times New Roman" w:hAnsi="Times New Roman" w:eastAsia="宋体" w:cs="Times New Roman"/>
                <w:spacing w:val="-6"/>
                <w:sz w:val="24"/>
                <w:szCs w:val="24"/>
                <w:highlight w:val="none"/>
              </w:rPr>
              <w:t>）</w:t>
            </w:r>
          </w:p>
        </w:tc>
        <w:tc>
          <w:tcPr>
            <w:tcW w:w="2639" w:type="dxa"/>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12000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vAlign w:val="center"/>
          </w:tcPr>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kern w:val="0"/>
                <w:sz w:val="24"/>
                <w:szCs w:val="24"/>
                <w:highlight w:val="none"/>
              </w:rPr>
              <w:t>专项评价设置情况</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kern w:val="0"/>
                <w:sz w:val="24"/>
                <w:szCs w:val="24"/>
                <w:highlight w:val="none"/>
                <w:lang w:eastAsia="zh-CN"/>
              </w:rPr>
            </w:pPr>
            <w:r>
              <w:rPr>
                <w:rFonts w:hint="default" w:ascii="Times New Roman" w:hAnsi="Times New Roman" w:eastAsia="宋体" w:cs="Times New Roman"/>
                <w:kern w:val="0"/>
                <w:sz w:val="24"/>
                <w:szCs w:val="24"/>
                <w:highlight w:val="none"/>
                <w:lang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vAlign w:val="center"/>
          </w:tcPr>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sz w:val="24"/>
                <w:szCs w:val="24"/>
                <w:highlight w:val="none"/>
              </w:rPr>
              <w:t>规划情况</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kern w:val="0"/>
                <w:sz w:val="24"/>
                <w:szCs w:val="24"/>
                <w:highlight w:val="none"/>
                <w:lang w:eastAsia="zh-CN"/>
              </w:rPr>
            </w:pPr>
            <w:r>
              <w:rPr>
                <w:rFonts w:hint="default" w:ascii="Times New Roman" w:hAnsi="Times New Roman" w:eastAsia="宋体" w:cs="Times New Roman"/>
                <w:kern w:val="0"/>
                <w:sz w:val="24"/>
                <w:szCs w:val="24"/>
                <w:highlight w:val="none"/>
                <w:lang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规划环境影响</w:t>
            </w:r>
          </w:p>
          <w:p>
            <w:pPr>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sz w:val="24"/>
                <w:szCs w:val="24"/>
                <w:highlight w:val="none"/>
              </w:rPr>
              <w:t>评价情况</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utoSpaceDE w:val="0"/>
              <w:autoSpaceDN w:val="0"/>
              <w:adjustRightInd w:val="0"/>
              <w:snapToGrid w:val="0"/>
              <w:spacing w:beforeLines="0" w:afterLines="0"/>
              <w:ind w:left="0" w:leftChars="0" w:right="0" w:rightChars="0" w:firstLine="0" w:firstLineChars="0"/>
              <w:jc w:val="center"/>
              <w:rPr>
                <w:rFonts w:hint="default" w:ascii="Times New Roman" w:hAnsi="Times New Roman" w:eastAsia="宋体" w:cs="Times New Roman"/>
                <w:kern w:val="0"/>
                <w:sz w:val="24"/>
                <w:szCs w:val="24"/>
                <w:highlight w:val="none"/>
                <w:lang w:eastAsia="zh-CN"/>
              </w:rPr>
            </w:pPr>
            <w:r>
              <w:rPr>
                <w:rFonts w:hint="default" w:ascii="Times New Roman" w:hAnsi="Times New Roman" w:eastAsia="宋体" w:cs="Times New Roman"/>
                <w:kern w:val="0"/>
                <w:sz w:val="24"/>
                <w:szCs w:val="24"/>
                <w:highlight w:val="none"/>
                <w:lang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403" w:type="dxa"/>
            <w:tcBorders>
              <w:top w:val="single" w:color="auto" w:sz="4" w:space="0"/>
              <w:left w:val="single" w:color="auto" w:sz="8" w:space="0"/>
              <w:bottom w:val="single" w:color="auto" w:sz="4" w:space="0"/>
              <w:right w:val="single" w:color="auto" w:sz="4" w:space="0"/>
              <w:tl2br w:val="nil"/>
              <w:tr2bl w:val="nil"/>
            </w:tcBorders>
            <w:vAlign w:val="center"/>
          </w:tcPr>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kern w:val="0"/>
                <w:sz w:val="24"/>
                <w:szCs w:val="24"/>
                <w:highlight w:val="none"/>
              </w:rPr>
              <w:t>规划及规划环境</w:t>
            </w:r>
          </w:p>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kern w:val="0"/>
                <w:sz w:val="24"/>
                <w:szCs w:val="24"/>
                <w:highlight w:val="none"/>
              </w:rPr>
              <w:t>影响评价符合性分析</w:t>
            </w:r>
          </w:p>
        </w:tc>
        <w:tc>
          <w:tcPr>
            <w:tcW w:w="6488" w:type="dxa"/>
            <w:gridSpan w:val="3"/>
            <w:tcBorders>
              <w:top w:val="single" w:color="auto" w:sz="4" w:space="0"/>
              <w:left w:val="single" w:color="auto" w:sz="4" w:space="0"/>
              <w:bottom w:val="single" w:color="auto" w:sz="4" w:space="0"/>
              <w:right w:val="single" w:color="auto" w:sz="8" w:space="0"/>
              <w:tl2br w:val="nil"/>
              <w:tr2bl w:val="nil"/>
            </w:tcBorders>
            <w:vAlign w:val="center"/>
          </w:tcPr>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lang w:eastAsia="zh-CN"/>
              </w:rPr>
            </w:pPr>
            <w:r>
              <w:rPr>
                <w:rFonts w:hint="default" w:ascii="Times New Roman" w:hAnsi="Times New Roman" w:eastAsia="宋体" w:cs="Times New Roman"/>
                <w:kern w:val="0"/>
                <w:sz w:val="24"/>
                <w:szCs w:val="24"/>
                <w:highlight w:val="none"/>
                <w:lang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2403" w:type="dxa"/>
            <w:tcBorders>
              <w:top w:val="single" w:color="auto" w:sz="4" w:space="0"/>
              <w:left w:val="single" w:color="auto" w:sz="8" w:space="0"/>
              <w:bottom w:val="single" w:color="auto" w:sz="8" w:space="0"/>
              <w:right w:val="single" w:color="auto" w:sz="4" w:space="0"/>
              <w:tl2br w:val="nil"/>
              <w:tr2bl w:val="nil"/>
            </w:tcBorders>
            <w:vAlign w:val="center"/>
          </w:tcPr>
          <w:p>
            <w:pPr>
              <w:autoSpaceDE w:val="0"/>
              <w:autoSpaceDN w:val="0"/>
              <w:adjustRightInd w:val="0"/>
              <w:snapToGrid w:val="0"/>
              <w:spacing w:beforeLines="0" w:afterLines="0"/>
              <w:jc w:val="center"/>
              <w:rPr>
                <w:rFonts w:hint="default" w:ascii="Times New Roman" w:hAnsi="Times New Roman" w:eastAsia="宋体" w:cs="Times New Roman"/>
                <w:kern w:val="0"/>
                <w:sz w:val="24"/>
                <w:szCs w:val="24"/>
                <w:highlight w:val="none"/>
              </w:rPr>
            </w:pPr>
            <w:r>
              <w:rPr>
                <w:rFonts w:hint="default" w:ascii="Times New Roman" w:hAnsi="Times New Roman" w:eastAsia="宋体" w:cs="Times New Roman"/>
                <w:kern w:val="0"/>
                <w:sz w:val="24"/>
                <w:szCs w:val="24"/>
                <w:highlight w:val="none"/>
              </w:rPr>
              <w:t>其他符合性分析</w:t>
            </w:r>
          </w:p>
        </w:tc>
        <w:tc>
          <w:tcPr>
            <w:tcW w:w="6488" w:type="dxa"/>
            <w:gridSpan w:val="3"/>
            <w:tcBorders>
              <w:top w:val="single" w:color="auto" w:sz="4" w:space="0"/>
              <w:left w:val="single" w:color="auto" w:sz="4" w:space="0"/>
              <w:bottom w:val="single" w:color="auto" w:sz="8" w:space="0"/>
              <w:right w:val="single" w:color="auto" w:sz="8"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bCs/>
                <w:sz w:val="24"/>
                <w:szCs w:val="24"/>
                <w:highlight w:val="none"/>
                <w:lang w:val="en-US" w:eastAsia="zh-CN"/>
              </w:rPr>
              <w:t>（1）产业政策相符性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本项目为金属制品业中的结构性金属制品制造项目，不属于《产业结构调整指导目录（2019年本）》（国家发展和改革委员会第21号令）中限制类和淘汰类，所以属于允许类项目。</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sz w:val="24"/>
                <w:szCs w:val="24"/>
                <w:highlight w:val="none"/>
                <w:lang w:val="en-US" w:eastAsia="zh-CN"/>
              </w:rPr>
            </w:pPr>
            <w:r>
              <w:rPr>
                <w:rFonts w:hint="default" w:ascii="Times New Roman" w:hAnsi="Times New Roman" w:eastAsia="宋体" w:cs="Times New Roman"/>
                <w:b/>
                <w:bCs/>
                <w:sz w:val="24"/>
                <w:szCs w:val="24"/>
                <w:highlight w:val="none"/>
                <w:lang w:val="en-US" w:eastAsia="zh-CN"/>
              </w:rPr>
              <w:t>（2）选址合理性分析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本项目选址位于</w:t>
            </w:r>
            <w:r>
              <w:rPr>
                <w:rFonts w:hint="default" w:ascii="Times New Roman" w:hAnsi="Times New Roman" w:eastAsia="宋体" w:cs="Times New Roman"/>
                <w:b w:val="0"/>
                <w:bCs w:val="0"/>
                <w:color w:val="FF0000"/>
                <w:sz w:val="24"/>
                <w:szCs w:val="24"/>
                <w:highlight w:val="none"/>
                <w:lang w:val="en-US" w:eastAsia="zh-CN"/>
              </w:rPr>
              <w:t>内蒙古自治区锡林郭勒盟锡林浩特市</w:t>
            </w:r>
            <w:r>
              <w:rPr>
                <w:rFonts w:hint="eastAsia" w:ascii="Times New Roman" w:hAnsi="Times New Roman" w:cs="Times New Roman"/>
                <w:b w:val="0"/>
                <w:bCs w:val="0"/>
                <w:color w:val="FF0000"/>
                <w:sz w:val="24"/>
                <w:szCs w:val="24"/>
                <w:highlight w:val="none"/>
                <w:lang w:val="en-US" w:eastAsia="zh-CN"/>
              </w:rPr>
              <w:t>建材园区</w:t>
            </w:r>
            <w:r>
              <w:rPr>
                <w:rFonts w:hint="default" w:ascii="Times New Roman" w:hAnsi="Times New Roman" w:eastAsia="宋体" w:cs="Times New Roman"/>
                <w:b w:val="0"/>
                <w:bCs w:val="0"/>
                <w:color w:val="FF0000"/>
                <w:sz w:val="24"/>
                <w:szCs w:val="24"/>
                <w:highlight w:val="none"/>
                <w:lang w:val="en-US" w:eastAsia="zh-CN"/>
              </w:rPr>
              <w:t>，</w:t>
            </w:r>
            <w:r>
              <w:rPr>
                <w:rFonts w:hint="eastAsia" w:ascii="Times New Roman" w:hAnsi="Times New Roman" w:cs="Times New Roman"/>
                <w:b w:val="0"/>
                <w:bCs w:val="0"/>
                <w:color w:val="FF0000"/>
                <w:sz w:val="24"/>
                <w:szCs w:val="24"/>
                <w:highlight w:val="none"/>
                <w:lang w:val="en-US" w:eastAsia="zh-CN"/>
              </w:rPr>
              <w:t>项目为未批先建项目，项目与2014年建成并投产，占地面积12000m</w:t>
            </w:r>
            <w:r>
              <w:rPr>
                <w:rFonts w:hint="eastAsia" w:ascii="Times New Roman" w:hAnsi="Times New Roman" w:cs="Times New Roman"/>
                <w:b w:val="0"/>
                <w:bCs w:val="0"/>
                <w:color w:val="FF0000"/>
                <w:sz w:val="24"/>
                <w:szCs w:val="24"/>
                <w:highlight w:val="none"/>
                <w:vertAlign w:val="superscript"/>
                <w:lang w:val="en-US" w:eastAsia="zh-CN"/>
              </w:rPr>
              <w:t>2</w:t>
            </w:r>
            <w:r>
              <w:rPr>
                <w:rFonts w:hint="eastAsia" w:ascii="Times New Roman" w:hAnsi="Times New Roman" w:cs="Times New Roman"/>
                <w:b w:val="0"/>
                <w:bCs w:val="0"/>
                <w:sz w:val="24"/>
                <w:szCs w:val="24"/>
                <w:highlight w:val="none"/>
                <w:lang w:val="en-US" w:eastAsia="zh-CN"/>
              </w:rPr>
              <w:t>，</w:t>
            </w:r>
            <w:r>
              <w:rPr>
                <w:rFonts w:hint="default" w:ascii="Times New Roman" w:hAnsi="Times New Roman" w:eastAsia="宋体" w:cs="Times New Roman"/>
                <w:b w:val="0"/>
                <w:bCs w:val="0"/>
                <w:sz w:val="24"/>
                <w:szCs w:val="24"/>
                <w:highlight w:val="none"/>
                <w:lang w:val="en-US" w:eastAsia="zh-CN"/>
              </w:rPr>
              <w:t>项目不在水源地、自然保护区内，风景名胜区范围内，周边200m范围内无一级公路、二级公路、铁路干线等交通干道，</w:t>
            </w:r>
            <w:r>
              <w:rPr>
                <w:rFonts w:hint="eastAsia" w:ascii="Times New Roman" w:hAnsi="Times New Roman" w:eastAsia="宋体" w:cs="Times New Roman"/>
                <w:b w:val="0"/>
                <w:bCs w:val="0"/>
                <w:sz w:val="24"/>
                <w:szCs w:val="24"/>
                <w:highlight w:val="none"/>
                <w:lang w:val="en-US" w:eastAsia="zh-CN"/>
              </w:rPr>
              <w:t>距离本项目最近的敏感目标是位于厂区西南侧1.25km的锡林金街东区居民，</w:t>
            </w:r>
            <w:r>
              <w:rPr>
                <w:rFonts w:hint="default" w:ascii="Times New Roman" w:hAnsi="Times New Roman" w:eastAsia="宋体" w:cs="Times New Roman"/>
                <w:b w:val="0"/>
                <w:bCs w:val="0"/>
                <w:sz w:val="24"/>
                <w:szCs w:val="24"/>
                <w:highlight w:val="none"/>
                <w:lang w:val="en-US" w:eastAsia="zh-CN"/>
              </w:rPr>
              <w:t>项目建设对周围环境影响较小，占地类型为工业用地，不会对周围环境产生不可逆影响，本项目选址合理。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综上所述，项目建设选址合理并且符合国家及地方产业政策以及相关规划要求。</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sz w:val="24"/>
                <w:szCs w:val="24"/>
                <w:highlight w:val="none"/>
                <w:lang w:val="en-US" w:eastAsia="zh-CN"/>
              </w:rPr>
            </w:pPr>
            <w:r>
              <w:rPr>
                <w:rFonts w:hint="default" w:ascii="Times New Roman" w:hAnsi="Times New Roman" w:eastAsia="宋体" w:cs="Times New Roman"/>
                <w:b/>
                <w:bCs/>
                <w:sz w:val="24"/>
                <w:szCs w:val="24"/>
                <w:highlight w:val="none"/>
                <w:lang w:val="en-US" w:eastAsia="zh-CN"/>
              </w:rPr>
              <w:t>一、“三线一单”符合性</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4981"/>
              <w:gridCol w:w="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内容</w:t>
                  </w:r>
                </w:p>
              </w:tc>
              <w:tc>
                <w:tcPr>
                  <w:tcW w:w="397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符合性分析</w:t>
                  </w:r>
                </w:p>
              </w:tc>
              <w:tc>
                <w:tcPr>
                  <w:tcW w:w="46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b/>
                      <w:bCs/>
                      <w:color w:val="auto"/>
                      <w:sz w:val="21"/>
                      <w:szCs w:val="21"/>
                      <w:highlight w:val="none"/>
                      <w:vertAlign w:val="baseline"/>
                      <w:lang w:val="en-US" w:eastAsia="zh-CN"/>
                    </w:rPr>
                  </w:pPr>
                  <w:r>
                    <w:rPr>
                      <w:rFonts w:hint="default" w:ascii="Times New Roman" w:hAnsi="Times New Roman" w:eastAsia="宋体" w:cs="Times New Roman"/>
                      <w:b/>
                      <w:bCs/>
                      <w:color w:val="auto"/>
                      <w:sz w:val="21"/>
                      <w:szCs w:val="21"/>
                      <w:highlight w:val="none"/>
                      <w:vertAlign w:val="baseli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5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生态保护红线</w:t>
                  </w:r>
                </w:p>
              </w:tc>
              <w:tc>
                <w:tcPr>
                  <w:tcW w:w="397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420" w:firstLineChars="200"/>
                    <w:jc w:val="left"/>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根据《锡林郭勒盟行政公署关于实施“三线一单”生态环境分区管控的意见（锡署发〔2021〕117号）》，锡林郭勒盟共划分环境管控单元154个，包括优先保护单元、重点管控单元、一般管控单元三类，实施分类管控。</w:t>
                  </w:r>
                  <w:r>
                    <w:rPr>
                      <w:rFonts w:hint="default" w:ascii="Times New Roman" w:hAnsi="Times New Roman" w:eastAsia="宋体" w:cs="Times New Roman"/>
                      <w:color w:val="FF0000"/>
                      <w:sz w:val="21"/>
                      <w:szCs w:val="21"/>
                      <w:highlight w:val="none"/>
                      <w:vertAlign w:val="baseline"/>
                      <w:lang w:val="en-US" w:eastAsia="zh-CN"/>
                    </w:rPr>
                    <w:t>本项目位于内蒙古自治区锡林郭勒盟锡林浩特市</w:t>
                  </w:r>
                  <w:r>
                    <w:rPr>
                      <w:rFonts w:hint="eastAsia" w:ascii="Times New Roman" w:hAnsi="Times New Roman" w:cs="Times New Roman"/>
                      <w:color w:val="FF0000"/>
                      <w:sz w:val="21"/>
                      <w:szCs w:val="21"/>
                      <w:highlight w:val="none"/>
                      <w:vertAlign w:val="baseline"/>
                      <w:lang w:val="en-US" w:eastAsia="zh-CN"/>
                    </w:rPr>
                    <w:t>建材园区</w:t>
                  </w:r>
                  <w:r>
                    <w:rPr>
                      <w:rFonts w:hint="eastAsia" w:ascii="宋体" w:hAnsi="宋体" w:eastAsia="宋体" w:cs="宋体"/>
                      <w:color w:val="FF0000"/>
                      <w:sz w:val="21"/>
                      <w:szCs w:val="21"/>
                      <w:highlight w:val="none"/>
                      <w:vertAlign w:val="baseline"/>
                      <w:lang w:val="en-US" w:eastAsia="zh-CN"/>
                    </w:rPr>
                    <w:t>，</w:t>
                  </w:r>
                  <w:r>
                    <w:rPr>
                      <w:rFonts w:hint="eastAsia" w:ascii="宋体" w:hAnsi="宋体" w:eastAsia="宋体" w:cs="宋体"/>
                      <w:color w:val="auto"/>
                      <w:sz w:val="21"/>
                      <w:szCs w:val="21"/>
                      <w:highlight w:val="none"/>
                      <w:vertAlign w:val="baseline"/>
                      <w:lang w:val="en-US" w:eastAsia="zh-CN"/>
                    </w:rPr>
                    <w:t>属于“生态环境分区管控体系”中的“锡林浩特市城镇开发边界”</w:t>
                  </w:r>
                  <w:r>
                    <w:rPr>
                      <w:rFonts w:hint="default" w:ascii="Times New Roman" w:hAnsi="Times New Roman" w:eastAsia="宋体" w:cs="Times New Roman"/>
                      <w:sz w:val="21"/>
                      <w:szCs w:val="21"/>
                      <w:lang w:val="en-US" w:eastAsia="zh-CN"/>
                    </w:rPr>
                    <w:t>（ZH15250220002）</w:t>
                  </w:r>
                  <w:r>
                    <w:rPr>
                      <w:rFonts w:hint="default" w:ascii="Times New Roman" w:hAnsi="Times New Roman" w:eastAsia="宋体" w:cs="Times New Roman"/>
                      <w:color w:val="auto"/>
                      <w:sz w:val="21"/>
                      <w:szCs w:val="21"/>
                      <w:highlight w:val="none"/>
                      <w:vertAlign w:val="baseline"/>
                      <w:lang w:val="en-US" w:eastAsia="zh-CN"/>
                    </w:rPr>
                    <w:t>，为重点管控单元。项目所在区域内无自然保护区、水源保护区、风景名胜区、文物古迹等需要特殊保护的环境敏感目标，项目区不在生态保护红线范围内，符合生态保护红线要求。</w:t>
                  </w:r>
                </w:p>
              </w:tc>
              <w:tc>
                <w:tcPr>
                  <w:tcW w:w="46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资源利用上线</w:t>
                  </w:r>
                </w:p>
              </w:tc>
              <w:tc>
                <w:tcPr>
                  <w:tcW w:w="397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420" w:firstLineChars="200"/>
                    <w:jc w:val="left"/>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本项目运营过程中需要一定的水、电等资源的消耗，项目消耗资源符合清洁生产中能源消耗要求，本项目资源消耗量相对区域资源总量所占比例极少，用水量和用电量不会触及区域资源利用上线要求。</w:t>
                  </w:r>
                </w:p>
              </w:tc>
              <w:tc>
                <w:tcPr>
                  <w:tcW w:w="46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Autospacing="0" w:afterAutospacing="0"/>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环境质量底线</w:t>
                  </w:r>
                </w:p>
              </w:tc>
              <w:tc>
                <w:tcPr>
                  <w:tcW w:w="397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420" w:firstLineChars="200"/>
                    <w:jc w:val="left"/>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项目区域环境空气质量属于《环境空气质量标准》（GB3095-2012）中二类功能区，根据内蒙古自治区环境保护厅发布的《2021年内蒙古自治区生态环境状况公报》，本项目所在区域锡林郭勒盟为环境空气质量达标区；声环境属于《声环境质量标准》（GB3096-2008）</w:t>
                  </w:r>
                  <w:r>
                    <w:rPr>
                      <w:rFonts w:hint="eastAsia" w:ascii="Times New Roman" w:hAnsi="Times New Roman" w:cs="Times New Roman"/>
                      <w:color w:val="FF0000"/>
                      <w:sz w:val="21"/>
                      <w:szCs w:val="21"/>
                      <w:highlight w:val="none"/>
                      <w:vertAlign w:val="baseline"/>
                      <w:lang w:val="en-US" w:eastAsia="zh-CN"/>
                    </w:rPr>
                    <w:t>2</w:t>
                  </w:r>
                  <w:r>
                    <w:rPr>
                      <w:rFonts w:hint="default" w:ascii="Times New Roman" w:hAnsi="Times New Roman" w:eastAsia="宋体" w:cs="Times New Roman"/>
                      <w:color w:val="FF0000"/>
                      <w:sz w:val="21"/>
                      <w:szCs w:val="21"/>
                      <w:highlight w:val="none"/>
                      <w:vertAlign w:val="baseline"/>
                      <w:lang w:val="en-US" w:eastAsia="zh-CN"/>
                    </w:rPr>
                    <w:t>类功能区</w:t>
                  </w:r>
                  <w:r>
                    <w:rPr>
                      <w:rFonts w:hint="default" w:ascii="Times New Roman" w:hAnsi="Times New Roman" w:eastAsia="宋体" w:cs="Times New Roman"/>
                      <w:color w:val="auto"/>
                      <w:sz w:val="21"/>
                      <w:szCs w:val="21"/>
                      <w:highlight w:val="none"/>
                      <w:vertAlign w:val="baseline"/>
                      <w:lang w:val="en-US" w:eastAsia="zh-CN"/>
                    </w:rPr>
                    <w:t>。区域环境质量现状较好，具有环境容量，项目采取合理的治理措施后，在正常运营情况下，各项污染物均能达标排放，废气不会明显降低区域环境质量，不会突破当地环境质量底线。</w:t>
                  </w:r>
                </w:p>
              </w:tc>
              <w:tc>
                <w:tcPr>
                  <w:tcW w:w="46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Autospacing="0" w:afterAutospacing="0"/>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生态环境准入清单</w:t>
                  </w:r>
                </w:p>
              </w:tc>
              <w:tc>
                <w:tcPr>
                  <w:tcW w:w="397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420" w:firstLineChars="0"/>
                    <w:jc w:val="left"/>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pacing w:val="0"/>
                      <w:sz w:val="21"/>
                      <w:szCs w:val="21"/>
                      <w:highlight w:val="none"/>
                    </w:rPr>
                    <w:t>本项目不属于《内蒙古自治区政府关于印发自治区国家重点生态功能区产业准入负面清单的通知》（内政发[2018]11号）中</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清单</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所</w:t>
                  </w:r>
                  <w:r>
                    <w:rPr>
                      <w:rFonts w:hint="default" w:ascii="Times New Roman" w:hAnsi="Times New Roman" w:eastAsia="宋体" w:cs="Times New Roman"/>
                      <w:color w:val="auto"/>
                      <w:spacing w:val="0"/>
                      <w:sz w:val="21"/>
                      <w:szCs w:val="21"/>
                      <w:highlight w:val="none"/>
                    </w:rPr>
                    <w:t>列项，</w:t>
                  </w:r>
                  <w:r>
                    <w:rPr>
                      <w:rFonts w:hint="default" w:ascii="Times New Roman" w:hAnsi="Times New Roman" w:eastAsia="宋体" w:cs="Times New Roman"/>
                      <w:color w:val="auto"/>
                      <w:spacing w:val="0"/>
                      <w:sz w:val="21"/>
                      <w:szCs w:val="21"/>
                      <w:highlight w:val="none"/>
                      <w:lang w:val="en-US" w:eastAsia="zh-CN"/>
                    </w:rPr>
                    <w:t>同时，</w:t>
                  </w:r>
                  <w:r>
                    <w:rPr>
                      <w:rFonts w:hint="default" w:ascii="Times New Roman" w:hAnsi="Times New Roman" w:eastAsia="宋体" w:cs="Times New Roman"/>
                      <w:color w:val="auto"/>
                      <w:spacing w:val="0"/>
                      <w:sz w:val="21"/>
                      <w:szCs w:val="21"/>
                      <w:highlight w:val="none"/>
                    </w:rPr>
                    <w:t>依据《锡林郭勒盟生态环境准入清单》中</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锡林郭勒盟</w:t>
                  </w:r>
                  <w:r>
                    <w:rPr>
                      <w:rFonts w:hint="eastAsia" w:ascii="宋体" w:hAnsi="宋体" w:eastAsia="宋体" w:cs="宋体"/>
                      <w:color w:val="auto"/>
                      <w:spacing w:val="0"/>
                      <w:sz w:val="21"/>
                      <w:szCs w:val="21"/>
                      <w:highlight w:val="none"/>
                      <w:lang w:eastAsia="zh-CN"/>
                    </w:rPr>
                    <w:t>锡林浩特市</w:t>
                  </w:r>
                  <w:r>
                    <w:rPr>
                      <w:rFonts w:hint="eastAsia" w:ascii="宋体" w:hAnsi="宋体" w:eastAsia="宋体" w:cs="宋体"/>
                      <w:color w:val="auto"/>
                      <w:spacing w:val="0"/>
                      <w:sz w:val="21"/>
                      <w:szCs w:val="21"/>
                      <w:highlight w:val="none"/>
                    </w:rPr>
                    <w:t>生态环境准入清单</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，本项目位于</w:t>
                  </w:r>
                  <w:r>
                    <w:rPr>
                      <w:rFonts w:hint="eastAsia" w:ascii="宋体" w:hAnsi="宋体" w:eastAsia="宋体" w:cs="宋体"/>
                      <w:color w:val="auto"/>
                      <w:spacing w:val="0"/>
                      <w:sz w:val="21"/>
                      <w:szCs w:val="21"/>
                      <w:highlight w:val="none"/>
                      <w:lang w:eastAsia="zh-CN"/>
                    </w:rPr>
                    <w:t>内蒙古锡林浩特市城镇开发边界，</w:t>
                  </w:r>
                  <w:r>
                    <w:rPr>
                      <w:rFonts w:hint="eastAsia" w:ascii="宋体" w:hAnsi="宋体" w:eastAsia="宋体" w:cs="宋体"/>
                      <w:color w:val="auto"/>
                      <w:sz w:val="21"/>
                      <w:szCs w:val="21"/>
                      <w:highlight w:val="none"/>
                      <w:vertAlign w:val="baseline"/>
                      <w:lang w:val="en-US" w:eastAsia="zh-CN"/>
                    </w:rPr>
                    <w:t>属于“生态环境分区管控体系”中的“锡林浩特市城镇开发边界”，为重点管控单元。</w:t>
                  </w:r>
                  <w:r>
                    <w:rPr>
                      <w:rFonts w:hint="eastAsia" w:ascii="宋体" w:hAnsi="宋体" w:eastAsia="宋体" w:cs="宋体"/>
                      <w:color w:val="auto"/>
                      <w:spacing w:val="0"/>
                      <w:sz w:val="21"/>
                      <w:szCs w:val="21"/>
                      <w:highlight w:val="none"/>
                      <w:lang w:eastAsia="zh-CN"/>
                    </w:rPr>
                    <w:t>项目符合空间布局约束、污染物排</w:t>
                  </w:r>
                  <w:r>
                    <w:rPr>
                      <w:rFonts w:hint="default" w:ascii="Times New Roman" w:hAnsi="Times New Roman" w:eastAsia="宋体" w:cs="Times New Roman"/>
                      <w:color w:val="auto"/>
                      <w:spacing w:val="0"/>
                      <w:sz w:val="21"/>
                      <w:szCs w:val="21"/>
                      <w:highlight w:val="none"/>
                      <w:lang w:eastAsia="zh-CN"/>
                    </w:rPr>
                    <w:t>放管控、环境风险防控以及资源利用效率要求，</w:t>
                  </w:r>
                  <w:r>
                    <w:rPr>
                      <w:rFonts w:hint="default" w:ascii="Times New Roman" w:hAnsi="Times New Roman" w:eastAsia="宋体" w:cs="Times New Roman"/>
                      <w:color w:val="auto"/>
                      <w:spacing w:val="0"/>
                      <w:sz w:val="21"/>
                      <w:szCs w:val="21"/>
                      <w:highlight w:val="none"/>
                    </w:rPr>
                    <w:t>因此，本项目的建设符合环境准入要求。</w:t>
                  </w:r>
                </w:p>
              </w:tc>
              <w:tc>
                <w:tcPr>
                  <w:tcW w:w="467"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Autospacing="0" w:afterAutospacing="0"/>
                    <w:ind w:left="0" w:leftChars="0" w:right="0" w:rightChars="0"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符合</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kern w:val="0"/>
                <w:sz w:val="24"/>
                <w:szCs w:val="24"/>
                <w:highlight w:val="none"/>
              </w:rPr>
            </w:pPr>
          </w:p>
        </w:tc>
      </w:tr>
    </w:tbl>
    <w:p>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pPr>
        <w:pStyle w:val="20"/>
        <w:numPr>
          <w:ilvl w:val="0"/>
          <w:numId w:val="1"/>
        </w:numPr>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建设项目工程分析</w:t>
      </w:r>
    </w:p>
    <w:tbl>
      <w:tblPr>
        <w:tblStyle w:val="21"/>
        <w:tblW w:w="934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18"/>
        <w:gridCol w:w="86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8" w:type="dxa"/>
            <w:tcBorders>
              <w:top w:val="single" w:color="auto" w:sz="8" w:space="0"/>
              <w:left w:val="single" w:color="auto" w:sz="8" w:space="0"/>
              <w:bottom w:val="single" w:color="auto" w:sz="4" w:space="0"/>
              <w:right w:val="single" w:color="auto" w:sz="4" w:space="0"/>
              <w:tl2br w:val="nil"/>
              <w:tr2bl w:val="nil"/>
            </w:tcBorders>
            <w:vAlign w:val="center"/>
          </w:tcPr>
          <w:p>
            <w:pPr>
              <w:pStyle w:val="20"/>
              <w:spacing w:before="0" w:beforeLines="0" w:beforeAutospacing="0" w:after="0" w:afterLines="0" w:afterAutospacing="0"/>
              <w:jc w:val="center"/>
              <w:outlineLvl w:val="0"/>
              <w:rPr>
                <w:rFonts w:hint="default" w:ascii="Times New Roman" w:hAnsi="Times New Roman" w:cs="Times New Roman"/>
                <w:sz w:val="21"/>
                <w:szCs w:val="21"/>
                <w:highlight w:val="yellow"/>
              </w:rPr>
            </w:pPr>
            <w:r>
              <w:rPr>
                <w:rFonts w:hint="default" w:ascii="Times New Roman" w:hAnsi="Times New Roman" w:cs="Times New Roman"/>
                <w:sz w:val="21"/>
                <w:szCs w:val="21"/>
                <w:highlight w:val="none"/>
              </w:rPr>
              <w:t>建设</w:t>
            </w:r>
            <w:r>
              <w:rPr>
                <w:rFonts w:hint="eastAsia" w:ascii="Times New Roman" w:hAnsi="Times New Roman" w:cs="Times New Roman"/>
                <w:sz w:val="21"/>
                <w:szCs w:val="21"/>
                <w:highlight w:val="none"/>
                <w:lang w:val="en-US" w:eastAsia="zh-CN"/>
              </w:rPr>
              <w:t xml:space="preserve">    </w:t>
            </w:r>
            <w:r>
              <w:rPr>
                <w:rFonts w:hint="default" w:ascii="Times New Roman" w:hAnsi="Times New Roman" w:cs="Times New Roman"/>
                <w:sz w:val="21"/>
                <w:szCs w:val="21"/>
                <w:highlight w:val="none"/>
              </w:rPr>
              <w:t>内容</w:t>
            </w:r>
          </w:p>
        </w:tc>
        <w:tc>
          <w:tcPr>
            <w:tcW w:w="8622" w:type="dxa"/>
            <w:tcBorders>
              <w:top w:val="single" w:color="auto" w:sz="8" w:space="0"/>
              <w:left w:val="single" w:color="auto" w:sz="4" w:space="0"/>
              <w:bottom w:val="single" w:color="auto" w:sz="4" w:space="0"/>
              <w:right w:val="single" w:color="auto" w:sz="8"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b/>
                <w:bCs/>
                <w:lang w:val="en-US" w:eastAsia="zh-CN"/>
              </w:rPr>
            </w:pPr>
            <w:r>
              <w:rPr>
                <w:rFonts w:hint="default"/>
                <w:b/>
                <w:bCs/>
                <w:lang w:val="en-US" w:eastAsia="zh-CN"/>
              </w:rPr>
              <w:t>一、工程内容及规模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lang w:eastAsia="zh-CN"/>
              </w:rPr>
            </w:pPr>
            <w:r>
              <w:rPr>
                <w:rFonts w:hint="default" w:ascii="Times New Roman" w:hAnsi="Times New Roman" w:cs="Times New Roman"/>
                <w:lang w:eastAsia="zh-CN"/>
              </w:rPr>
              <w:t>锡林郭勒盟建安工贸有限责任公司</w:t>
            </w:r>
            <w:r>
              <w:rPr>
                <w:rFonts w:hint="default" w:ascii="Times New Roman" w:hAnsi="Times New Roman" w:cs="Times New Roman"/>
                <w:lang w:val="en-US" w:eastAsia="zh-CN"/>
              </w:rPr>
              <w:t>投资30万元建</w:t>
            </w:r>
            <w:r>
              <w:rPr>
                <w:rFonts w:hint="eastAsia" w:ascii="宋体" w:hAnsi="宋体" w:eastAsia="宋体" w:cs="宋体"/>
                <w:lang w:val="en-US" w:eastAsia="zh-CN"/>
              </w:rPr>
              <w:t>设“</w:t>
            </w:r>
            <w:r>
              <w:rPr>
                <w:rFonts w:hint="eastAsia" w:ascii="宋体" w:hAnsi="宋体" w:eastAsia="宋体" w:cs="宋体"/>
                <w:color w:val="FF0000"/>
                <w:lang w:val="en-US" w:eastAsia="zh-CN"/>
              </w:rPr>
              <w:t>锡林郭勒盟建安工贸有限责任公司彩钢板生产项目</w:t>
            </w:r>
            <w:r>
              <w:rPr>
                <w:rFonts w:hint="eastAsia" w:ascii="宋体" w:hAnsi="宋体" w:eastAsia="宋体" w:cs="宋体"/>
                <w:lang w:val="en-US" w:eastAsia="zh-CN"/>
              </w:rPr>
              <w:t>”，项</w:t>
            </w:r>
            <w:r>
              <w:rPr>
                <w:rFonts w:hint="default" w:ascii="Times New Roman" w:hAnsi="Times New Roman" w:cs="Times New Roman"/>
                <w:lang w:val="en-US" w:eastAsia="zh-CN"/>
              </w:rPr>
              <w:t>目已于2014年6月建成并投产。</w:t>
            </w:r>
            <w:r>
              <w:rPr>
                <w:rFonts w:hint="default" w:ascii="Times New Roman" w:hAnsi="Times New Roman" w:cs="Times New Roman"/>
                <w:color w:val="FF0000"/>
                <w:lang w:val="en-US" w:eastAsia="zh-CN"/>
              </w:rPr>
              <w:t>本项目位于内蒙古自治区锡林郭勒盟锡林浩特市</w:t>
            </w:r>
            <w:r>
              <w:rPr>
                <w:rFonts w:hint="eastAsia" w:ascii="Times New Roman" w:hAnsi="Times New Roman" w:cs="Times New Roman"/>
                <w:color w:val="FF0000"/>
                <w:lang w:val="en-US" w:eastAsia="zh-CN"/>
              </w:rPr>
              <w:t>建材园区</w:t>
            </w:r>
            <w:r>
              <w:rPr>
                <w:rFonts w:hint="default" w:ascii="Times New Roman" w:hAnsi="Times New Roman" w:cs="Times New Roman"/>
                <w:color w:val="FF0000"/>
                <w:lang w:val="en-US" w:eastAsia="zh-CN"/>
              </w:rPr>
              <w:t>。</w:t>
            </w:r>
            <w:r>
              <w:rPr>
                <w:rFonts w:hint="default" w:ascii="Times New Roman" w:hAnsi="Times New Roman" w:cs="Times New Roman"/>
                <w:lang w:val="en-US" w:eastAsia="zh-CN"/>
              </w:rPr>
              <w:t>本项目占地12000m</w:t>
            </w:r>
            <w:r>
              <w:rPr>
                <w:rFonts w:hint="default" w:ascii="Times New Roman" w:hAnsi="Times New Roman" w:cs="Times New Roman"/>
                <w:vertAlign w:val="superscript"/>
                <w:lang w:val="en-US" w:eastAsia="zh-CN"/>
              </w:rPr>
              <w:t>2</w:t>
            </w:r>
            <w:r>
              <w:rPr>
                <w:rFonts w:hint="default" w:ascii="Times New Roman" w:hAnsi="Times New Roman" w:cs="Times New Roman"/>
                <w:lang w:val="en-US" w:eastAsia="zh-CN"/>
              </w:rPr>
              <w:t>，其中车间占地面积2000m</w:t>
            </w:r>
            <w:r>
              <w:rPr>
                <w:rFonts w:hint="default" w:ascii="Times New Roman" w:hAnsi="Times New Roman" w:cs="Times New Roman"/>
                <w:vertAlign w:val="superscript"/>
                <w:lang w:val="en-US" w:eastAsia="zh-CN"/>
              </w:rPr>
              <w:t>2</w:t>
            </w:r>
            <w:r>
              <w:rPr>
                <w:rFonts w:hint="default" w:ascii="Times New Roman" w:hAnsi="Times New Roman" w:cs="Times New Roman"/>
                <w:lang w:val="en-US" w:eastAsia="zh-CN"/>
              </w:rPr>
              <w:t>，成品存放区占地面积600m</w:t>
            </w:r>
            <w:r>
              <w:rPr>
                <w:rFonts w:hint="default" w:ascii="Times New Roman" w:hAnsi="Times New Roman" w:cs="Times New Roman"/>
                <w:vertAlign w:val="superscript"/>
                <w:lang w:val="en-US" w:eastAsia="zh-CN"/>
              </w:rPr>
              <w:t>2</w:t>
            </w:r>
            <w:r>
              <w:rPr>
                <w:rFonts w:hint="default" w:ascii="Times New Roman" w:hAnsi="Times New Roman" w:cs="Times New Roman"/>
                <w:lang w:val="en-US" w:eastAsia="zh-CN"/>
              </w:rPr>
              <w:t>，原料堆放区占地面积2000m</w:t>
            </w:r>
            <w:r>
              <w:rPr>
                <w:rFonts w:hint="default" w:ascii="Times New Roman" w:hAnsi="Times New Roman" w:cs="Times New Roman"/>
                <w:vertAlign w:val="superscript"/>
                <w:lang w:val="en-US" w:eastAsia="zh-CN"/>
              </w:rPr>
              <w:t>2</w:t>
            </w:r>
            <w:r>
              <w:rPr>
                <w:rFonts w:hint="default" w:ascii="Times New Roman" w:hAnsi="Times New Roman" w:cs="Times New Roman"/>
                <w:lang w:val="en-US" w:eastAsia="zh-CN"/>
              </w:rPr>
              <w:t>，办公生活区300m</w:t>
            </w:r>
            <w:r>
              <w:rPr>
                <w:rFonts w:hint="default" w:ascii="Times New Roman" w:hAnsi="Times New Roman" w:cs="Times New Roman"/>
                <w:vertAlign w:val="superscript"/>
                <w:lang w:val="en-US" w:eastAsia="zh-CN"/>
              </w:rPr>
              <w:t>2</w:t>
            </w:r>
            <w:r>
              <w:rPr>
                <w:rFonts w:hint="default" w:ascii="Times New Roman" w:hAnsi="Times New Roman" w:cs="Times New Roman"/>
                <w:lang w:val="en-US" w:eastAsia="zh-CN"/>
              </w:rPr>
              <w:t>，车间内建设三条彩钢复合板生产线，年生产35000m彩钢复合板，12000m彩钢单板。</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b/>
                <w:bCs/>
                <w:lang w:val="en-US" w:eastAsia="zh-CN"/>
              </w:rPr>
            </w:pPr>
            <w:r>
              <w:rPr>
                <w:rFonts w:hint="eastAsia"/>
                <w:b/>
                <w:bCs/>
                <w:lang w:val="en-US" w:eastAsia="zh-CN"/>
              </w:rPr>
              <w:t>二</w:t>
            </w:r>
            <w:r>
              <w:rPr>
                <w:rFonts w:hint="default"/>
                <w:b/>
                <w:bCs/>
                <w:lang w:val="en-US" w:eastAsia="zh-CN"/>
              </w:rPr>
              <w:t>、工程概况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lang w:val="en-US" w:eastAsia="zh-CN"/>
              </w:rPr>
            </w:pPr>
            <w:r>
              <w:rPr>
                <w:rFonts w:hint="default"/>
              </w:rPr>
              <w:t>项目名称：</w:t>
            </w:r>
            <w:r>
              <w:rPr>
                <w:rFonts w:hint="default"/>
                <w:color w:val="FF0000"/>
                <w:lang w:val="en-US" w:eastAsia="zh-CN"/>
              </w:rPr>
              <w:t>锡林郭勒盟建安工贸有限责任公司彩钢板生产项目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lang w:eastAsia="zh-CN"/>
              </w:rPr>
            </w:pPr>
            <w:r>
              <w:rPr>
                <w:rFonts w:hint="default"/>
              </w:rPr>
              <w:t>建设单位：</w:t>
            </w:r>
            <w:r>
              <w:rPr>
                <w:rFonts w:hint="eastAsia"/>
                <w:lang w:eastAsia="zh-CN"/>
              </w:rPr>
              <w:t>锡林郭勒盟建安工贸有限责任公司</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lang w:eastAsia="zh-CN"/>
              </w:rPr>
            </w:pPr>
            <w:r>
              <w:rPr>
                <w:rFonts w:hint="default"/>
              </w:rPr>
              <w:t>建设性质：</w:t>
            </w:r>
            <w:r>
              <w:rPr>
                <w:rFonts w:hint="default"/>
                <w:lang w:eastAsia="zh-CN"/>
              </w:rPr>
              <w:t>新建</w:t>
            </w:r>
            <w:r>
              <w:rPr>
                <w:rFonts w:hint="eastAsia"/>
                <w:lang w:eastAsia="zh-CN"/>
              </w:rPr>
              <w:t>（已于</w:t>
            </w:r>
            <w:r>
              <w:rPr>
                <w:rFonts w:hint="default" w:ascii="Times New Roman" w:hAnsi="Times New Roman" w:cs="Times New Roman"/>
                <w:lang w:val="en-US" w:eastAsia="zh-CN"/>
              </w:rPr>
              <w:t>2014年6</w:t>
            </w:r>
            <w:r>
              <w:rPr>
                <w:rFonts w:hint="eastAsia"/>
                <w:lang w:val="en-US" w:eastAsia="zh-CN"/>
              </w:rPr>
              <w:t>月建成投产</w:t>
            </w:r>
            <w:r>
              <w:rPr>
                <w:rFonts w:hint="eastAsia"/>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rPr>
            </w:pPr>
            <w:r>
              <w:rPr>
                <w:rFonts w:hint="default"/>
              </w:rPr>
              <w:t>行业类别：</w:t>
            </w:r>
            <w:r>
              <w:rPr>
                <w:rFonts w:hint="default"/>
                <w:lang w:val="en-US" w:eastAsia="zh-CN"/>
              </w:rPr>
              <w:t>C3311金属结构制造</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lang w:eastAsia="zh-CN"/>
              </w:rPr>
            </w:pPr>
            <w:r>
              <w:rPr>
                <w:rFonts w:hint="default"/>
              </w:rPr>
              <w:t>项目总投资：</w:t>
            </w:r>
            <w:r>
              <w:rPr>
                <w:rFonts w:hint="eastAsia"/>
                <w:lang w:val="en-US" w:eastAsia="zh-CN"/>
              </w:rPr>
              <w:t>30万元</w:t>
            </w:r>
            <w:r>
              <w:rPr>
                <w:rFonts w:hint="default"/>
              </w:rPr>
              <w:t>，其中环保投资</w:t>
            </w:r>
            <w:r>
              <w:rPr>
                <w:rFonts w:hint="eastAsia"/>
                <w:lang w:val="en-US" w:eastAsia="zh-CN"/>
              </w:rPr>
              <w:t>2万元</w:t>
            </w:r>
            <w:r>
              <w:rPr>
                <w:rFonts w:hint="default"/>
              </w:rPr>
              <w:t>，环保投资所占</w:t>
            </w:r>
            <w:r>
              <w:rPr>
                <w:rFonts w:hint="eastAsia"/>
                <w:lang w:eastAsia="zh-CN"/>
              </w:rPr>
              <w:t>比例为6.67%。</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lang w:eastAsia="zh-CN"/>
              </w:rPr>
            </w:pPr>
            <w:r>
              <w:rPr>
                <w:rFonts w:hint="default"/>
              </w:rPr>
              <w:t>建设地点：</w:t>
            </w:r>
            <w:r>
              <w:rPr>
                <w:rFonts w:hint="default"/>
                <w:lang w:val="en-US" w:eastAsia="zh-CN"/>
              </w:rPr>
              <w:t>锡林浩特市</w:t>
            </w:r>
            <w:r>
              <w:rPr>
                <w:rFonts w:hint="eastAsia"/>
                <w:lang w:val="en-US" w:eastAsia="zh-CN"/>
              </w:rPr>
              <w:t>杭办德尔斯图社区建材园区</w:t>
            </w:r>
            <w:r>
              <w:rPr>
                <w:rFonts w:hint="eastAsia"/>
                <w:lang w:eastAsia="zh-CN"/>
              </w:rPr>
              <w:t>锡林郭勒盟建安工贸有限责任公司院内。</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b/>
                <w:bCs/>
                <w:lang w:val="en-US" w:eastAsia="zh-CN"/>
              </w:rPr>
            </w:pPr>
            <w:r>
              <w:rPr>
                <w:rFonts w:hint="eastAsia"/>
                <w:b/>
                <w:bCs/>
                <w:lang w:val="en-US" w:eastAsia="zh-CN"/>
              </w:rPr>
              <w:t>三</w:t>
            </w:r>
            <w:r>
              <w:rPr>
                <w:rFonts w:hint="default"/>
                <w:b/>
                <w:bCs/>
                <w:lang w:val="en-US" w:eastAsia="zh-CN"/>
              </w:rPr>
              <w:t>、工程内容及规模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lang w:val="en-US" w:eastAsia="zh-CN"/>
              </w:rPr>
            </w:pPr>
            <w:r>
              <w:rPr>
                <w:rFonts w:hint="eastAsia"/>
                <w:lang w:eastAsia="zh-CN"/>
              </w:rPr>
              <w:t>本项目已于</w:t>
            </w:r>
            <w:r>
              <w:rPr>
                <w:rFonts w:hint="eastAsia"/>
                <w:lang w:val="en-US" w:eastAsia="zh-CN"/>
              </w:rPr>
              <w:t>2014年6月建成投产</w:t>
            </w:r>
            <w:r>
              <w:rPr>
                <w:rFonts w:hint="eastAsia"/>
                <w:lang w:eastAsia="zh-CN"/>
              </w:rPr>
              <w:t>，现有项目</w:t>
            </w:r>
            <w:r>
              <w:rPr>
                <w:rFonts w:hint="default"/>
              </w:rPr>
              <w:t>工程组成情况见</w:t>
            </w:r>
            <w:r>
              <w:rPr>
                <w:rFonts w:hint="default"/>
                <w:lang w:eastAsia="zh-CN"/>
              </w:rPr>
              <w:t>下表</w:t>
            </w:r>
            <w:r>
              <w:rPr>
                <w:rFonts w:hint="eastAsia"/>
                <w:lang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表1   工程组成一览表</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976"/>
              <w:gridCol w:w="866"/>
              <w:gridCol w:w="4617"/>
              <w:gridCol w:w="12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09"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项目</w:t>
                  </w:r>
                </w:p>
              </w:tc>
              <w:tc>
                <w:tcPr>
                  <w:tcW w:w="326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内容</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42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主体工程</w:t>
                  </w:r>
                </w:p>
              </w:tc>
              <w:tc>
                <w:tcPr>
                  <w:tcW w:w="581"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彩钢板生产车间</w:t>
                  </w:r>
                </w:p>
              </w:tc>
              <w:tc>
                <w:tcPr>
                  <w:tcW w:w="51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加工区</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位于院内西侧，占地面积12000m</w:t>
                  </w:r>
                  <w:r>
                    <w:rPr>
                      <w:rFonts w:hint="default" w:ascii="Times New Roman" w:hAnsi="Times New Roman" w:eastAsia="宋体" w:cs="Times New Roman"/>
                      <w:color w:val="auto"/>
                      <w:sz w:val="21"/>
                      <w:szCs w:val="21"/>
                      <w:vertAlign w:val="superscript"/>
                      <w:lang w:val="en-US" w:eastAsia="zh-CN"/>
                    </w:rPr>
                    <w:t>2</w:t>
                  </w:r>
                  <w:r>
                    <w:rPr>
                      <w:rFonts w:hint="default" w:ascii="Times New Roman" w:hAnsi="Times New Roman" w:eastAsia="宋体" w:cs="Times New Roman"/>
                      <w:color w:val="auto"/>
                      <w:sz w:val="21"/>
                      <w:szCs w:val="21"/>
                      <w:lang w:val="en-US" w:eastAsia="zh-CN"/>
                    </w:rPr>
                    <w:t>，内含三条彩钢复合板生产线，包括960mm复合板生产线一条、950mm复合板生产线一条、860mm单板生产线一条。其中960mm复合板和950mm复合板总产能为35000m/a、860mm单板产能为12000m/a。</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已建成厂房，一层，彩钢结构，封闭式结构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p>
              </w:tc>
              <w:tc>
                <w:tcPr>
                  <w:tcW w:w="581"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p>
              </w:tc>
              <w:tc>
                <w:tcPr>
                  <w:tcW w:w="51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成品堆放区</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占地面积600m</w:t>
                  </w:r>
                  <w:r>
                    <w:rPr>
                      <w:rFonts w:hint="default" w:ascii="Times New Roman" w:hAnsi="Times New Roman" w:eastAsia="宋体" w:cs="Times New Roman"/>
                      <w:color w:val="auto"/>
                      <w:sz w:val="21"/>
                      <w:szCs w:val="21"/>
                      <w:vertAlign w:val="superscript"/>
                      <w:lang w:val="en-US" w:eastAsia="zh-CN"/>
                    </w:rPr>
                    <w:t>2</w:t>
                  </w:r>
                  <w:r>
                    <w:rPr>
                      <w:rFonts w:hint="default" w:ascii="Times New Roman" w:hAnsi="Times New Roman" w:eastAsia="宋体" w:cs="Times New Roman"/>
                      <w:color w:val="auto"/>
                      <w:sz w:val="21"/>
                      <w:szCs w:val="21"/>
                      <w:lang w:val="en-US" w:eastAsia="zh-CN"/>
                    </w:rPr>
                    <w:t>，本项目为订单式生产，即产即运，不长期存放。</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p>
              </w:tc>
              <w:tc>
                <w:tcPr>
                  <w:tcW w:w="581"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rPr>
                  </w:pPr>
                </w:p>
              </w:tc>
              <w:tc>
                <w:tcPr>
                  <w:tcW w:w="51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原料区</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位于院内东侧，占地面积2000m</w:t>
                  </w:r>
                  <w:r>
                    <w:rPr>
                      <w:rFonts w:hint="default" w:ascii="Times New Roman" w:hAnsi="Times New Roman" w:eastAsia="宋体" w:cs="Times New Roman"/>
                      <w:color w:val="auto"/>
                      <w:sz w:val="21"/>
                      <w:szCs w:val="21"/>
                      <w:vertAlign w:val="superscript"/>
                      <w:lang w:val="en-US" w:eastAsia="zh-CN"/>
                    </w:rPr>
                    <w:t>2</w:t>
                  </w:r>
                  <w:r>
                    <w:rPr>
                      <w:rFonts w:hint="default" w:ascii="Times New Roman" w:hAnsi="Times New Roman" w:eastAsia="宋体" w:cs="Times New Roman"/>
                      <w:color w:val="auto"/>
                      <w:sz w:val="21"/>
                      <w:szCs w:val="21"/>
                      <w:lang w:val="en-US" w:eastAsia="zh-CN"/>
                    </w:rPr>
                    <w:t>，用于存放泡沫板、彩卷等。</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42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储运工程</w:t>
                  </w: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道路</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厂外依托市政现有水泥路，厂内道路为水泥路。</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辅助工程</w:t>
                  </w: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办公生活区</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一层，彩钢房，占地面积300m</w:t>
                  </w:r>
                  <w:r>
                    <w:rPr>
                      <w:rFonts w:hint="default" w:ascii="Times New Roman" w:hAnsi="Times New Roman" w:eastAsia="宋体" w:cs="Times New Roman"/>
                      <w:color w:val="auto"/>
                      <w:sz w:val="21"/>
                      <w:szCs w:val="21"/>
                      <w:vertAlign w:val="superscript"/>
                      <w:lang w:val="en-US" w:eastAsia="zh-CN"/>
                    </w:rPr>
                    <w:t>2</w:t>
                  </w:r>
                  <w:r>
                    <w:rPr>
                      <w:rFonts w:hint="default" w:ascii="Times New Roman" w:hAnsi="Times New Roman" w:eastAsia="宋体" w:cs="Times New Roman"/>
                      <w:color w:val="auto"/>
                      <w:sz w:val="21"/>
                      <w:szCs w:val="21"/>
                      <w:lang w:val="en-US" w:eastAsia="zh-CN"/>
                    </w:rPr>
                    <w:t>，建筑面积300m</w:t>
                  </w:r>
                  <w:r>
                    <w:rPr>
                      <w:rFonts w:hint="default" w:ascii="Times New Roman" w:hAnsi="Times New Roman" w:eastAsia="宋体" w:cs="Times New Roman"/>
                      <w:color w:val="auto"/>
                      <w:sz w:val="21"/>
                      <w:szCs w:val="21"/>
                      <w:vertAlign w:val="superscript"/>
                      <w:lang w:val="en-US" w:eastAsia="zh-CN"/>
                    </w:rPr>
                    <w:t>2</w:t>
                  </w:r>
                  <w:r>
                    <w:rPr>
                      <w:rFonts w:hint="default" w:ascii="Times New Roman" w:hAnsi="Times New Roman" w:eastAsia="宋体" w:cs="Times New Roman"/>
                      <w:color w:val="auto"/>
                      <w:sz w:val="21"/>
                      <w:szCs w:val="21"/>
                      <w:lang w:val="en-US" w:eastAsia="zh-CN"/>
                    </w:rPr>
                    <w:t>。</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公用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工程</w:t>
                  </w: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给水工程</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本项目无生产用水，生活用水由厂区向外界购买桶装饮用水。</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排水工程</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本项目无生产废水产生，职工生活污水依托厂区外的市政公厕，盥洗废水产生量较小，全部用于厂区泼洒抑尘，不外排。</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供暖工程</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本项目冬季不生产，无需供暖。</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供电工程</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由市政供电系统供应。</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环保</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工程</w:t>
                  </w: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废气治理</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生产车间为封闭式，无组织排放的金属粉尘颗粒物满足《大气污染物综合排放标准》（GB16297-1996）中表2的标准即≤1.0mg/m</w:t>
                  </w:r>
                  <w:r>
                    <w:rPr>
                      <w:rFonts w:hint="default" w:ascii="Times New Roman" w:hAnsi="Times New Roman" w:eastAsia="宋体" w:cs="Times New Roman"/>
                      <w:color w:val="auto"/>
                      <w:sz w:val="21"/>
                      <w:szCs w:val="21"/>
                      <w:vertAlign w:val="superscript"/>
                      <w:lang w:val="en-US" w:eastAsia="zh-CN"/>
                    </w:rPr>
                    <w:t>3</w:t>
                  </w:r>
                  <w:r>
                    <w:rPr>
                      <w:rFonts w:hint="default" w:ascii="Times New Roman" w:hAnsi="Times New Roman" w:eastAsia="宋体" w:cs="Times New Roman"/>
                      <w:color w:val="auto"/>
                      <w:sz w:val="21"/>
                      <w:szCs w:val="21"/>
                      <w:lang w:val="en-US" w:eastAsia="zh-CN"/>
                    </w:rPr>
                    <w:t>；无组织逸散的挥发性有机物排放浓度满足《挥发性有机物无组织排放控制标准》（GB37822-2019）中表A.1的监控点处1h平均浓度值10mg/m</w:t>
                  </w:r>
                  <w:r>
                    <w:rPr>
                      <w:rFonts w:hint="default" w:ascii="Times New Roman" w:hAnsi="Times New Roman" w:eastAsia="宋体" w:cs="Times New Roman"/>
                      <w:color w:val="auto"/>
                      <w:sz w:val="21"/>
                      <w:szCs w:val="21"/>
                      <w:vertAlign w:val="superscript"/>
                      <w:lang w:val="en-US" w:eastAsia="zh-CN"/>
                    </w:rPr>
                    <w:t>3</w:t>
                  </w:r>
                  <w:r>
                    <w:rPr>
                      <w:rFonts w:hint="default" w:ascii="Times New Roman" w:hAnsi="Times New Roman" w:eastAsia="宋体" w:cs="Times New Roman"/>
                      <w:color w:val="auto"/>
                      <w:sz w:val="21"/>
                      <w:szCs w:val="21"/>
                      <w:lang w:val="en-US" w:eastAsia="zh-CN"/>
                    </w:rPr>
                    <w:t>；运输过程中减速慢行，尽量降低装卸落差，厂区内进行洒水抑尘。</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噪声治理</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基础减震，设备安装底座，主要噪声设备均在生产车间内。</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废水治理</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本项目无生产废水产生，职工生活污水依托厂区外的市政公厕，盥洗废水产生量较小，全部用于厂区泼洒抑尘，不外排。</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固废治理</w:t>
                  </w: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废金属边角料、盛装粘合剂的废桶和废泡沫经收集后直接出售给废品收购站</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2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1097" w:type="pct"/>
                  <w:gridSpan w:val="2"/>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p>
              </w:tc>
              <w:tc>
                <w:tcPr>
                  <w:tcW w:w="27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生活垃圾集中收集后交由环卫部门统一处理处置。</w:t>
                  </w:r>
                </w:p>
              </w:tc>
              <w:tc>
                <w:tcPr>
                  <w:tcW w:w="72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lang w:val="en-US" w:eastAsia="zh-CN"/>
                    </w:rPr>
                  </w:pPr>
                  <w:r>
                    <w:rPr>
                      <w:rFonts w:hint="default" w:ascii="Times New Roman" w:hAnsi="Times New Roman" w:eastAsia="宋体" w:cs="Times New Roman"/>
                      <w:color w:val="auto"/>
                      <w:sz w:val="21"/>
                      <w:szCs w:val="21"/>
                      <w:lang w:val="en-US" w:eastAsia="zh-CN"/>
                    </w:rPr>
                    <w:t>已建成</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b/>
                <w:bCs/>
                <w:lang w:val="en-US" w:eastAsia="zh-CN"/>
              </w:rPr>
            </w:pPr>
            <w:r>
              <w:rPr>
                <w:rFonts w:hint="eastAsia"/>
                <w:b/>
                <w:bCs/>
                <w:lang w:val="en-US" w:eastAsia="zh-CN"/>
              </w:rPr>
              <w:t>四</w:t>
            </w:r>
            <w:r>
              <w:rPr>
                <w:rFonts w:hint="default"/>
                <w:b/>
                <w:bCs/>
                <w:lang w:val="en-US" w:eastAsia="zh-CN"/>
              </w:rPr>
              <w:t>、主要</w:t>
            </w:r>
            <w:r>
              <w:rPr>
                <w:rFonts w:hint="eastAsia"/>
                <w:b/>
                <w:bCs/>
                <w:lang w:val="en-US" w:eastAsia="zh-CN"/>
              </w:rPr>
              <w:t>产品方案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lang w:eastAsia="zh-CN"/>
              </w:rPr>
            </w:pPr>
            <w:r>
              <w:rPr>
                <w:rFonts w:hint="eastAsia"/>
                <w:lang w:eastAsia="zh-CN"/>
              </w:rPr>
              <w:t>本项目</w:t>
            </w:r>
            <w:r>
              <w:rPr>
                <w:rFonts w:hint="default"/>
                <w:lang w:eastAsia="zh-CN"/>
              </w:rPr>
              <w:t>经加工后产生</w:t>
            </w:r>
            <w:r>
              <w:rPr>
                <w:rFonts w:hint="eastAsia"/>
                <w:lang w:eastAsia="zh-CN"/>
              </w:rPr>
              <w:t>多种尺寸</w:t>
            </w:r>
            <w:r>
              <w:rPr>
                <w:rFonts w:hint="default"/>
                <w:lang w:eastAsia="zh-CN"/>
              </w:rPr>
              <w:t>规格产品，用作建筑</w:t>
            </w:r>
            <w:r>
              <w:rPr>
                <w:rFonts w:hint="eastAsia"/>
                <w:lang w:eastAsia="zh-CN"/>
              </w:rPr>
              <w:t>材料</w:t>
            </w:r>
            <w:r>
              <w:rPr>
                <w:rFonts w:hint="default"/>
                <w:lang w:eastAsia="zh-CN"/>
              </w:rPr>
              <w:t>，由汽车运输外运</w:t>
            </w:r>
            <w:r>
              <w:rPr>
                <w:rFonts w:hint="eastAsia"/>
                <w:lang w:eastAsia="zh-CN"/>
              </w:rPr>
              <w:t>，项目产品方案见表</w:t>
            </w:r>
            <w:r>
              <w:rPr>
                <w:rFonts w:hint="default" w:ascii="Times New Roman" w:hAnsi="Times New Roman" w:cs="Times New Roman"/>
                <w:lang w:val="en-US" w:eastAsia="zh-CN"/>
              </w:rPr>
              <w:t>2</w:t>
            </w:r>
            <w:r>
              <w:rPr>
                <w:rFonts w:hint="default"/>
                <w:lang w:eastAsia="zh-CN"/>
              </w:rPr>
              <w:t>。</w:t>
            </w:r>
          </w:p>
          <w:p>
            <w:pPr>
              <w:spacing w:before="78" w:beforeLines="25" w:line="480" w:lineRule="exact"/>
              <w:jc w:val="center"/>
              <w:rPr>
                <w:rFonts w:hint="default"/>
                <w:b/>
                <w:bCs/>
              </w:rPr>
            </w:pPr>
            <w:r>
              <w:rPr>
                <w:rFonts w:hint="default"/>
                <w:b/>
                <w:bCs/>
              </w:rPr>
              <w:t>表</w:t>
            </w:r>
            <w:r>
              <w:rPr>
                <w:rFonts w:hint="default" w:ascii="Times New Roman" w:hAnsi="Times New Roman" w:cs="Times New Roman"/>
                <w:b/>
                <w:bCs/>
                <w:lang w:val="en-US" w:eastAsia="zh-CN"/>
              </w:rPr>
              <w:t>2</w:t>
            </w:r>
            <w:r>
              <w:rPr>
                <w:rFonts w:hint="default"/>
                <w:b/>
                <w:bCs/>
              </w:rPr>
              <w:t xml:space="preserve">   项目产品方案</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1"/>
              <w:gridCol w:w="3291"/>
              <w:gridCol w:w="29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99" w:type="pct"/>
                  <w:tcBorders>
                    <w:tl2br w:val="nil"/>
                    <w:tr2bl w:val="nil"/>
                  </w:tcBorders>
                  <w:noWrap w:val="0"/>
                  <w:vAlign w:val="center"/>
                </w:tcPr>
                <w:p>
                  <w:pPr>
                    <w:widowControl/>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产品名称</w:t>
                  </w:r>
                </w:p>
              </w:tc>
              <w:tc>
                <w:tcPr>
                  <w:tcW w:w="1960" w:type="pct"/>
                  <w:tcBorders>
                    <w:tl2br w:val="nil"/>
                    <w:tr2bl w:val="nil"/>
                  </w:tcBorders>
                  <w:noWrap w:val="0"/>
                  <w:vAlign w:val="center"/>
                </w:tcPr>
                <w:p>
                  <w:pPr>
                    <w:widowControl/>
                    <w:jc w:val="center"/>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rPr>
                    <w:t>规格型号</w:t>
                  </w:r>
                  <w:r>
                    <w:rPr>
                      <w:rFonts w:hint="default" w:ascii="Times New Roman" w:hAnsi="Times New Roman" w:eastAsia="宋体" w:cs="Times New Roman"/>
                      <w:sz w:val="21"/>
                      <w:szCs w:val="21"/>
                      <w:lang w:eastAsia="zh-CN"/>
                    </w:rPr>
                    <w:t>（宽度）</w:t>
                  </w:r>
                </w:p>
              </w:tc>
              <w:tc>
                <w:tcPr>
                  <w:tcW w:w="1740" w:type="pct"/>
                  <w:tcBorders>
                    <w:tl2br w:val="nil"/>
                    <w:tr2bl w:val="nil"/>
                  </w:tcBorders>
                  <w:noWrap w:val="0"/>
                  <w:vAlign w:val="center"/>
                </w:tcPr>
                <w:p>
                  <w:pPr>
                    <w:widowControl/>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产量</w:t>
                  </w:r>
                  <w:r>
                    <w:rPr>
                      <w:rFonts w:hint="default" w:ascii="Times New Roman" w:hAnsi="Times New Roman" w:eastAsia="宋体" w:cs="Times New Roman"/>
                      <w:sz w:val="21"/>
                      <w:szCs w:val="21"/>
                      <w:lang w:eastAsia="zh-CN"/>
                    </w:rPr>
                    <w:t>（米）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99" w:type="pct"/>
                  <w:tcBorders>
                    <w:tl2br w:val="nil"/>
                    <w:tr2bl w:val="nil"/>
                  </w:tcBorders>
                  <w:noWrap w:val="0"/>
                  <w:vAlign w:val="center"/>
                </w:tcPr>
                <w:p>
                  <w:pPr>
                    <w:widowControl/>
                    <w:jc w:val="center"/>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lang w:eastAsia="zh-CN"/>
                    </w:rPr>
                    <w:t>彩钢复合板</w:t>
                  </w:r>
                </w:p>
              </w:tc>
              <w:tc>
                <w:tcPr>
                  <w:tcW w:w="1960" w:type="pct"/>
                  <w:tcBorders>
                    <w:tl2br w:val="nil"/>
                    <w:tr2bl w:val="nil"/>
                  </w:tcBorders>
                  <w:noWrap w:val="0"/>
                  <w:vAlign w:val="center"/>
                </w:tcPr>
                <w:p>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960mm</w:t>
                  </w:r>
                </w:p>
              </w:tc>
              <w:tc>
                <w:tcPr>
                  <w:tcW w:w="1740" w:type="pct"/>
                  <w:vMerge w:val="restart"/>
                  <w:tcBorders>
                    <w:tl2br w:val="nil"/>
                    <w:tr2bl w:val="nil"/>
                  </w:tcBorders>
                  <w:noWrap w:val="0"/>
                  <w:vAlign w:val="center"/>
                </w:tcPr>
                <w:p>
                  <w:pPr>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35000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99" w:type="pct"/>
                  <w:tcBorders>
                    <w:tl2br w:val="nil"/>
                    <w:tr2bl w:val="nil"/>
                  </w:tcBorders>
                  <w:noWrap w:val="0"/>
                  <w:vAlign w:val="center"/>
                </w:tcPr>
                <w:p>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eastAsia="zh-CN"/>
                    </w:rPr>
                    <w:t>彩钢复合板</w:t>
                  </w:r>
                </w:p>
              </w:tc>
              <w:tc>
                <w:tcPr>
                  <w:tcW w:w="1960" w:type="pct"/>
                  <w:tcBorders>
                    <w:tl2br w:val="nil"/>
                    <w:tr2bl w:val="nil"/>
                  </w:tcBorders>
                  <w:noWrap w:val="0"/>
                  <w:vAlign w:val="center"/>
                </w:tcPr>
                <w:p>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950mm</w:t>
                  </w:r>
                </w:p>
              </w:tc>
              <w:tc>
                <w:tcPr>
                  <w:tcW w:w="1740" w:type="pct"/>
                  <w:vMerge w:val="continue"/>
                  <w:tcBorders>
                    <w:tl2br w:val="nil"/>
                    <w:tr2bl w:val="nil"/>
                  </w:tcBorders>
                  <w:noWrap w:val="0"/>
                  <w:vAlign w:val="center"/>
                </w:tcPr>
                <w:p>
                  <w:pPr>
                    <w:jc w:val="center"/>
                    <w:rPr>
                      <w:rFonts w:hint="default" w:ascii="Times New Roman" w:hAnsi="Times New Roman" w:eastAsia="宋体" w:cs="Times New Roman"/>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99" w:type="pct"/>
                  <w:tcBorders>
                    <w:tl2br w:val="nil"/>
                    <w:tr2bl w:val="nil"/>
                  </w:tcBorders>
                  <w:noWrap w:val="0"/>
                  <w:vAlign w:val="center"/>
                </w:tcPr>
                <w:p>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eastAsia="zh-CN"/>
                    </w:rPr>
                    <w:t>彩钢单板</w:t>
                  </w:r>
                </w:p>
              </w:tc>
              <w:tc>
                <w:tcPr>
                  <w:tcW w:w="1960" w:type="pct"/>
                  <w:tcBorders>
                    <w:tl2br w:val="nil"/>
                    <w:tr2bl w:val="nil"/>
                  </w:tcBorders>
                  <w:noWrap w:val="0"/>
                  <w:vAlign w:val="center"/>
                </w:tcPr>
                <w:p>
                  <w:pPr>
                    <w:widowControl/>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860mm</w:t>
                  </w:r>
                </w:p>
              </w:tc>
              <w:tc>
                <w:tcPr>
                  <w:tcW w:w="1740" w:type="pct"/>
                  <w:tcBorders>
                    <w:tl2br w:val="nil"/>
                    <w:tr2bl w:val="nil"/>
                  </w:tcBorders>
                  <w:noWrap w:val="0"/>
                  <w:vAlign w:val="center"/>
                </w:tcPr>
                <w:p>
                  <w:pPr>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12000</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b/>
                <w:bCs/>
                <w:lang w:val="en-US" w:eastAsia="zh-CN"/>
              </w:rPr>
            </w:pPr>
            <w:r>
              <w:rPr>
                <w:rFonts w:hint="eastAsia"/>
                <w:b/>
                <w:bCs/>
                <w:lang w:val="en-US" w:eastAsia="zh-CN"/>
              </w:rPr>
              <w:t>五</w:t>
            </w:r>
            <w:r>
              <w:rPr>
                <w:rFonts w:hint="default"/>
                <w:b/>
                <w:bCs/>
                <w:lang w:val="en-US" w:eastAsia="zh-CN"/>
              </w:rPr>
              <w:t>、主要设备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rPr>
            </w:pPr>
            <w:r>
              <w:rPr>
                <w:rFonts w:hint="default" w:ascii="Times New Roman" w:hAnsi="Times New Roman" w:eastAsia="宋体" w:cs="Times New Roman"/>
              </w:rPr>
              <w:t>本项目主要</w:t>
            </w:r>
            <w:r>
              <w:rPr>
                <w:rFonts w:hint="default" w:ascii="Times New Roman" w:hAnsi="Times New Roman" w:eastAsia="宋体" w:cs="Times New Roman"/>
                <w:lang w:eastAsia="zh-CN"/>
              </w:rPr>
              <w:t>应设备</w:t>
            </w:r>
            <w:r>
              <w:rPr>
                <w:rFonts w:hint="default" w:ascii="Times New Roman" w:hAnsi="Times New Roman" w:eastAsia="宋体" w:cs="Times New Roman"/>
              </w:rPr>
              <w:t>见</w:t>
            </w:r>
            <w:r>
              <w:rPr>
                <w:rFonts w:hint="default" w:ascii="Times New Roman" w:hAnsi="Times New Roman" w:eastAsia="宋体" w:cs="Times New Roman"/>
                <w:lang w:eastAsia="zh-CN"/>
              </w:rPr>
              <w:t>表</w:t>
            </w:r>
            <w:r>
              <w:rPr>
                <w:rFonts w:hint="default" w:ascii="Times New Roman" w:hAnsi="Times New Roman" w:eastAsia="宋体" w:cs="Times New Roman"/>
                <w:lang w:val="en-US" w:eastAsia="zh-CN"/>
              </w:rPr>
              <w:t>3</w:t>
            </w:r>
            <w:r>
              <w:rPr>
                <w:rFonts w:hint="default" w:ascii="Times New Roman" w:hAnsi="Times New Roman" w:eastAsia="宋体" w:cs="Times New Roman"/>
              </w:rPr>
              <w:t>。</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lang w:eastAsia="zh-CN"/>
              </w:rPr>
            </w:pPr>
            <w:r>
              <w:rPr>
                <w:rFonts w:hint="default" w:ascii="Times New Roman" w:hAnsi="Times New Roman" w:eastAsia="宋体" w:cs="Times New Roman"/>
                <w:b/>
                <w:bCs/>
                <w:lang w:eastAsia="zh-CN"/>
              </w:rPr>
              <w:t>表</w:t>
            </w:r>
            <w:r>
              <w:rPr>
                <w:rFonts w:hint="default" w:ascii="Times New Roman" w:hAnsi="Times New Roman" w:eastAsia="宋体" w:cs="Times New Roman"/>
                <w:b/>
                <w:bCs/>
                <w:lang w:val="en-US" w:eastAsia="zh-CN"/>
              </w:rPr>
              <w:t>3</w:t>
            </w:r>
            <w:r>
              <w:rPr>
                <w:rFonts w:hint="default" w:ascii="Times New Roman" w:hAnsi="Times New Roman" w:eastAsia="宋体" w:cs="Times New Roman"/>
                <w:b/>
                <w:bCs/>
                <w:lang w:eastAsia="zh-CN"/>
              </w:rPr>
              <w:t xml:space="preserve">    主要设备一览表</w:t>
            </w:r>
          </w:p>
          <w:tbl>
            <w:tblPr>
              <w:tblStyle w:val="21"/>
              <w:tblW w:w="499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32"/>
              <w:gridCol w:w="4329"/>
              <w:gridCol w:w="20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210" w:type="pct"/>
                  <w:tcBorders>
                    <w:tl2br w:val="nil"/>
                    <w:tr2bl w:val="nil"/>
                  </w:tcBorders>
                  <w:vAlign w:val="center"/>
                </w:tcPr>
                <w:p>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2579" w:type="pct"/>
                  <w:tcBorders>
                    <w:tl2br w:val="nil"/>
                    <w:tr2bl w:val="nil"/>
                  </w:tcBorders>
                  <w:vAlign w:val="center"/>
                </w:tcPr>
                <w:p>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设备名称</w:t>
                  </w:r>
                </w:p>
              </w:tc>
              <w:tc>
                <w:tcPr>
                  <w:tcW w:w="1210" w:type="pct"/>
                  <w:tcBorders>
                    <w:tl2br w:val="nil"/>
                    <w:tr2bl w:val="nil"/>
                  </w:tcBorders>
                  <w:vAlign w:val="center"/>
                </w:tcPr>
                <w:p>
                  <w:pPr>
                    <w:adjustRightInd w:val="0"/>
                    <w:snapToGrid w:val="0"/>
                    <w:jc w:val="center"/>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1</w:t>
                  </w:r>
                </w:p>
              </w:tc>
              <w:tc>
                <w:tcPr>
                  <w:tcW w:w="2579"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960复合机</w:t>
                  </w:r>
                </w:p>
              </w:tc>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2</w:t>
                  </w:r>
                </w:p>
              </w:tc>
              <w:tc>
                <w:tcPr>
                  <w:tcW w:w="2579"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950复合机</w:t>
                  </w:r>
                </w:p>
              </w:tc>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97" w:hRule="atLeast"/>
              </w:trPr>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3</w:t>
                  </w:r>
                </w:p>
              </w:tc>
              <w:tc>
                <w:tcPr>
                  <w:tcW w:w="2579"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860单板机</w:t>
                  </w:r>
                </w:p>
              </w:tc>
              <w:tc>
                <w:tcPr>
                  <w:tcW w:w="1210" w:type="pct"/>
                  <w:tcBorders>
                    <w:tl2br w:val="nil"/>
                    <w:tr2bl w:val="nil"/>
                  </w:tcBorders>
                  <w:vAlign w:val="center"/>
                </w:tcPr>
                <w:p>
                  <w:pPr>
                    <w:adjustRightInd w:val="0"/>
                    <w:snapToGrid w:val="0"/>
                    <w:spacing w:line="240" w:lineRule="auto"/>
                    <w:ind w:firstLine="0" w:firstLineChars="0"/>
                    <w:jc w:val="center"/>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台</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lang w:val="en-US" w:eastAsia="zh-CN"/>
              </w:rPr>
            </w:pPr>
            <w:r>
              <w:rPr>
                <w:rFonts w:hint="default" w:ascii="Times New Roman" w:hAnsi="Times New Roman" w:cs="Times New Roman"/>
                <w:b/>
                <w:bCs/>
                <w:lang w:val="en-US" w:eastAsia="zh-CN"/>
              </w:rPr>
              <w:t>六、原辅材料用量及物料平衡</w:t>
            </w:r>
          </w:p>
          <w:p>
            <w:pPr>
              <w:tabs>
                <w:tab w:val="left" w:pos="3225"/>
                <w:tab w:val="center" w:pos="4599"/>
              </w:tabs>
              <w:spacing w:line="360" w:lineRule="auto"/>
              <w:ind w:firstLine="480" w:firstLineChars="200"/>
              <w:rPr>
                <w:rFonts w:hint="default" w:ascii="Times New Roman" w:hAnsi="Times New Roman" w:cs="Times New Roman"/>
                <w:lang w:val="en-US" w:eastAsia="zh-CN"/>
              </w:rPr>
            </w:pPr>
            <w:r>
              <w:rPr>
                <w:rFonts w:hint="default" w:ascii="Times New Roman" w:hAnsi="Times New Roman" w:cs="Times New Roman"/>
              </w:rPr>
              <w:t>本项目原料为外购</w:t>
            </w:r>
            <w:r>
              <w:rPr>
                <w:rFonts w:hint="default" w:ascii="Times New Roman" w:hAnsi="Times New Roman" w:cs="Times New Roman"/>
                <w:lang w:eastAsia="zh-CN"/>
              </w:rPr>
              <w:t>彩钢卷（彩钢卷自带颜色，无需喷涂和其他化学工艺），成型泡沫，</w:t>
            </w:r>
            <w:r>
              <w:rPr>
                <w:rFonts w:hint="default" w:ascii="Times New Roman" w:hAnsi="Times New Roman" w:cs="Times New Roman"/>
                <w:lang w:val="en-US" w:eastAsia="zh-CN"/>
              </w:rPr>
              <w:t>彩钢夹芯板粘合剂</w:t>
            </w:r>
            <w:r>
              <w:rPr>
                <w:rFonts w:hint="default" w:ascii="Times New Roman" w:hAnsi="Times New Roman" w:cs="Times New Roman"/>
              </w:rPr>
              <w:t>，项目原辅材料消耗情况见</w:t>
            </w:r>
            <w:r>
              <w:rPr>
                <w:rFonts w:hint="default" w:ascii="Times New Roman" w:hAnsi="Times New Roman" w:cs="Times New Roman"/>
                <w:lang w:eastAsia="zh-CN"/>
              </w:rPr>
              <w:t>表</w:t>
            </w:r>
            <w:r>
              <w:rPr>
                <w:rFonts w:hint="default" w:ascii="Times New Roman" w:hAnsi="Times New Roman" w:cs="Times New Roman"/>
                <w:lang w:val="en-US" w:eastAsia="zh-CN"/>
              </w:rPr>
              <w:t>4。</w:t>
            </w:r>
          </w:p>
          <w:p>
            <w:pPr>
              <w:spacing w:before="78" w:beforeLines="25" w:line="480" w:lineRule="exact"/>
              <w:jc w:val="center"/>
              <w:rPr>
                <w:rFonts w:hint="default" w:ascii="Times New Roman" w:hAnsi="Times New Roman" w:cs="Times New Roman"/>
                <w:b/>
                <w:bCs/>
              </w:rPr>
            </w:pPr>
            <w:r>
              <w:rPr>
                <w:rFonts w:hint="default" w:ascii="Times New Roman" w:hAnsi="Times New Roman" w:cs="Times New Roman"/>
                <w:b/>
                <w:bCs/>
              </w:rPr>
              <w:t>表</w:t>
            </w:r>
            <w:r>
              <w:rPr>
                <w:rFonts w:hint="default" w:ascii="Times New Roman" w:hAnsi="Times New Roman" w:cs="Times New Roman"/>
                <w:b/>
                <w:bCs/>
                <w:lang w:val="en-US" w:eastAsia="zh-CN"/>
              </w:rPr>
              <w:t>4</w:t>
            </w:r>
            <w:r>
              <w:rPr>
                <w:rFonts w:hint="default" w:ascii="Times New Roman" w:hAnsi="Times New Roman" w:cs="Times New Roman"/>
                <w:b/>
                <w:bCs/>
              </w:rPr>
              <w:t xml:space="preserve"> </w:t>
            </w:r>
            <w:r>
              <w:rPr>
                <w:rFonts w:hint="default" w:ascii="Times New Roman" w:hAnsi="Times New Roman" w:cs="Times New Roman"/>
                <w:b/>
                <w:bCs/>
                <w:lang w:val="en-US" w:eastAsia="zh-CN"/>
              </w:rPr>
              <w:t xml:space="preserve"> </w:t>
            </w:r>
            <w:r>
              <w:rPr>
                <w:rFonts w:hint="default" w:ascii="Times New Roman" w:hAnsi="Times New Roman" w:cs="Times New Roman"/>
                <w:b/>
                <w:bCs/>
              </w:rPr>
              <w:t xml:space="preserve"> 主要原</w:t>
            </w:r>
            <w:r>
              <w:rPr>
                <w:rFonts w:hint="default" w:ascii="Times New Roman" w:hAnsi="Times New Roman" w:cs="Times New Roman"/>
                <w:b/>
                <w:bCs/>
                <w:lang w:eastAsia="zh-CN"/>
              </w:rPr>
              <w:t>辅材料</w:t>
            </w:r>
            <w:r>
              <w:rPr>
                <w:rFonts w:hint="default" w:ascii="Times New Roman" w:hAnsi="Times New Roman" w:cs="Times New Roman"/>
                <w:b/>
                <w:bCs/>
              </w:rPr>
              <w:t>消耗情况表</w:t>
            </w:r>
          </w:p>
          <w:tbl>
            <w:tblPr>
              <w:tblStyle w:val="21"/>
              <w:tblW w:w="0" w:type="auto"/>
              <w:jc w:val="center"/>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152"/>
              <w:gridCol w:w="1033"/>
              <w:gridCol w:w="1035"/>
              <w:gridCol w:w="1165"/>
              <w:gridCol w:w="1608"/>
              <w:gridCol w:w="2125"/>
            </w:tblGrid>
            <w:tr>
              <w:tblPrEx>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14" w:hRule="atLeast"/>
                <w:jc w:val="center"/>
              </w:trPr>
              <w:tc>
                <w:tcPr>
                  <w:tcW w:w="1152" w:type="dxa"/>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序号</w:t>
                  </w:r>
                </w:p>
              </w:tc>
              <w:tc>
                <w:tcPr>
                  <w:tcW w:w="2068" w:type="dxa"/>
                  <w:gridSpan w:val="2"/>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名称</w:t>
                  </w:r>
                </w:p>
              </w:tc>
              <w:tc>
                <w:tcPr>
                  <w:tcW w:w="1165" w:type="dxa"/>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单位</w:t>
                  </w:r>
                </w:p>
              </w:tc>
              <w:tc>
                <w:tcPr>
                  <w:tcW w:w="1608" w:type="dxa"/>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年总耗量</w:t>
                  </w:r>
                </w:p>
              </w:tc>
              <w:tc>
                <w:tcPr>
                  <w:tcW w:w="2125" w:type="dxa"/>
                  <w:tcBorders>
                    <w:tl2br w:val="nil"/>
                    <w:tr2bl w:val="nil"/>
                  </w:tcBorders>
                  <w:noWrap w:val="0"/>
                  <w:vAlign w:val="top"/>
                </w:tcPr>
                <w:p>
                  <w:pPr>
                    <w:jc w:val="center"/>
                    <w:rPr>
                      <w:rFonts w:hint="default" w:ascii="Times New Roman" w:hAnsi="Times New Roman" w:cs="Times New Roman"/>
                      <w:sz w:val="21"/>
                      <w:szCs w:val="21"/>
                    </w:rPr>
                  </w:pPr>
                  <w:r>
                    <w:rPr>
                      <w:rFonts w:hint="default" w:ascii="Times New Roman" w:hAnsi="Times New Roman" w:cs="Times New Roman"/>
                      <w:sz w:val="21"/>
                      <w:szCs w:val="21"/>
                    </w:rPr>
                    <w:t>来源</w:t>
                  </w:r>
                </w:p>
              </w:tc>
            </w:tr>
            <w:tr>
              <w:tblPrEx>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4" w:hRule="atLeast"/>
                <w:jc w:val="center"/>
              </w:trPr>
              <w:tc>
                <w:tcPr>
                  <w:tcW w:w="1152" w:type="dxa"/>
                  <w:tcBorders>
                    <w:tl2br w:val="nil"/>
                    <w:tr2bl w:val="nil"/>
                  </w:tcBorders>
                  <w:noWrap/>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rPr>
                    <w:t>1</w:t>
                  </w:r>
                </w:p>
              </w:tc>
              <w:tc>
                <w:tcPr>
                  <w:tcW w:w="2068" w:type="dxa"/>
                  <w:gridSpan w:val="2"/>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彩钢卷</w:t>
                  </w:r>
                </w:p>
              </w:tc>
              <w:tc>
                <w:tcPr>
                  <w:tcW w:w="1165" w:type="dxa"/>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t</w:t>
                  </w:r>
                  <w:r>
                    <w:rPr>
                      <w:rFonts w:hint="default" w:ascii="Times New Roman" w:hAnsi="Times New Roman" w:cs="Times New Roman"/>
                      <w:sz w:val="21"/>
                      <w:szCs w:val="21"/>
                    </w:rPr>
                    <w:t>/a</w:t>
                  </w:r>
                </w:p>
              </w:tc>
              <w:tc>
                <w:tcPr>
                  <w:tcW w:w="1608"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251</w:t>
                  </w:r>
                </w:p>
              </w:tc>
              <w:tc>
                <w:tcPr>
                  <w:tcW w:w="2125" w:type="dxa"/>
                  <w:tcBorders>
                    <w:tl2br w:val="nil"/>
                    <w:tr2bl w:val="nil"/>
                  </w:tcBorders>
                  <w:noWrap w:val="0"/>
                  <w:vAlign w:val="top"/>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外购，汽运，存放于车间外的原料堆放区</w:t>
                  </w:r>
                </w:p>
              </w:tc>
            </w:tr>
            <w:tr>
              <w:tblPrEx>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4" w:hRule="atLeast"/>
                <w:jc w:val="center"/>
              </w:trPr>
              <w:tc>
                <w:tcPr>
                  <w:tcW w:w="1152" w:type="dxa"/>
                  <w:tcBorders>
                    <w:tl2br w:val="nil"/>
                    <w:tr2bl w:val="nil"/>
                  </w:tcBorders>
                  <w:noWrap/>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2</w:t>
                  </w:r>
                </w:p>
              </w:tc>
              <w:tc>
                <w:tcPr>
                  <w:tcW w:w="2068" w:type="dxa"/>
                  <w:gridSpan w:val="2"/>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成型泡沫板</w:t>
                  </w:r>
                </w:p>
              </w:tc>
              <w:tc>
                <w:tcPr>
                  <w:tcW w:w="1165"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t</w:t>
                  </w:r>
                  <w:r>
                    <w:rPr>
                      <w:rFonts w:hint="default" w:ascii="Times New Roman" w:hAnsi="Times New Roman" w:cs="Times New Roman"/>
                      <w:sz w:val="21"/>
                      <w:szCs w:val="21"/>
                    </w:rPr>
                    <w:t>/a</w:t>
                  </w:r>
                </w:p>
              </w:tc>
              <w:tc>
                <w:tcPr>
                  <w:tcW w:w="1608"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22.05</w:t>
                  </w:r>
                </w:p>
              </w:tc>
              <w:tc>
                <w:tcPr>
                  <w:tcW w:w="2125" w:type="dxa"/>
                  <w:tcBorders>
                    <w:tl2br w:val="nil"/>
                    <w:tr2bl w:val="nil"/>
                  </w:tcBorders>
                  <w:noWrap w:val="0"/>
                  <w:vAlign w:val="top"/>
                </w:tcPr>
                <w:p>
                  <w:pPr>
                    <w:jc w:val="center"/>
                    <w:rPr>
                      <w:rFonts w:hint="default" w:ascii="Times New Roman" w:hAnsi="Times New Roman" w:cs="Times New Roman"/>
                      <w:sz w:val="21"/>
                      <w:szCs w:val="21"/>
                      <w:lang w:eastAsia="zh-CN"/>
                    </w:rPr>
                  </w:pPr>
                  <w:r>
                    <w:rPr>
                      <w:rFonts w:hint="default" w:ascii="Times New Roman" w:hAnsi="Times New Roman" w:cs="Times New Roman"/>
                      <w:sz w:val="21"/>
                      <w:szCs w:val="21"/>
                      <w:lang w:eastAsia="zh-CN"/>
                    </w:rPr>
                    <w:t>外购</w:t>
                  </w:r>
                  <w:r>
                    <w:rPr>
                      <w:rFonts w:hint="default" w:ascii="Times New Roman" w:hAnsi="Times New Roman" w:cs="Times New Roman"/>
                      <w:sz w:val="21"/>
                      <w:szCs w:val="21"/>
                      <w:lang w:val="en-US" w:eastAsia="zh-CN"/>
                    </w:rPr>
                    <w:t>，汽运，存放于车间内</w:t>
                  </w:r>
                </w:p>
              </w:tc>
            </w:tr>
            <w:tr>
              <w:tblPrEx>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4" w:hRule="atLeast"/>
                <w:jc w:val="center"/>
              </w:trPr>
              <w:tc>
                <w:tcPr>
                  <w:tcW w:w="1152" w:type="dxa"/>
                  <w:tcBorders>
                    <w:tl2br w:val="nil"/>
                    <w:tr2bl w:val="nil"/>
                  </w:tcBorders>
                  <w:noWrap/>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3</w:t>
                  </w:r>
                </w:p>
              </w:tc>
              <w:tc>
                <w:tcPr>
                  <w:tcW w:w="1033" w:type="dxa"/>
                  <w:vMerge w:val="restart"/>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彩钢夹芯板粘合剂</w:t>
                  </w:r>
                </w:p>
              </w:tc>
              <w:tc>
                <w:tcPr>
                  <w:tcW w:w="1035"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黑胶</w:t>
                  </w:r>
                </w:p>
              </w:tc>
              <w:tc>
                <w:tcPr>
                  <w:tcW w:w="1165"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t</w:t>
                  </w:r>
                  <w:r>
                    <w:rPr>
                      <w:rFonts w:hint="default" w:ascii="Times New Roman" w:hAnsi="Times New Roman" w:cs="Times New Roman"/>
                      <w:sz w:val="21"/>
                      <w:szCs w:val="21"/>
                    </w:rPr>
                    <w:t>/a</w:t>
                  </w:r>
                </w:p>
              </w:tc>
              <w:tc>
                <w:tcPr>
                  <w:tcW w:w="1608"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0.56</w:t>
                  </w:r>
                </w:p>
              </w:tc>
              <w:tc>
                <w:tcPr>
                  <w:tcW w:w="2125" w:type="dxa"/>
                  <w:tcBorders>
                    <w:tl2br w:val="nil"/>
                    <w:tr2bl w:val="nil"/>
                  </w:tcBorders>
                  <w:noWrap w:val="0"/>
                  <w:vAlign w:val="top"/>
                </w:tcPr>
                <w:p>
                  <w:pPr>
                    <w:jc w:val="center"/>
                    <w:rPr>
                      <w:rFonts w:hint="default" w:ascii="Times New Roman" w:hAnsi="Times New Roman" w:cs="Times New Roman"/>
                      <w:sz w:val="21"/>
                      <w:szCs w:val="21"/>
                      <w:lang w:eastAsia="zh-CN"/>
                    </w:rPr>
                  </w:pPr>
                  <w:r>
                    <w:rPr>
                      <w:rFonts w:hint="default" w:ascii="Times New Roman" w:hAnsi="Times New Roman" w:cs="Times New Roman"/>
                      <w:sz w:val="21"/>
                      <w:szCs w:val="21"/>
                      <w:lang w:val="en-US" w:eastAsia="zh-CN"/>
                    </w:rPr>
                    <w:t>外购</w:t>
                  </w:r>
                  <w:r>
                    <w:rPr>
                      <w:rFonts w:hint="default" w:ascii="Times New Roman" w:hAnsi="Times New Roman" w:cs="Times New Roman"/>
                      <w:sz w:val="21"/>
                      <w:szCs w:val="21"/>
                      <w:lang w:eastAsia="zh-CN"/>
                    </w:rPr>
                    <w:t>外购</w:t>
                  </w:r>
                  <w:r>
                    <w:rPr>
                      <w:rFonts w:hint="default" w:ascii="Times New Roman" w:hAnsi="Times New Roman" w:cs="Times New Roman"/>
                      <w:sz w:val="21"/>
                      <w:szCs w:val="21"/>
                      <w:lang w:val="en-US" w:eastAsia="zh-CN"/>
                    </w:rPr>
                    <w:t>，汽运，存放于车间内</w:t>
                  </w:r>
                </w:p>
              </w:tc>
            </w:tr>
            <w:tr>
              <w:tblPrEx>
                <w:tblBorders>
                  <w:top w:val="single" w:color="auto" w:sz="4" w:space="0"/>
                  <w:left w:val="single" w:color="auto" w:sz="2" w:space="0"/>
                  <w:bottom w:val="single" w:color="auto" w:sz="4"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73" w:hRule="atLeast"/>
                <w:jc w:val="center"/>
              </w:trPr>
              <w:tc>
                <w:tcPr>
                  <w:tcW w:w="1152" w:type="dxa"/>
                  <w:tcBorders>
                    <w:tl2br w:val="nil"/>
                    <w:tr2bl w:val="nil"/>
                  </w:tcBorders>
                  <w:noWrap/>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4</w:t>
                  </w:r>
                </w:p>
              </w:tc>
              <w:tc>
                <w:tcPr>
                  <w:tcW w:w="1033" w:type="dxa"/>
                  <w:vMerge w:val="continue"/>
                  <w:tcBorders>
                    <w:tl2br w:val="nil"/>
                    <w:tr2bl w:val="nil"/>
                  </w:tcBorders>
                  <w:noWrap w:val="0"/>
                  <w:vAlign w:val="center"/>
                </w:tcPr>
                <w:p>
                  <w:pPr>
                    <w:jc w:val="center"/>
                    <w:rPr>
                      <w:rFonts w:hint="default" w:ascii="Times New Roman" w:hAnsi="Times New Roman" w:cs="Times New Roman"/>
                      <w:sz w:val="21"/>
                      <w:szCs w:val="21"/>
                      <w:lang w:eastAsia="zh-CN"/>
                    </w:rPr>
                  </w:pPr>
                </w:p>
              </w:tc>
              <w:tc>
                <w:tcPr>
                  <w:tcW w:w="1035" w:type="dxa"/>
                  <w:tcBorders>
                    <w:tl2br w:val="nil"/>
                    <w:tr2bl w:val="nil"/>
                  </w:tcBorders>
                  <w:noWrap w:val="0"/>
                  <w:vAlign w:val="center"/>
                </w:tcPr>
                <w:p>
                  <w:pPr>
                    <w:jc w:val="center"/>
                    <w:rPr>
                      <w:rFonts w:hint="default" w:ascii="Times New Roman" w:hAnsi="Times New Roman" w:cs="Times New Roman"/>
                      <w:sz w:val="21"/>
                      <w:szCs w:val="21"/>
                      <w:lang w:eastAsia="zh-CN"/>
                    </w:rPr>
                  </w:pPr>
                  <w:r>
                    <w:rPr>
                      <w:rFonts w:hint="default" w:ascii="Times New Roman" w:hAnsi="Times New Roman" w:cs="Times New Roman"/>
                      <w:sz w:val="21"/>
                      <w:szCs w:val="21"/>
                      <w:lang w:eastAsia="zh-CN"/>
                    </w:rPr>
                    <w:t>白胶</w:t>
                  </w:r>
                </w:p>
              </w:tc>
              <w:tc>
                <w:tcPr>
                  <w:tcW w:w="1165" w:type="dxa"/>
                  <w:tcBorders>
                    <w:tl2br w:val="nil"/>
                    <w:tr2bl w:val="nil"/>
                  </w:tcBorders>
                  <w:noWrap w:val="0"/>
                  <w:vAlign w:val="center"/>
                </w:tcPr>
                <w:p>
                  <w:pPr>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t</w:t>
                  </w:r>
                  <w:r>
                    <w:rPr>
                      <w:rFonts w:hint="default" w:ascii="Times New Roman" w:hAnsi="Times New Roman" w:cs="Times New Roman"/>
                      <w:sz w:val="21"/>
                      <w:szCs w:val="21"/>
                    </w:rPr>
                    <w:t>/a</w:t>
                  </w:r>
                </w:p>
              </w:tc>
              <w:tc>
                <w:tcPr>
                  <w:tcW w:w="1608" w:type="dxa"/>
                  <w:tcBorders>
                    <w:tl2br w:val="nil"/>
                    <w:tr2bl w:val="nil"/>
                  </w:tcBorders>
                  <w:noWrap w:val="0"/>
                  <w:vAlign w:val="center"/>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0.84</w:t>
                  </w:r>
                </w:p>
              </w:tc>
              <w:tc>
                <w:tcPr>
                  <w:tcW w:w="2125" w:type="dxa"/>
                  <w:tcBorders>
                    <w:tl2br w:val="nil"/>
                    <w:tr2bl w:val="nil"/>
                  </w:tcBorders>
                  <w:noWrap w:val="0"/>
                  <w:vAlign w:val="top"/>
                </w:tcPr>
                <w:p>
                  <w:pPr>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外购</w:t>
                  </w:r>
                  <w:r>
                    <w:rPr>
                      <w:rFonts w:hint="default" w:ascii="Times New Roman" w:hAnsi="Times New Roman" w:cs="Times New Roman"/>
                      <w:sz w:val="21"/>
                      <w:szCs w:val="21"/>
                      <w:lang w:eastAsia="zh-CN"/>
                    </w:rPr>
                    <w:t>外购</w:t>
                  </w:r>
                  <w:r>
                    <w:rPr>
                      <w:rFonts w:hint="default" w:ascii="Times New Roman" w:hAnsi="Times New Roman" w:cs="Times New Roman"/>
                      <w:sz w:val="21"/>
                      <w:szCs w:val="21"/>
                      <w:lang w:val="en-US" w:eastAsia="zh-CN"/>
                    </w:rPr>
                    <w:t>，汽运，存放于车间内</w:t>
                  </w:r>
                </w:p>
              </w:tc>
            </w:tr>
          </w:tbl>
          <w:p>
            <w:pPr>
              <w:pStyle w:val="2"/>
              <w:ind w:left="0" w:leftChars="0" w:firstLine="0" w:firstLineChars="0"/>
              <w:jc w:val="center"/>
              <w:rPr>
                <w:rFonts w:hint="default" w:ascii="Times New Roman" w:hAnsi="Times New Roman" w:cs="Times New Roman"/>
                <w:b/>
                <w:bCs/>
                <w:lang w:val="en-US" w:eastAsia="zh-CN"/>
              </w:rPr>
            </w:pPr>
            <w:r>
              <w:rPr>
                <w:rFonts w:hint="default" w:ascii="Times New Roman" w:hAnsi="Times New Roman" w:cs="Times New Roman"/>
                <w:b/>
                <w:bCs/>
                <w:lang w:eastAsia="zh-CN"/>
              </w:rPr>
              <w:t>表</w:t>
            </w:r>
            <w:r>
              <w:rPr>
                <w:rFonts w:hint="default" w:ascii="Times New Roman" w:hAnsi="Times New Roman" w:cs="Times New Roman"/>
                <w:b/>
                <w:bCs/>
                <w:lang w:val="en-US" w:eastAsia="zh-CN"/>
              </w:rPr>
              <w:t xml:space="preserve">5   </w:t>
            </w:r>
            <w:r>
              <w:rPr>
                <w:rFonts w:hint="default" w:ascii="Times New Roman" w:hAnsi="Times New Roman" w:cs="Times New Roman"/>
                <w:b/>
                <w:bCs/>
                <w:lang w:eastAsia="zh-CN"/>
              </w:rPr>
              <w:t>彩钢夹芯板粘合剂性状</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4829"/>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项目</w:t>
                  </w:r>
                </w:p>
              </w:tc>
              <w:tc>
                <w:tcPr>
                  <w:tcW w:w="2875"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黑胶</w:t>
                  </w:r>
                </w:p>
              </w:tc>
              <w:tc>
                <w:tcPr>
                  <w:tcW w:w="158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白胶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化学名称</w:t>
                  </w:r>
                </w:p>
              </w:tc>
              <w:tc>
                <w:tcPr>
                  <w:tcW w:w="2875"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聚亚基聚苯基异氰酸酯</w:t>
                  </w:r>
                </w:p>
              </w:tc>
              <w:tc>
                <w:tcPr>
                  <w:tcW w:w="158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聚醚混合物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外观</w:t>
                  </w:r>
                </w:p>
              </w:tc>
              <w:tc>
                <w:tcPr>
                  <w:tcW w:w="2875"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棕褐色液体</w:t>
                  </w:r>
                </w:p>
              </w:tc>
              <w:tc>
                <w:tcPr>
                  <w:tcW w:w="158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淡黄色液体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粘度</w:t>
                  </w:r>
                </w:p>
              </w:tc>
              <w:tc>
                <w:tcPr>
                  <w:tcW w:w="2875"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50-200</w:t>
                  </w:r>
                </w:p>
              </w:tc>
              <w:tc>
                <w:tcPr>
                  <w:tcW w:w="158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7" w:type="pct"/>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贮存条件</w:t>
                  </w:r>
                </w:p>
              </w:tc>
              <w:tc>
                <w:tcPr>
                  <w:tcW w:w="4462" w:type="pct"/>
                  <w:gridSpan w:val="2"/>
                  <w:noWrap w:val="0"/>
                  <w:vAlign w:val="center"/>
                </w:tcPr>
                <w:p>
                  <w:pPr>
                    <w:spacing w:line="360" w:lineRule="auto"/>
                    <w:jc w:val="center"/>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密闭储存于阴凉干燥处，本项目中黑胶和白胶存放于生产车间，车间封闭，阴凉干燥，符合贮存要求</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注：根据危险化学品目录（2015版），聚亚基聚苯基异氰酸酯与聚醚混合物不属于危险化学品</w:t>
            </w:r>
          </w:p>
          <w:p>
            <w:pPr>
              <w:pStyle w:val="2"/>
              <w:ind w:left="0" w:leftChars="0" w:right="0" w:rightChars="0" w:firstLine="0" w:firstLineChars="0"/>
              <w:jc w:val="center"/>
              <w:rPr>
                <w:rFonts w:hint="default" w:ascii="Times New Roman" w:hAnsi="Times New Roman" w:cs="Times New Roman"/>
                <w:b/>
                <w:bCs/>
                <w:color w:val="auto"/>
                <w:lang w:val="en-US" w:eastAsia="zh-CN"/>
              </w:rPr>
            </w:pPr>
            <w:r>
              <w:rPr>
                <w:rFonts w:hint="default" w:ascii="Times New Roman" w:hAnsi="Times New Roman" w:cs="Times New Roman"/>
                <w:b/>
                <w:bCs/>
                <w:color w:val="auto"/>
                <w:lang w:val="en-US" w:eastAsia="zh-CN"/>
              </w:rPr>
              <w:t>表6   物料平衡</w:t>
            </w:r>
          </w:p>
          <w:tbl>
            <w:tblPr>
              <w:tblStyle w:val="2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9"/>
              <w:gridCol w:w="1481"/>
              <w:gridCol w:w="726"/>
              <w:gridCol w:w="2481"/>
              <w:gridCol w:w="14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9" w:type="pct"/>
                  <w:gridSpan w:val="2"/>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进入</w:t>
                  </w:r>
                </w:p>
              </w:tc>
              <w:tc>
                <w:tcPr>
                  <w:tcW w:w="2790" w:type="pct"/>
                  <w:gridSpan w:val="3"/>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产出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进料名称</w:t>
                  </w:r>
                </w:p>
              </w:tc>
              <w:tc>
                <w:tcPr>
                  <w:tcW w:w="881"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数量（t/a）</w:t>
                  </w:r>
                </w:p>
              </w:tc>
              <w:tc>
                <w:tcPr>
                  <w:tcW w:w="1910" w:type="pct"/>
                  <w:gridSpan w:val="2"/>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出料名称</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数量（t/a）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7" w:type="pct"/>
                  <w:vMerge w:val="restar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彩钢卷</w:t>
                  </w:r>
                </w:p>
              </w:tc>
              <w:tc>
                <w:tcPr>
                  <w:tcW w:w="881" w:type="pct"/>
                  <w:vMerge w:val="restar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251</w:t>
                  </w:r>
                </w:p>
              </w:tc>
              <w:tc>
                <w:tcPr>
                  <w:tcW w:w="1910" w:type="pct"/>
                  <w:gridSpan w:val="2"/>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彩钢复合板</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7"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881"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1910" w:type="pct"/>
                  <w:gridSpan w:val="2"/>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彩钢单板</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64.34825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7"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881"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432"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固废</w:t>
                  </w:r>
                </w:p>
              </w:tc>
              <w:tc>
                <w:tcPr>
                  <w:tcW w:w="147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原料中清理出的废物</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327"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881"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432" w:type="pct"/>
                  <w:vMerge w:val="restar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废气</w:t>
                  </w:r>
                </w:p>
              </w:tc>
              <w:tc>
                <w:tcPr>
                  <w:tcW w:w="1477" w:type="pct"/>
                  <w:vMerge w:val="restar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金属粉尘</w:t>
                  </w:r>
                </w:p>
              </w:tc>
              <w:tc>
                <w:tcPr>
                  <w:tcW w:w="880" w:type="pct"/>
                  <w:vMerge w:val="restar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0.00035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32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成型泡沫板</w:t>
                  </w:r>
                </w:p>
              </w:tc>
              <w:tc>
                <w:tcPr>
                  <w:tcW w:w="881"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22.05</w:t>
                  </w:r>
                </w:p>
              </w:tc>
              <w:tc>
                <w:tcPr>
                  <w:tcW w:w="432"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1477"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880" w:type="pct"/>
                  <w:vMerge w:val="continue"/>
                  <w:noWrap w:val="0"/>
                  <w:vAlign w:val="center"/>
                </w:tcPr>
                <w:p>
                  <w:pPr>
                    <w:jc w:val="center"/>
                    <w:rPr>
                      <w:rFonts w:hint="default" w:ascii="Times New Roman" w:hAnsi="Times New Roman" w:cs="Times New Roman"/>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132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彩钢夹芯板粘合剂</w:t>
                  </w:r>
                </w:p>
              </w:tc>
              <w:tc>
                <w:tcPr>
                  <w:tcW w:w="881"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1.4</w:t>
                  </w:r>
                </w:p>
              </w:tc>
              <w:tc>
                <w:tcPr>
                  <w:tcW w:w="432" w:type="pct"/>
                  <w:vMerge w:val="continue"/>
                  <w:noWrap w:val="0"/>
                  <w:vAlign w:val="center"/>
                </w:tcPr>
                <w:p>
                  <w:pPr>
                    <w:jc w:val="center"/>
                    <w:rPr>
                      <w:rFonts w:hint="default" w:ascii="Times New Roman" w:hAnsi="Times New Roman" w:cs="Times New Roman"/>
                      <w:color w:val="auto"/>
                      <w:sz w:val="21"/>
                      <w:szCs w:val="21"/>
                      <w:lang w:val="en-US" w:eastAsia="zh-CN"/>
                    </w:rPr>
                  </w:pPr>
                </w:p>
              </w:tc>
              <w:tc>
                <w:tcPr>
                  <w:tcW w:w="147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挥发性有机物</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0.0014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7"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合计</w:t>
                  </w:r>
                </w:p>
              </w:tc>
              <w:tc>
                <w:tcPr>
                  <w:tcW w:w="881"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274.45</w:t>
                  </w:r>
                </w:p>
              </w:tc>
              <w:tc>
                <w:tcPr>
                  <w:tcW w:w="1910" w:type="pct"/>
                  <w:gridSpan w:val="2"/>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合计</w:t>
                  </w:r>
                </w:p>
              </w:tc>
              <w:tc>
                <w:tcPr>
                  <w:tcW w:w="880" w:type="pct"/>
                  <w:noWrap w:val="0"/>
                  <w:vAlign w:val="center"/>
                </w:tcPr>
                <w:p>
                  <w:pPr>
                    <w:jc w:val="center"/>
                    <w:rPr>
                      <w:rFonts w:hint="default" w:ascii="Times New Roman" w:hAnsi="Times New Roman" w:cs="Times New Roman"/>
                      <w:color w:val="auto"/>
                      <w:sz w:val="21"/>
                      <w:szCs w:val="21"/>
                      <w:lang w:val="en-US" w:eastAsia="zh-CN"/>
                    </w:rPr>
                  </w:pPr>
                  <w:r>
                    <w:rPr>
                      <w:rFonts w:hint="default" w:ascii="Times New Roman" w:hAnsi="Times New Roman" w:cs="Times New Roman"/>
                      <w:color w:val="auto"/>
                      <w:sz w:val="21"/>
                      <w:szCs w:val="21"/>
                      <w:lang w:val="en-US" w:eastAsia="zh-CN"/>
                    </w:rPr>
                    <w:t>274.45</w:t>
                  </w:r>
                </w:p>
              </w:tc>
            </w:tr>
          </w:tbl>
          <w:p>
            <w:pPr>
              <w:pStyle w:val="15"/>
              <w:numPr>
                <w:ilvl w:val="0"/>
                <w:numId w:val="0"/>
              </w:numPr>
              <w:ind w:firstLine="482" w:firstLineChars="200"/>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七、劳动定员及工作制度</w:t>
            </w:r>
          </w:p>
          <w:p>
            <w:pPr>
              <w:pStyle w:val="15"/>
              <w:numPr>
                <w:ilvl w:val="0"/>
                <w:numId w:val="0"/>
              </w:numPr>
              <w:ind w:left="480" w:leftChars="0"/>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年运行7个月（5-11月），每天工作8小时。工作人员5人。</w:t>
            </w:r>
          </w:p>
          <w:p>
            <w:pPr>
              <w:pStyle w:val="15"/>
              <w:numPr>
                <w:ilvl w:val="0"/>
                <w:numId w:val="2"/>
              </w:numPr>
              <w:ind w:left="480" w:leftChars="0" w:firstLine="0" w:firstLineChars="0"/>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公用工程</w:t>
            </w:r>
          </w:p>
          <w:p>
            <w:pPr>
              <w:pStyle w:val="15"/>
              <w:keepNext w:val="0"/>
              <w:keepLines w:val="0"/>
              <w:pageBreakBefore w:val="0"/>
              <w:widowControl w:val="0"/>
              <w:numPr>
                <w:ilvl w:val="0"/>
                <w:numId w:val="3"/>
              </w:numPr>
              <w:kinsoku/>
              <w:wordWrap/>
              <w:overflowPunct/>
              <w:topLinePunct w:val="0"/>
              <w:autoSpaceDE/>
              <w:autoSpaceDN/>
              <w:bidi w:val="0"/>
              <w:adjustRightInd/>
              <w:snapToGrid/>
              <w:spacing w:line="480" w:lineRule="exact"/>
              <w:ind w:left="480" w:leftChars="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给水</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本项目生活饮用水为外购的桶装水，项目生产过程中不消耗水资源；。根据《内蒙古自治区行业用水定额》（DB15／T385-2020）确定用水量为每人每天60L，厂区工作定员为5人，年生产210天，则日用水量为0.3m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，年用水量为63m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，其中60%用于职工生活，即37.8m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/a，40%用于盥洗，即25.2m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/a。</w:t>
            </w:r>
          </w:p>
          <w:p>
            <w:pPr>
              <w:pStyle w:val="15"/>
              <w:keepNext w:val="0"/>
              <w:keepLines w:val="0"/>
              <w:pageBreakBefore w:val="0"/>
              <w:widowControl w:val="0"/>
              <w:numPr>
                <w:ilvl w:val="0"/>
                <w:numId w:val="3"/>
              </w:numPr>
              <w:kinsoku/>
              <w:wordWrap/>
              <w:overflowPunct/>
              <w:topLinePunct w:val="0"/>
              <w:autoSpaceDE/>
              <w:autoSpaceDN/>
              <w:bidi w:val="0"/>
              <w:adjustRightInd/>
              <w:snapToGrid/>
              <w:spacing w:line="480" w:lineRule="exact"/>
              <w:ind w:left="480" w:leftChars="0" w:firstLine="0" w:firstLineChars="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排水</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本项目生产过程不用水，无生产废水产生，职工人数较少，职工生活废水产生量按用水量的80%计算，职工生活废水产生量为30.24m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/a，职工生活污水依托厂区外旱厕，废水主要为职工盥洗废水，盥洗废水产生量按用水量的90%计算，则盥洗废水产生量为22.68m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lang w:val="en-US" w:eastAsia="zh-CN"/>
              </w:rPr>
              <w:t>/a，盥洗废水产生量较小，全部用于厂区泼洒抑尘，不外排。</w:t>
            </w:r>
          </w:p>
          <w:p>
            <w:pPr>
              <w:pStyle w:val="15"/>
              <w:keepNext w:val="0"/>
              <w:keepLines w:val="0"/>
              <w:pageBreakBefore w:val="0"/>
              <w:widowControl w:val="0"/>
              <w:numPr>
                <w:ilvl w:val="0"/>
                <w:numId w:val="3"/>
              </w:numPr>
              <w:kinsoku/>
              <w:wordWrap/>
              <w:overflowPunct/>
              <w:topLinePunct w:val="0"/>
              <w:autoSpaceDE/>
              <w:autoSpaceDN/>
              <w:bidi w:val="0"/>
              <w:adjustRightInd/>
              <w:snapToGrid/>
              <w:spacing w:line="480" w:lineRule="exact"/>
              <w:ind w:left="480" w:leftChars="0" w:firstLine="0" w:firstLineChars="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供热</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本项目冬季不生产，无需供热。</w:t>
            </w:r>
          </w:p>
          <w:p>
            <w:pPr>
              <w:pStyle w:val="15"/>
              <w:keepNext w:val="0"/>
              <w:keepLines w:val="0"/>
              <w:pageBreakBefore w:val="0"/>
              <w:widowControl w:val="0"/>
              <w:numPr>
                <w:ilvl w:val="0"/>
                <w:numId w:val="3"/>
              </w:numPr>
              <w:kinsoku/>
              <w:wordWrap/>
              <w:overflowPunct/>
              <w:topLinePunct w:val="0"/>
              <w:autoSpaceDE/>
              <w:autoSpaceDN/>
              <w:bidi w:val="0"/>
              <w:adjustRightInd/>
              <w:snapToGrid/>
              <w:spacing w:line="480" w:lineRule="exact"/>
              <w:ind w:left="480" w:leftChars="0" w:firstLine="0" w:firstLineChars="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供电</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项目运营后利用市政供电线路供电。</w:t>
            </w:r>
          </w:p>
          <w:p>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left="480" w:leftChars="0" w:firstLine="0" w:firstLineChars="0"/>
              <w:textAlignment w:val="auto"/>
              <w:rPr>
                <w:rFonts w:hint="default" w:ascii="Times New Roman" w:hAnsi="Times New Roman" w:cs="Times New Roman"/>
                <w:b/>
                <w:bCs/>
                <w:color w:val="auto"/>
                <w:sz w:val="24"/>
                <w:szCs w:val="24"/>
                <w:lang w:val="en-US" w:eastAsia="zh-CN"/>
              </w:rPr>
            </w:pPr>
            <w:r>
              <w:rPr>
                <w:rFonts w:hint="default" w:ascii="Times New Roman" w:hAnsi="Times New Roman" w:cs="Times New Roman"/>
                <w:b/>
                <w:bCs/>
                <w:color w:val="auto"/>
                <w:sz w:val="24"/>
                <w:szCs w:val="24"/>
                <w:lang w:val="en-US" w:eastAsia="zh-CN"/>
              </w:rPr>
              <w:t>项目平面布置及周边关系</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本项目位于</w:t>
            </w:r>
            <w:r>
              <w:rPr>
                <w:rFonts w:hint="default" w:ascii="Times New Roman" w:hAnsi="Times New Roman" w:cs="Times New Roman"/>
                <w:color w:val="FF0000"/>
                <w:sz w:val="24"/>
                <w:szCs w:val="24"/>
                <w:lang w:val="en-US" w:eastAsia="zh-CN"/>
              </w:rPr>
              <w:t>内蒙古自治区锡林郭勒盟锡林浩特市</w:t>
            </w:r>
            <w:r>
              <w:rPr>
                <w:rFonts w:hint="eastAsia" w:ascii="Times New Roman" w:hAnsi="Times New Roman" w:cs="Times New Roman"/>
                <w:color w:val="FF0000"/>
                <w:sz w:val="24"/>
                <w:szCs w:val="24"/>
                <w:lang w:val="en-US" w:eastAsia="zh-CN"/>
              </w:rPr>
              <w:t>建材园区</w:t>
            </w:r>
            <w:r>
              <w:rPr>
                <w:rFonts w:hint="default" w:ascii="Times New Roman" w:hAnsi="Times New Roman" w:cs="Times New Roman"/>
                <w:color w:val="FF0000"/>
                <w:sz w:val="24"/>
                <w:szCs w:val="24"/>
                <w:lang w:val="en-US" w:eastAsia="zh-CN"/>
              </w:rPr>
              <w:t>，</w:t>
            </w:r>
            <w:r>
              <w:rPr>
                <w:rFonts w:hint="default" w:ascii="Times New Roman" w:hAnsi="Times New Roman" w:cs="Times New Roman"/>
                <w:color w:val="auto"/>
                <w:sz w:val="24"/>
                <w:szCs w:val="24"/>
                <w:lang w:val="en-US" w:eastAsia="zh-CN"/>
              </w:rPr>
              <w:t>据项目用地地形及安全卫生相关规范和标准并依据当地主导风向及对周边的环境影响进行总平面规划布局，办公生活区位于厂区东南侧，项目生产车间位于厂区西南侧。具体平面布置情况见附图2。</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lang w:val="en-US" w:eastAsia="zh-CN"/>
              </w:rPr>
            </w:pPr>
            <w:r>
              <w:rPr>
                <w:rFonts w:hint="default" w:ascii="Times New Roman" w:hAnsi="Times New Roman" w:cs="Times New Roman"/>
                <w:color w:val="auto"/>
                <w:sz w:val="24"/>
                <w:szCs w:val="24"/>
                <w:lang w:val="en-US" w:eastAsia="zh-CN"/>
              </w:rPr>
              <w:t>本项目位于</w:t>
            </w:r>
            <w:r>
              <w:rPr>
                <w:rFonts w:hint="default" w:ascii="Times New Roman" w:hAnsi="Times New Roman" w:cs="Times New Roman"/>
                <w:color w:val="FF0000"/>
                <w:sz w:val="24"/>
                <w:szCs w:val="24"/>
                <w:lang w:val="en-US" w:eastAsia="zh-CN"/>
              </w:rPr>
              <w:t>内蒙古自治区锡林郭勒盟锡林浩特市</w:t>
            </w:r>
            <w:r>
              <w:rPr>
                <w:rFonts w:hint="eastAsia" w:ascii="Times New Roman" w:hAnsi="Times New Roman" w:cs="Times New Roman"/>
                <w:color w:val="FF0000"/>
                <w:sz w:val="24"/>
                <w:szCs w:val="24"/>
                <w:lang w:val="en-US" w:eastAsia="zh-CN"/>
              </w:rPr>
              <w:t>建材园区</w:t>
            </w:r>
            <w:r>
              <w:rPr>
                <w:rFonts w:hint="default" w:ascii="Times New Roman" w:hAnsi="Times New Roman" w:cs="Times New Roman"/>
                <w:color w:val="FF0000"/>
                <w:sz w:val="24"/>
                <w:szCs w:val="24"/>
                <w:lang w:val="en-US" w:eastAsia="zh-CN"/>
              </w:rPr>
              <w:t>，</w:t>
            </w:r>
            <w:r>
              <w:rPr>
                <w:rFonts w:hint="default" w:ascii="Times New Roman" w:hAnsi="Times New Roman" w:cs="Times New Roman"/>
                <w:color w:val="auto"/>
                <w:sz w:val="24"/>
                <w:szCs w:val="24"/>
                <w:lang w:val="en-US" w:eastAsia="zh-CN"/>
              </w:rPr>
              <w:t>厂区西北侧紧邻锡林浩特市勇盈工贸有限责任公司，厂区西南侧紧邻蓬安工贸有限责任公司，厂区东北侧50m外相隔一条道路有锡林浩特市乾盛源混凝土有限公司，厂区西南侧50m外相隔一条道路有锡林浩特市乐丰管业有限公司。项目周边关系图见附图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8" w:type="dxa"/>
            <w:tcBorders>
              <w:top w:val="single" w:color="auto" w:sz="4" w:space="0"/>
              <w:left w:val="single" w:color="auto" w:sz="8" w:space="0"/>
              <w:bottom w:val="single" w:color="auto" w:sz="4" w:space="0"/>
              <w:right w:val="single" w:color="auto" w:sz="4" w:space="0"/>
              <w:tl2br w:val="nil"/>
              <w:tr2bl w:val="nil"/>
            </w:tcBorders>
            <w:vAlign w:val="center"/>
          </w:tcPr>
          <w:p>
            <w:pPr>
              <w:pStyle w:val="20"/>
              <w:adjustRightInd w:val="0"/>
              <w:snapToGrid w:val="0"/>
              <w:spacing w:before="0" w:beforeLines="0" w:beforeAutospacing="0" w:after="0" w:afterLines="0" w:afterAutospacing="0"/>
              <w:jc w:val="center"/>
              <w:rPr>
                <w:rFonts w:hint="default" w:ascii="Times New Roman" w:hAnsi="Times New Roman" w:cs="Times New Roman"/>
                <w:sz w:val="21"/>
                <w:szCs w:val="21"/>
                <w:highlight w:val="yellow"/>
              </w:rPr>
            </w:pPr>
            <w:r>
              <w:rPr>
                <w:rFonts w:hint="default" w:ascii="Times New Roman" w:hAnsi="Times New Roman" w:cs="Times New Roman"/>
                <w:sz w:val="21"/>
                <w:szCs w:val="21"/>
                <w:highlight w:val="none"/>
              </w:rPr>
              <w:t>工艺流程和产排污环节</w:t>
            </w:r>
          </w:p>
        </w:tc>
        <w:tc>
          <w:tcPr>
            <w:tcW w:w="8622" w:type="dxa"/>
            <w:tcBorders>
              <w:top w:val="single" w:color="auto" w:sz="4" w:space="0"/>
              <w:left w:val="single" w:color="auto" w:sz="4" w:space="0"/>
              <w:bottom w:val="single" w:color="auto" w:sz="4" w:space="0"/>
              <w:right w:val="single" w:color="auto" w:sz="8"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一、工艺流程简述（图示）：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黑体" w:hAnsi="黑体" w:eastAsia="黑体" w:cs="黑体"/>
                <w:highlight w:val="none"/>
                <w:lang w:val="en-US" w:eastAsia="zh-CN"/>
              </w:rPr>
            </w:pPr>
            <w:r>
              <w:rPr>
                <w:rFonts w:hint="default" w:ascii="Times New Roman" w:hAnsi="Times New Roman" w:eastAsia="黑体" w:cs="Times New Roman"/>
                <w:highlight w:val="none"/>
                <w:lang w:val="en-US" w:eastAsia="zh-CN"/>
              </w:rPr>
              <w:t>1</w:t>
            </w:r>
            <w:r>
              <w:rPr>
                <w:rFonts w:hint="default" w:ascii="黑体" w:hAnsi="黑体" w:eastAsia="黑体" w:cs="黑体"/>
                <w:highlight w:val="none"/>
                <w:lang w:val="en-US" w:eastAsia="zh-CN"/>
              </w:rPr>
              <w:t>、施工期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highlight w:val="none"/>
              </w:rPr>
            </w:pPr>
            <w:r>
              <w:rPr>
                <w:rFonts w:hint="default"/>
                <w:highlight w:val="none"/>
                <w:lang w:eastAsia="zh-CN"/>
              </w:rPr>
              <w:t>本项目属于未批先建项目，已于</w:t>
            </w:r>
            <w:r>
              <w:rPr>
                <w:rFonts w:hint="default" w:ascii="Times New Roman" w:hAnsi="Times New Roman"/>
                <w:highlight w:val="none"/>
                <w:lang w:val="en-US" w:eastAsia="zh-CN"/>
              </w:rPr>
              <w:t>20</w:t>
            </w:r>
            <w:r>
              <w:rPr>
                <w:rFonts w:hint="eastAsia" w:ascii="Times New Roman" w:hAnsi="Times New Roman"/>
                <w:highlight w:val="none"/>
                <w:lang w:val="en-US" w:eastAsia="zh-CN"/>
              </w:rPr>
              <w:t>14</w:t>
            </w:r>
            <w:r>
              <w:rPr>
                <w:rFonts w:hint="default"/>
                <w:highlight w:val="none"/>
                <w:lang w:val="en-US" w:eastAsia="zh-CN"/>
              </w:rPr>
              <w:t>年</w:t>
            </w:r>
            <w:r>
              <w:rPr>
                <w:rFonts w:hint="eastAsia" w:ascii="Times New Roman" w:hAnsi="Times New Roman"/>
                <w:highlight w:val="none"/>
                <w:lang w:val="en-US" w:eastAsia="zh-CN"/>
              </w:rPr>
              <w:t>6</w:t>
            </w:r>
            <w:r>
              <w:rPr>
                <w:rFonts w:hint="default"/>
                <w:highlight w:val="none"/>
                <w:lang w:val="en-US" w:eastAsia="zh-CN"/>
              </w:rPr>
              <w:t>月投入运营，不存在施工期的环境污染。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黑体" w:hAnsi="黑体" w:eastAsia="黑体" w:cs="黑体"/>
                <w:highlight w:val="none"/>
                <w:lang w:val="en-US" w:eastAsia="zh-CN"/>
              </w:rPr>
            </w:pPr>
            <w:r>
              <w:rPr>
                <w:rFonts w:hint="default" w:ascii="Times New Roman" w:hAnsi="Times New Roman" w:eastAsia="黑体" w:cs="Times New Roman"/>
                <w:highlight w:val="none"/>
                <w:lang w:val="en-US" w:eastAsia="zh-CN"/>
              </w:rPr>
              <w:t>2</w:t>
            </w:r>
            <w:r>
              <w:rPr>
                <w:rFonts w:hint="default" w:ascii="黑体" w:hAnsi="黑体" w:eastAsia="黑体" w:cs="黑体"/>
                <w:highlight w:val="none"/>
                <w:lang w:val="en-US" w:eastAsia="zh-CN"/>
              </w:rPr>
              <w:t>、运营期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highlight w:val="none"/>
              </w:rPr>
            </w:pPr>
            <w:r>
              <w:rPr>
                <w:rFonts w:hint="default"/>
                <w:highlight w:val="none"/>
              </w:rPr>
              <w:t>本项目</w:t>
            </w:r>
            <w:r>
              <w:rPr>
                <w:rFonts w:hint="default"/>
                <w:highlight w:val="none"/>
                <w:lang w:eastAsia="zh-CN"/>
              </w:rPr>
              <w:t>运营期</w:t>
            </w:r>
            <w:r>
              <w:rPr>
                <w:rFonts w:hint="default"/>
                <w:highlight w:val="none"/>
              </w:rPr>
              <w:t>涉及的工艺及产污环节见图</w:t>
            </w:r>
            <w:r>
              <w:rPr>
                <w:rFonts w:hint="eastAsia" w:ascii="Times New Roman" w:hAnsi="Times New Roman" w:cs="Times New Roman"/>
                <w:highlight w:val="none"/>
                <w:lang w:val="en-US" w:eastAsia="zh-CN"/>
              </w:rPr>
              <w:t>1</w:t>
            </w:r>
            <w:r>
              <w:rPr>
                <w:rFonts w:hint="default"/>
                <w:highlight w:val="none"/>
              </w:rPr>
              <w:t>。</w:t>
            </w:r>
          </w:p>
          <w:p>
            <w:pPr>
              <w:spacing w:line="360" w:lineRule="auto"/>
              <w:rPr>
                <w:rFonts w:hint="default"/>
                <w:highlight w:val="yellow"/>
              </w:rPr>
            </w:pPr>
            <w:r>
              <w:drawing>
                <wp:inline distT="0" distB="0" distL="114300" distR="114300">
                  <wp:extent cx="5379085" cy="1572260"/>
                  <wp:effectExtent l="0" t="0" r="12065" b="8890"/>
                  <wp:docPr id="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pic:cNvPicPr>
                            <a:picLocks noChangeAspect="1"/>
                          </pic:cNvPicPr>
                        </pic:nvPicPr>
                        <pic:blipFill>
                          <a:blip r:embed="rId9"/>
                          <a:stretch>
                            <a:fillRect/>
                          </a:stretch>
                        </pic:blipFill>
                        <pic:spPr>
                          <a:xfrm>
                            <a:off x="0" y="0"/>
                            <a:ext cx="5379085" cy="157226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auto"/>
                <w:sz w:val="24"/>
                <w:highlight w:val="none"/>
                <w:lang w:eastAsia="zh-CN"/>
              </w:rPr>
            </w:pPr>
            <w:r>
              <w:rPr>
                <w:rFonts w:hint="default" w:ascii="Times New Roman" w:hAnsi="Times New Roman" w:cs="Times New Roman"/>
                <w:b/>
                <w:color w:val="auto"/>
                <w:sz w:val="24"/>
                <w:highlight w:val="none"/>
                <w:lang w:eastAsia="zh-CN"/>
              </w:rPr>
              <w:t>图</w:t>
            </w:r>
            <w:r>
              <w:rPr>
                <w:rFonts w:hint="eastAsia" w:ascii="Times New Roman" w:hAnsi="Times New Roman" w:cs="Times New Roman"/>
                <w:b/>
                <w:color w:val="auto"/>
                <w:sz w:val="24"/>
                <w:highlight w:val="none"/>
                <w:lang w:val="en-US" w:eastAsia="zh-CN"/>
              </w:rPr>
              <w:t>1</w:t>
            </w:r>
            <w:r>
              <w:rPr>
                <w:rFonts w:hint="default" w:ascii="Times New Roman" w:hAnsi="Times New Roman" w:cs="Times New Roman"/>
                <w:b/>
                <w:color w:val="auto"/>
                <w:sz w:val="24"/>
                <w:highlight w:val="none"/>
                <w:lang w:eastAsia="zh-CN"/>
              </w:rPr>
              <w:t xml:space="preserve">   </w:t>
            </w:r>
            <w:r>
              <w:rPr>
                <w:rFonts w:hint="eastAsia" w:ascii="Times New Roman" w:hAnsi="Times New Roman" w:cs="Times New Roman"/>
                <w:b/>
                <w:color w:val="auto"/>
                <w:sz w:val="24"/>
                <w:highlight w:val="none"/>
                <w:lang w:val="en-US" w:eastAsia="zh-CN"/>
              </w:rPr>
              <w:t>彩钢复合板</w:t>
            </w:r>
            <w:r>
              <w:rPr>
                <w:rFonts w:hint="default" w:ascii="Times New Roman" w:hAnsi="Times New Roman" w:cs="Times New Roman"/>
                <w:b/>
                <w:color w:val="auto"/>
                <w:sz w:val="24"/>
                <w:highlight w:val="none"/>
                <w:lang w:eastAsia="zh-CN"/>
              </w:rPr>
              <w:t>项目运输、暂存流程及产污环节图</w:t>
            </w:r>
          </w:p>
          <w:p>
            <w:pPr>
              <w:pStyle w:val="2"/>
              <w:rPr>
                <w:rFonts w:hint="default"/>
                <w:lang w:eastAsia="zh-CN"/>
              </w:rPr>
            </w:pPr>
            <w:r>
              <w:rPr>
                <w:rFonts w:hint="default"/>
                <w:lang w:eastAsia="zh-CN"/>
              </w:rPr>
              <w:drawing>
                <wp:inline distT="0" distB="0" distL="114300" distR="114300">
                  <wp:extent cx="4191000" cy="1562100"/>
                  <wp:effectExtent l="0" t="0" r="0" b="0"/>
                  <wp:docPr id="26" name="图片 26"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12"/>
                          <pic:cNvPicPr>
                            <a:picLocks noChangeAspect="1"/>
                          </pic:cNvPicPr>
                        </pic:nvPicPr>
                        <pic:blipFill>
                          <a:blip r:embed="rId10"/>
                          <a:stretch>
                            <a:fillRect/>
                          </a:stretch>
                        </pic:blipFill>
                        <pic:spPr>
                          <a:xfrm>
                            <a:off x="0" y="0"/>
                            <a:ext cx="4191000" cy="1562100"/>
                          </a:xfrm>
                          <a:prstGeom prst="rect">
                            <a:avLst/>
                          </a:prstGeom>
                        </pic:spPr>
                      </pic:pic>
                    </a:graphicData>
                  </a:graphic>
                </wp:inline>
              </w:drawing>
            </w:r>
          </w:p>
          <w:p>
            <w:pPr>
              <w:pStyle w:val="4"/>
              <w:jc w:val="center"/>
              <w:rPr>
                <w:rFonts w:hint="default"/>
                <w:b/>
                <w:bCs/>
                <w:lang w:eastAsia="zh-CN"/>
              </w:rPr>
            </w:pPr>
            <w:r>
              <w:rPr>
                <w:rFonts w:hint="default"/>
                <w:b/>
                <w:bCs/>
                <w:lang w:eastAsia="zh-CN"/>
              </w:rPr>
              <w:t>图</w:t>
            </w:r>
            <w:r>
              <w:rPr>
                <w:rFonts w:hint="eastAsia"/>
                <w:b/>
                <w:bCs/>
                <w:lang w:val="en-US" w:eastAsia="zh-CN"/>
              </w:rPr>
              <w:t>2</w:t>
            </w:r>
            <w:r>
              <w:rPr>
                <w:rFonts w:hint="default"/>
                <w:b/>
                <w:bCs/>
                <w:lang w:eastAsia="zh-CN"/>
              </w:rPr>
              <w:t xml:space="preserve">   </w:t>
            </w:r>
            <w:r>
              <w:rPr>
                <w:rFonts w:hint="eastAsia"/>
                <w:b/>
                <w:bCs/>
                <w:lang w:val="en-US" w:eastAsia="zh-CN"/>
              </w:rPr>
              <w:t>彩钢单板</w:t>
            </w:r>
            <w:r>
              <w:rPr>
                <w:rFonts w:hint="default"/>
                <w:b/>
                <w:bCs/>
                <w:lang w:eastAsia="zh-CN"/>
              </w:rPr>
              <w:t>项目运输、暂存流程及产污环节图</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2" w:firstLineChars="200"/>
              <w:jc w:val="left"/>
              <w:textAlignment w:val="auto"/>
              <w:rPr>
                <w:rFonts w:hint="default" w:ascii="Times New Roman" w:hAnsi="Times New Roman" w:cs="Times New Roman"/>
                <w:b/>
                <w:bCs/>
                <w:sz w:val="24"/>
                <w:szCs w:val="24"/>
                <w:highlight w:val="none"/>
              </w:rPr>
            </w:pPr>
            <w:r>
              <w:rPr>
                <w:rFonts w:hint="default" w:ascii="Times New Roman" w:hAnsi="Times New Roman" w:cs="Times New Roman"/>
                <w:b/>
                <w:bCs/>
                <w:sz w:val="24"/>
                <w:szCs w:val="24"/>
                <w:highlight w:val="none"/>
              </w:rPr>
              <w:t>工艺流程说明：</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2" w:firstLineChars="200"/>
              <w:textAlignment w:val="auto"/>
              <w:rPr>
                <w:rFonts w:hint="default" w:ascii="Times New Roman" w:hAnsi="Times New Roman" w:cs="Times New Roman"/>
                <w:b/>
                <w:bCs/>
                <w:sz w:val="24"/>
                <w:szCs w:val="24"/>
                <w:highlight w:val="none"/>
                <w:lang w:eastAsia="zh-CN"/>
              </w:rPr>
            </w:pPr>
            <w:r>
              <w:rPr>
                <w:rFonts w:hint="eastAsia" w:ascii="Times New Roman" w:hAnsi="Times New Roman" w:cs="Times New Roman"/>
                <w:b/>
                <w:bCs/>
                <w:sz w:val="24"/>
                <w:szCs w:val="24"/>
                <w:highlight w:val="none"/>
                <w:lang w:val="en-US" w:eastAsia="zh-CN"/>
              </w:rPr>
              <w:t>1.</w:t>
            </w:r>
            <w:r>
              <w:rPr>
                <w:rFonts w:hint="default" w:ascii="Times New Roman" w:hAnsi="Times New Roman" w:cs="Times New Roman"/>
                <w:b/>
                <w:bCs/>
                <w:sz w:val="24"/>
                <w:szCs w:val="24"/>
                <w:highlight w:val="none"/>
                <w:lang w:eastAsia="zh-CN"/>
              </w:rPr>
              <w:t>彩钢复合板：</w:t>
            </w:r>
          </w:p>
          <w:p>
            <w:pPr>
              <w:pStyle w:val="2"/>
              <w:keepNext w:val="0"/>
              <w:keepLines w:val="0"/>
              <w:pageBreakBefore w:val="0"/>
              <w:widowControl w:val="0"/>
              <w:numPr>
                <w:ilvl w:val="0"/>
                <w:numId w:val="4"/>
              </w:numPr>
              <w:kinsoku/>
              <w:wordWrap/>
              <w:overflowPunct/>
              <w:topLinePunct w:val="0"/>
              <w:autoSpaceDE/>
              <w:autoSpaceDN/>
              <w:bidi w:val="0"/>
              <w:adjustRightInd/>
              <w:snapToGrid/>
              <w:spacing w:beforeLines="0" w:after="0" w:line="360" w:lineRule="auto"/>
              <w:ind w:left="0" w:leftChars="0" w:firstLine="480" w:firstLineChars="200"/>
              <w:jc w:val="both"/>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延压：人工将</w:t>
            </w:r>
            <w:r>
              <w:rPr>
                <w:rFonts w:hint="eastAsia" w:ascii="Times New Roman" w:hAnsi="Times New Roman" w:eastAsia="宋体" w:cs="Times New Roman"/>
                <w:sz w:val="24"/>
                <w:szCs w:val="24"/>
                <w:highlight w:val="none"/>
                <w:lang w:val="en-US" w:eastAsia="zh-CN"/>
              </w:rPr>
              <w:t>彩钢卷</w:t>
            </w:r>
            <w:r>
              <w:rPr>
                <w:rFonts w:hint="default" w:ascii="Times New Roman" w:hAnsi="Times New Roman" w:eastAsia="宋体" w:cs="Times New Roman"/>
                <w:sz w:val="24"/>
                <w:szCs w:val="24"/>
                <w:highlight w:val="none"/>
                <w:lang w:val="en-US" w:eastAsia="zh-CN"/>
              </w:rPr>
              <w:t>放入复合板机进行延压，压制需要的瓦型。</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line="360" w:lineRule="auto"/>
              <w:ind w:left="0" w:leftChars="0"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highlight w:val="none"/>
                <w:lang w:val="en-US" w:eastAsia="zh-CN"/>
              </w:rPr>
              <w:t>本工序主要污染物为设备运行过程产</w:t>
            </w:r>
            <w:r>
              <w:rPr>
                <w:rFonts w:hint="default" w:ascii="Times New Roman" w:hAnsi="Times New Roman" w:eastAsia="宋体" w:cs="Times New Roman"/>
                <w:sz w:val="24"/>
                <w:szCs w:val="24"/>
                <w:lang w:val="en-US" w:eastAsia="zh-CN"/>
              </w:rPr>
              <w:t>生的噪声。</w:t>
            </w:r>
          </w:p>
          <w:p>
            <w:pPr>
              <w:pStyle w:val="2"/>
              <w:keepNext w:val="0"/>
              <w:keepLines w:val="0"/>
              <w:pageBreakBefore w:val="0"/>
              <w:widowControl w:val="0"/>
              <w:numPr>
                <w:ilvl w:val="0"/>
                <w:numId w:val="4"/>
              </w:numPr>
              <w:kinsoku/>
              <w:wordWrap/>
              <w:overflowPunct/>
              <w:topLinePunct w:val="0"/>
              <w:autoSpaceDE/>
              <w:autoSpaceDN/>
              <w:bidi w:val="0"/>
              <w:adjustRightInd/>
              <w:snapToGrid/>
              <w:spacing w:beforeLines="0" w:after="0"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粘合：将彩钢夹芯板粘合剂放入复合板自带的上胶机构在彩钢板背面上胶，然后经过复合板机将彩钢板和泡沫板进行挤压复合，使其粘合在一起，此过程常温下进行，不需加热。</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本工序主要污染物为有机废气及设备运行过程产生的噪声。</w:t>
            </w:r>
          </w:p>
          <w:p>
            <w:pPr>
              <w:pStyle w:val="2"/>
              <w:keepNext w:val="0"/>
              <w:keepLines w:val="0"/>
              <w:pageBreakBefore w:val="0"/>
              <w:widowControl w:val="0"/>
              <w:numPr>
                <w:ilvl w:val="0"/>
                <w:numId w:val="4"/>
              </w:numPr>
              <w:kinsoku/>
              <w:wordWrap/>
              <w:overflowPunct/>
              <w:topLinePunct w:val="0"/>
              <w:autoSpaceDE/>
              <w:autoSpaceDN/>
              <w:bidi w:val="0"/>
              <w:adjustRightInd/>
              <w:snapToGrid/>
              <w:spacing w:beforeLines="0" w:after="0" w:line="360" w:lineRule="auto"/>
              <w:ind w:left="0" w:leftChars="0"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成品分块：利用复合板机将复合板切割成需要的尺寸。</w:t>
            </w:r>
          </w:p>
          <w:p>
            <w:pPr>
              <w:pStyle w:val="4"/>
              <w:keepNext w:val="0"/>
              <w:keepLines w:val="0"/>
              <w:pageBreakBefore w:val="0"/>
              <w:widowControl w:val="0"/>
              <w:kinsoku/>
              <w:wordWrap/>
              <w:overflowPunct/>
              <w:topLinePunct w:val="0"/>
              <w:autoSpaceDE/>
              <w:autoSpaceDN/>
              <w:bidi w:val="0"/>
              <w:adjustRightInd/>
              <w:snapToGrid/>
              <w:spacing w:beforeLines="0" w:after="0" w:line="360" w:lineRule="auto"/>
              <w:ind w:left="0" w:leftChars="0" w:firstLine="480" w:firstLineChars="200"/>
              <w:textAlignment w:val="auto"/>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lang w:val="en-US" w:eastAsia="zh-CN" w:bidi="ar-SA"/>
              </w:rPr>
              <w:t>本工</w:t>
            </w:r>
            <w:r>
              <w:rPr>
                <w:rFonts w:hint="default" w:ascii="Times New Roman" w:hAnsi="Times New Roman" w:eastAsia="宋体" w:cs="Times New Roman"/>
                <w:kern w:val="2"/>
                <w:sz w:val="24"/>
                <w:szCs w:val="24"/>
                <w:highlight w:val="none"/>
                <w:lang w:val="en-US" w:eastAsia="zh-CN" w:bidi="ar-SA"/>
              </w:rPr>
              <w:t>序主要污染物为金属粉尘、边角料及设备运行过程中产生的噪声</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eastAsia" w:ascii="Times New Roman" w:hAnsi="Times New Roman" w:eastAsia="宋体" w:cs="Times New Roman"/>
                <w:sz w:val="24"/>
                <w:szCs w:val="24"/>
                <w:highlight w:val="none"/>
                <w:lang w:eastAsia="zh-CN"/>
              </w:rPr>
            </w:pPr>
            <w:r>
              <w:rPr>
                <w:rFonts w:hint="eastAsia" w:ascii="Times New Roman" w:hAnsi="Times New Roman" w:eastAsia="宋体" w:cs="Times New Roman"/>
                <w:sz w:val="24"/>
                <w:szCs w:val="24"/>
                <w:highlight w:val="none"/>
                <w:lang w:val="en-US" w:eastAsia="zh-CN"/>
              </w:rPr>
              <w:t>（4）</w:t>
            </w:r>
            <w:r>
              <w:rPr>
                <w:rFonts w:hint="default" w:ascii="Times New Roman" w:hAnsi="Times New Roman" w:eastAsia="宋体" w:cs="Times New Roman"/>
                <w:sz w:val="24"/>
                <w:szCs w:val="24"/>
                <w:highlight w:val="none"/>
                <w:lang w:val="en-US" w:eastAsia="zh-CN"/>
              </w:rPr>
              <w:t>运输：</w:t>
            </w:r>
            <w:r>
              <w:rPr>
                <w:rFonts w:hint="default" w:ascii="Times New Roman" w:hAnsi="Times New Roman" w:eastAsia="宋体" w:cs="Times New Roman"/>
                <w:sz w:val="24"/>
                <w:szCs w:val="24"/>
                <w:highlight w:val="none"/>
              </w:rPr>
              <w:t>根据客户需求，沿场外公路由汽车将产品运送给用户。</w:t>
            </w:r>
            <w:r>
              <w:rPr>
                <w:rFonts w:hint="eastAsia" w:ascii="Times New Roman" w:hAnsi="Times New Roman" w:eastAsia="宋体" w:cs="Times New Roman"/>
                <w:sz w:val="24"/>
                <w:szCs w:val="24"/>
                <w:highlight w:val="none"/>
                <w:lang w:eastAsia="zh-CN"/>
              </w:rPr>
              <w:t>主要产生的污染物为运输过程的扬尘。</w:t>
            </w:r>
          </w:p>
          <w:p>
            <w:pPr>
              <w:pStyle w:val="15"/>
              <w:keepNext w:val="0"/>
              <w:keepLines w:val="0"/>
              <w:pageBreakBefore w:val="0"/>
              <w:widowControl w:val="0"/>
              <w:kinsoku/>
              <w:wordWrap/>
              <w:overflowPunct/>
              <w:topLinePunct w:val="0"/>
              <w:autoSpaceDE/>
              <w:autoSpaceDN/>
              <w:bidi w:val="0"/>
              <w:adjustRightInd/>
              <w:snapToGrid/>
              <w:spacing w:beforeLines="0" w:after="0" w:line="360" w:lineRule="auto"/>
              <w:ind w:left="0" w:leftChars="0" w:firstLine="482" w:firstLineChars="200"/>
              <w:textAlignment w:val="auto"/>
              <w:rPr>
                <w:rFonts w:hint="default" w:ascii="Times New Roman" w:hAnsi="Times New Roman" w:cs="Times New Roman"/>
                <w:sz w:val="24"/>
                <w:szCs w:val="24"/>
                <w:highlight w:val="none"/>
                <w:lang w:eastAsia="zh-CN"/>
              </w:rPr>
            </w:pPr>
            <w:r>
              <w:rPr>
                <w:rFonts w:hint="eastAsia" w:ascii="Times New Roman" w:hAnsi="Times New Roman" w:cs="Times New Roman"/>
                <w:b/>
                <w:bCs/>
                <w:sz w:val="24"/>
                <w:szCs w:val="24"/>
                <w:highlight w:val="none"/>
                <w:lang w:val="en-US" w:eastAsia="zh-CN"/>
              </w:rPr>
              <w:t>2.</w:t>
            </w:r>
            <w:r>
              <w:rPr>
                <w:rFonts w:hint="default" w:ascii="Times New Roman" w:hAnsi="Times New Roman" w:cs="Times New Roman"/>
                <w:b/>
                <w:bCs/>
                <w:sz w:val="24"/>
                <w:szCs w:val="24"/>
                <w:highlight w:val="none"/>
                <w:lang w:eastAsia="zh-CN"/>
              </w:rPr>
              <w:t>彩钢</w:t>
            </w:r>
            <w:r>
              <w:rPr>
                <w:rFonts w:hint="eastAsia" w:ascii="Times New Roman" w:hAnsi="Times New Roman" w:cs="Times New Roman"/>
                <w:b/>
                <w:bCs/>
                <w:sz w:val="24"/>
                <w:szCs w:val="24"/>
                <w:highlight w:val="none"/>
                <w:lang w:eastAsia="zh-CN"/>
              </w:rPr>
              <w:t>单</w:t>
            </w:r>
            <w:r>
              <w:rPr>
                <w:rFonts w:hint="default" w:ascii="Times New Roman" w:hAnsi="Times New Roman" w:cs="Times New Roman"/>
                <w:b/>
                <w:bCs/>
                <w:sz w:val="24"/>
                <w:szCs w:val="24"/>
                <w:highlight w:val="none"/>
                <w:lang w:eastAsia="zh-CN"/>
              </w:rPr>
              <w:t>板</w:t>
            </w:r>
            <w:r>
              <w:rPr>
                <w:rFonts w:hint="default" w:ascii="Times New Roman" w:hAnsi="Times New Roman" w:cs="Times New Roman"/>
                <w:sz w:val="24"/>
                <w:szCs w:val="24"/>
                <w:highlight w:val="none"/>
                <w:lang w:eastAsia="zh-CN"/>
              </w:rPr>
              <w:t>：</w:t>
            </w:r>
          </w:p>
          <w:p>
            <w:pPr>
              <w:pStyle w:val="15"/>
              <w:keepNext w:val="0"/>
              <w:keepLines w:val="0"/>
              <w:pageBreakBefore w:val="0"/>
              <w:widowControl w:val="0"/>
              <w:kinsoku/>
              <w:wordWrap/>
              <w:overflowPunct/>
              <w:topLinePunct w:val="0"/>
              <w:autoSpaceDE/>
              <w:autoSpaceDN/>
              <w:bidi w:val="0"/>
              <w:adjustRightInd/>
              <w:snapToGrid/>
              <w:spacing w:beforeLines="0" w:after="0" w:line="360" w:lineRule="auto"/>
              <w:ind w:left="0" w:leftChars="0" w:firstLine="480" w:firstLineChars="200"/>
              <w:textAlignment w:val="auto"/>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lang w:val="en-US" w:eastAsia="zh-CN"/>
              </w:rPr>
              <w:t>1</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lang w:val="en-US" w:eastAsia="zh-CN"/>
              </w:rPr>
              <w:t>延压：</w:t>
            </w:r>
            <w:r>
              <w:rPr>
                <w:rFonts w:hint="default" w:ascii="Times New Roman" w:hAnsi="Times New Roman" w:eastAsia="宋体" w:cs="Times New Roman"/>
                <w:sz w:val="24"/>
                <w:szCs w:val="24"/>
                <w:highlight w:val="none"/>
                <w:lang w:val="en-US" w:eastAsia="zh-CN"/>
              </w:rPr>
              <w:t>人工将</w:t>
            </w:r>
            <w:r>
              <w:rPr>
                <w:rFonts w:hint="eastAsia" w:ascii="Times New Roman" w:hAnsi="Times New Roman" w:eastAsia="宋体" w:cs="Times New Roman"/>
                <w:sz w:val="24"/>
                <w:szCs w:val="24"/>
                <w:highlight w:val="none"/>
                <w:lang w:val="en-US" w:eastAsia="zh-CN"/>
              </w:rPr>
              <w:t>彩钢卷</w:t>
            </w:r>
            <w:r>
              <w:rPr>
                <w:rFonts w:hint="default" w:ascii="Times New Roman" w:hAnsi="Times New Roman" w:eastAsia="宋体" w:cs="Times New Roman"/>
                <w:sz w:val="24"/>
                <w:szCs w:val="24"/>
                <w:highlight w:val="none"/>
                <w:lang w:val="en-US" w:eastAsia="zh-CN"/>
              </w:rPr>
              <w:t>放入</w:t>
            </w:r>
            <w:r>
              <w:rPr>
                <w:rFonts w:hint="eastAsia" w:ascii="Times New Roman" w:hAnsi="Times New Roman" w:cs="Times New Roman"/>
                <w:sz w:val="24"/>
                <w:szCs w:val="24"/>
                <w:highlight w:val="none"/>
                <w:lang w:val="en-US" w:eastAsia="zh-CN"/>
              </w:rPr>
              <w:t>单</w:t>
            </w:r>
            <w:r>
              <w:rPr>
                <w:rFonts w:hint="default" w:ascii="Times New Roman" w:hAnsi="Times New Roman" w:eastAsia="宋体" w:cs="Times New Roman"/>
                <w:sz w:val="24"/>
                <w:szCs w:val="24"/>
                <w:highlight w:val="none"/>
                <w:lang w:val="en-US" w:eastAsia="zh-CN"/>
              </w:rPr>
              <w:t>板机进行延压，压制需要的瓦型</w:t>
            </w:r>
            <w:r>
              <w:rPr>
                <w:rFonts w:hint="eastAsia" w:ascii="Times New Roman" w:hAnsi="Times New Roman" w:cs="Times New Roman"/>
                <w:sz w:val="24"/>
                <w:szCs w:val="24"/>
                <w:highlight w:val="none"/>
                <w:lang w:val="en-US" w:eastAsia="zh-CN"/>
              </w:rPr>
              <w:t>。</w:t>
            </w:r>
          </w:p>
          <w:p>
            <w:pPr>
              <w:pStyle w:val="15"/>
              <w:keepNext w:val="0"/>
              <w:keepLines w:val="0"/>
              <w:pageBreakBefore w:val="0"/>
              <w:widowControl w:val="0"/>
              <w:kinsoku/>
              <w:wordWrap/>
              <w:overflowPunct/>
              <w:topLinePunct w:val="0"/>
              <w:autoSpaceDE/>
              <w:autoSpaceDN/>
              <w:bidi w:val="0"/>
              <w:adjustRightInd/>
              <w:snapToGrid/>
              <w:spacing w:beforeLines="0" w:after="0" w:line="360" w:lineRule="auto"/>
              <w:ind w:left="0" w:leftChars="0" w:firstLine="480" w:firstLineChars="20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highlight w:val="none"/>
                <w:lang w:val="en-US" w:eastAsia="zh-CN"/>
              </w:rPr>
              <w:t>（2）成品分块：</w:t>
            </w:r>
            <w:r>
              <w:rPr>
                <w:rFonts w:hint="default" w:ascii="Times New Roman" w:hAnsi="Times New Roman" w:eastAsia="宋体" w:cs="Times New Roman"/>
                <w:sz w:val="24"/>
                <w:szCs w:val="24"/>
                <w:lang w:val="en-US" w:eastAsia="zh-CN"/>
              </w:rPr>
              <w:t>利用复</w:t>
            </w:r>
            <w:r>
              <w:rPr>
                <w:rFonts w:hint="eastAsia" w:ascii="Times New Roman" w:hAnsi="Times New Roman" w:cs="Times New Roman"/>
                <w:sz w:val="24"/>
                <w:szCs w:val="24"/>
                <w:lang w:val="en-US" w:eastAsia="zh-CN"/>
              </w:rPr>
              <w:t>单</w:t>
            </w:r>
            <w:r>
              <w:rPr>
                <w:rFonts w:hint="default" w:ascii="Times New Roman" w:hAnsi="Times New Roman" w:eastAsia="宋体" w:cs="Times New Roman"/>
                <w:sz w:val="24"/>
                <w:szCs w:val="24"/>
                <w:lang w:val="en-US" w:eastAsia="zh-CN"/>
              </w:rPr>
              <w:t>板机将</w:t>
            </w:r>
            <w:r>
              <w:rPr>
                <w:rFonts w:hint="eastAsia" w:ascii="Times New Roman" w:hAnsi="Times New Roman" w:cs="Times New Roman"/>
                <w:sz w:val="24"/>
                <w:szCs w:val="24"/>
                <w:lang w:val="en-US" w:eastAsia="zh-CN"/>
              </w:rPr>
              <w:t>彩钢单</w:t>
            </w:r>
            <w:r>
              <w:rPr>
                <w:rFonts w:hint="default" w:ascii="Times New Roman" w:hAnsi="Times New Roman" w:eastAsia="宋体" w:cs="Times New Roman"/>
                <w:sz w:val="24"/>
                <w:szCs w:val="24"/>
                <w:lang w:val="en-US" w:eastAsia="zh-CN"/>
              </w:rPr>
              <w:t>板切割成需要的尺寸</w:t>
            </w:r>
            <w:r>
              <w:rPr>
                <w:rFonts w:hint="eastAsia" w:ascii="Times New Roman" w:hAnsi="Times New Roman" w:cs="Times New Roman"/>
                <w:sz w:val="24"/>
                <w:szCs w:val="24"/>
                <w:lang w:val="en-US" w:eastAsia="zh-CN"/>
              </w:rPr>
              <w:t>。</w:t>
            </w:r>
          </w:p>
          <w:p>
            <w:pPr>
              <w:pStyle w:val="15"/>
              <w:keepNext w:val="0"/>
              <w:keepLines w:val="0"/>
              <w:pageBreakBefore w:val="0"/>
              <w:widowControl w:val="0"/>
              <w:kinsoku/>
              <w:wordWrap/>
              <w:overflowPunct/>
              <w:topLinePunct w:val="0"/>
              <w:autoSpaceDE/>
              <w:autoSpaceDN/>
              <w:bidi w:val="0"/>
              <w:adjustRightInd/>
              <w:snapToGrid/>
              <w:spacing w:beforeLines="0" w:after="0" w:line="360" w:lineRule="auto"/>
              <w:ind w:left="0" w:leftChars="0" w:firstLine="480" w:firstLineChars="200"/>
              <w:textAlignment w:val="auto"/>
              <w:rPr>
                <w:rFonts w:hint="default"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（3）</w:t>
            </w:r>
            <w:r>
              <w:rPr>
                <w:rFonts w:hint="default" w:ascii="Times New Roman" w:hAnsi="Times New Roman" w:cs="Times New Roman"/>
                <w:sz w:val="24"/>
                <w:szCs w:val="24"/>
                <w:highlight w:val="none"/>
                <w:lang w:val="en-US" w:eastAsia="zh-CN"/>
              </w:rPr>
              <w:t>运输：</w:t>
            </w:r>
            <w:r>
              <w:rPr>
                <w:rFonts w:hint="default" w:ascii="Times New Roman" w:hAnsi="Times New Roman" w:cs="Times New Roman"/>
                <w:sz w:val="24"/>
                <w:szCs w:val="24"/>
                <w:highlight w:val="none"/>
                <w:lang w:eastAsia="zh-CN"/>
              </w:rPr>
              <w:t>根据客户需求，沿场外公路由汽车将产品运送给用户。</w:t>
            </w:r>
            <w:r>
              <w:rPr>
                <w:rFonts w:hint="eastAsia" w:ascii="Times New Roman" w:hAnsi="Times New Roman" w:cs="Times New Roman"/>
                <w:sz w:val="24"/>
                <w:szCs w:val="24"/>
                <w:highlight w:val="none"/>
                <w:lang w:eastAsia="zh-CN"/>
              </w:rPr>
              <w:t>主要产生的污染物为运输过程的扬尘。</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2" w:firstLineChars="200"/>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二、主要污染工序</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黑体" w:hAnsi="黑体" w:eastAsia="黑体" w:cs="黑体"/>
                <w:highlight w:val="none"/>
                <w:lang w:val="en-US" w:eastAsia="zh-CN"/>
              </w:rPr>
            </w:pPr>
            <w:r>
              <w:rPr>
                <w:rFonts w:hint="default" w:ascii="Times New Roman" w:hAnsi="Times New Roman" w:eastAsia="黑体" w:cs="Times New Roman"/>
                <w:highlight w:val="none"/>
                <w:lang w:val="en-US" w:eastAsia="zh-CN"/>
              </w:rPr>
              <w:t>1</w:t>
            </w:r>
            <w:r>
              <w:rPr>
                <w:rFonts w:hint="default" w:ascii="黑体" w:hAnsi="黑体" w:eastAsia="黑体" w:cs="黑体"/>
                <w:highlight w:val="none"/>
                <w:lang w:val="en-US" w:eastAsia="zh-CN"/>
              </w:rPr>
              <w:t>、施工期</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highlight w:val="none"/>
              </w:rPr>
            </w:pPr>
            <w:r>
              <w:rPr>
                <w:rFonts w:hint="default"/>
                <w:highlight w:val="none"/>
                <w:lang w:eastAsia="zh-CN"/>
              </w:rPr>
              <w:t>本项目已于</w:t>
            </w:r>
            <w:r>
              <w:rPr>
                <w:rFonts w:hint="eastAsia" w:ascii="Times New Roman" w:hAnsi="Times New Roman"/>
                <w:highlight w:val="none"/>
                <w:lang w:val="en-US" w:eastAsia="zh-CN"/>
              </w:rPr>
              <w:t>2014</w:t>
            </w:r>
            <w:r>
              <w:rPr>
                <w:rFonts w:hint="eastAsia"/>
                <w:highlight w:val="none"/>
                <w:lang w:val="en-US" w:eastAsia="zh-CN"/>
              </w:rPr>
              <w:t>年</w:t>
            </w:r>
            <w:r>
              <w:rPr>
                <w:rFonts w:hint="eastAsia" w:ascii="Times New Roman" w:hAnsi="Times New Roman"/>
                <w:highlight w:val="none"/>
                <w:lang w:val="en-US" w:eastAsia="zh-CN"/>
              </w:rPr>
              <w:t>6</w:t>
            </w:r>
            <w:r>
              <w:rPr>
                <w:rFonts w:hint="eastAsia"/>
                <w:highlight w:val="none"/>
                <w:lang w:val="en-US" w:eastAsia="zh-CN"/>
              </w:rPr>
              <w:t>月</w:t>
            </w:r>
            <w:r>
              <w:rPr>
                <w:rFonts w:hint="default"/>
                <w:highlight w:val="none"/>
                <w:lang w:val="en-US" w:eastAsia="zh-CN"/>
              </w:rPr>
              <w:t>投入运营，不存在施工期的环境污染。</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黑体" w:hAnsi="黑体" w:eastAsia="黑体" w:cs="黑体"/>
                <w:highlight w:val="none"/>
                <w:lang w:val="en-US" w:eastAsia="zh-CN"/>
              </w:rPr>
            </w:pPr>
            <w:r>
              <w:rPr>
                <w:rFonts w:hint="default" w:ascii="Times New Roman" w:hAnsi="Times New Roman" w:eastAsia="黑体" w:cs="Times New Roman"/>
                <w:highlight w:val="none"/>
                <w:lang w:val="en-US" w:eastAsia="zh-CN"/>
              </w:rPr>
              <w:t>2</w:t>
            </w:r>
            <w:r>
              <w:rPr>
                <w:rFonts w:hint="default" w:ascii="黑体" w:hAnsi="黑体" w:eastAsia="黑体" w:cs="黑体"/>
                <w:highlight w:val="none"/>
                <w:lang w:val="en-US" w:eastAsia="zh-CN"/>
              </w:rPr>
              <w:t>、营运期</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运营期污染工序主要从废气、废水、噪声和固废四部分的产生环节进行分析，分析结果如下：</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（1）废气产生环节</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①车辆运输过程中产生的扬尘；</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②</w:t>
            </w:r>
            <w:r>
              <w:rPr>
                <w:rFonts w:hint="default" w:ascii="Times New Roman" w:hAnsi="Times New Roman" w:cs="Times New Roman"/>
                <w:sz w:val="24"/>
                <w:highlight w:val="none"/>
                <w:lang w:val="en-US" w:eastAsia="zh-CN"/>
              </w:rPr>
              <w:t>粘合过程产生的有机废气</w:t>
            </w:r>
            <w:r>
              <w:rPr>
                <w:rFonts w:hint="default" w:ascii="Times New Roman" w:hAnsi="Times New Roman" w:cs="Times New Roman"/>
                <w:sz w:val="24"/>
                <w:highlight w:val="none"/>
              </w:rPr>
              <w:t>；</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eastAsia="宋体" w:cs="Times New Roman"/>
                <w:sz w:val="24"/>
                <w:highlight w:val="none"/>
                <w:lang w:val="en-US" w:eastAsia="zh-CN"/>
              </w:rPr>
            </w:pPr>
            <w:r>
              <w:rPr>
                <w:rFonts w:hint="default" w:ascii="Times New Roman" w:hAnsi="Times New Roman" w:cs="Times New Roman"/>
                <w:sz w:val="24"/>
                <w:highlight w:val="none"/>
              </w:rPr>
              <w:t>③</w:t>
            </w:r>
            <w:r>
              <w:rPr>
                <w:rFonts w:hint="default" w:ascii="Times New Roman" w:hAnsi="Times New Roman" w:cs="Times New Roman"/>
                <w:sz w:val="24"/>
                <w:highlight w:val="none"/>
                <w:lang w:eastAsia="zh-CN"/>
              </w:rPr>
              <w:t>剪切过程中产生的金属粉尘。</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（2）废水产生环节</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lang w:eastAsia="zh-CN"/>
              </w:rPr>
              <w:t>本项目</w:t>
            </w:r>
            <w:r>
              <w:rPr>
                <w:rFonts w:hint="eastAsia" w:ascii="Times New Roman" w:hAnsi="Times New Roman" w:cs="Times New Roman"/>
                <w:sz w:val="24"/>
                <w:highlight w:val="none"/>
                <w:lang w:eastAsia="zh-CN"/>
              </w:rPr>
              <w:t>运</w:t>
            </w:r>
            <w:r>
              <w:rPr>
                <w:rFonts w:hint="default" w:ascii="Times New Roman" w:hAnsi="Times New Roman" w:cs="Times New Roman"/>
                <w:sz w:val="24"/>
                <w:highlight w:val="none"/>
              </w:rPr>
              <w:t>行过程中</w:t>
            </w:r>
            <w:r>
              <w:rPr>
                <w:rFonts w:hint="default" w:ascii="Times New Roman" w:hAnsi="Times New Roman" w:cs="Times New Roman"/>
                <w:sz w:val="24"/>
                <w:highlight w:val="none"/>
                <w:lang w:eastAsia="zh-CN"/>
              </w:rPr>
              <w:t>无生产废水产生，职工</w:t>
            </w:r>
            <w:r>
              <w:rPr>
                <w:rFonts w:hint="eastAsia" w:ascii="Times New Roman" w:hAnsi="Times New Roman" w:cs="Times New Roman"/>
                <w:sz w:val="24"/>
                <w:highlight w:val="none"/>
                <w:lang w:eastAsia="zh-CN"/>
              </w:rPr>
              <w:t>生活污水依托厂区外的市政公厕</w:t>
            </w:r>
            <w:r>
              <w:rPr>
                <w:rFonts w:hint="default" w:ascii="Times New Roman" w:hAnsi="Times New Roman" w:cs="Times New Roman"/>
                <w:sz w:val="24"/>
                <w:highlight w:val="none"/>
                <w:lang w:val="en-US" w:eastAsia="zh-CN"/>
              </w:rPr>
              <w:t>，盥洗废水产生量较小，全部用于厂区泼洒抑尘，不外排</w:t>
            </w:r>
            <w:r>
              <w:rPr>
                <w:rFonts w:hint="default" w:ascii="Times New Roman" w:hAnsi="Times New Roman" w:cs="Times New Roman"/>
                <w:sz w:val="24"/>
                <w:highlight w:val="none"/>
              </w:rPr>
              <w:t>。</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（3）噪声产生环节</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本项目噪声主要来源于</w:t>
            </w:r>
            <w:r>
              <w:rPr>
                <w:rFonts w:hint="default" w:ascii="Times New Roman" w:hAnsi="Times New Roman" w:cs="Times New Roman"/>
                <w:sz w:val="24"/>
                <w:highlight w:val="none"/>
                <w:lang w:val="en-US" w:eastAsia="zh-CN"/>
              </w:rPr>
              <w:t>单板压瓦机、</w:t>
            </w:r>
            <w:r>
              <w:rPr>
                <w:rFonts w:hint="eastAsia" w:ascii="Times New Roman" w:hAnsi="Times New Roman" w:cs="Times New Roman"/>
                <w:sz w:val="24"/>
                <w:highlight w:val="none"/>
                <w:lang w:val="en-US" w:eastAsia="zh-CN"/>
              </w:rPr>
              <w:t>复合夹芯板</w:t>
            </w:r>
            <w:r>
              <w:rPr>
                <w:rFonts w:hint="default" w:ascii="Times New Roman" w:hAnsi="Times New Roman" w:cs="Times New Roman"/>
                <w:sz w:val="24"/>
                <w:highlight w:val="none"/>
                <w:lang w:val="en-US" w:eastAsia="zh-CN"/>
              </w:rPr>
              <w:t>机等设备</w:t>
            </w:r>
            <w:r>
              <w:rPr>
                <w:rFonts w:hint="default" w:ascii="Times New Roman" w:hAnsi="Times New Roman" w:cs="Times New Roman"/>
                <w:sz w:val="24"/>
                <w:highlight w:val="none"/>
              </w:rPr>
              <w:t>运行过程中产生的机械噪声以及运输车辆行驶过程中产生的交通噪声。</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（4）固废产生环节</w:t>
            </w:r>
          </w:p>
          <w:p>
            <w:pPr>
              <w:keepNext w:val="0"/>
              <w:keepLines w:val="0"/>
              <w:pageBreakBefore w:val="0"/>
              <w:widowControl w:val="0"/>
              <w:kinsoku/>
              <w:wordWrap/>
              <w:overflowPunct/>
              <w:topLinePunct w:val="0"/>
              <w:autoSpaceDE/>
              <w:autoSpaceDN/>
              <w:bidi w:val="0"/>
              <w:adjustRightInd/>
              <w:snapToGrid/>
              <w:spacing w:beforeLines="0" w:line="360" w:lineRule="auto"/>
              <w:ind w:left="0" w:leftChars="0" w:firstLine="480" w:firstLineChars="200"/>
              <w:textAlignment w:val="auto"/>
              <w:rPr>
                <w:rFonts w:hint="default"/>
                <w:highlight w:val="yellow"/>
              </w:rPr>
            </w:pPr>
            <w:r>
              <w:rPr>
                <w:rFonts w:hint="default" w:ascii="Times New Roman" w:hAnsi="Times New Roman" w:cs="Times New Roman"/>
                <w:highlight w:val="none"/>
              </w:rPr>
              <w:t>本项目固体废物主要为</w:t>
            </w:r>
            <w:r>
              <w:rPr>
                <w:rFonts w:hint="eastAsia" w:ascii="Times New Roman" w:hAnsi="Times New Roman" w:cs="Times New Roman"/>
                <w:highlight w:val="none"/>
                <w:lang w:eastAsia="zh-CN"/>
              </w:rPr>
              <w:t>废</w:t>
            </w:r>
            <w:r>
              <w:rPr>
                <w:rFonts w:hint="default" w:ascii="Times New Roman" w:hAnsi="Times New Roman" w:cs="Times New Roman"/>
                <w:highlight w:val="none"/>
                <w:lang w:eastAsia="zh-CN"/>
              </w:rPr>
              <w:t>金属</w:t>
            </w:r>
            <w:r>
              <w:rPr>
                <w:rFonts w:hint="default" w:ascii="Times New Roman" w:hAnsi="Times New Roman" w:cs="Times New Roman"/>
                <w:highlight w:val="none"/>
                <w:lang w:val="en-US" w:eastAsia="zh-CN"/>
              </w:rPr>
              <w:t>边角料</w:t>
            </w:r>
            <w:r>
              <w:rPr>
                <w:rFonts w:hint="eastAsia" w:ascii="Times New Roman" w:hAnsi="Times New Roman" w:cs="Times New Roman"/>
                <w:highlight w:val="none"/>
                <w:lang w:val="en-US" w:eastAsia="zh-CN"/>
              </w:rPr>
              <w:t>、盛装粘合剂废桶和废泡沫</w:t>
            </w:r>
            <w:r>
              <w:rPr>
                <w:rFonts w:hint="default" w:ascii="Times New Roman" w:hAnsi="Times New Roman" w:cs="Times New Roman"/>
                <w:highlight w:val="none"/>
                <w:lang w:val="en-US" w:eastAsia="zh-CN"/>
              </w:rPr>
              <w:t>以及</w:t>
            </w:r>
            <w:r>
              <w:rPr>
                <w:rFonts w:hint="default" w:ascii="Times New Roman" w:hAnsi="Times New Roman" w:cs="Times New Roman"/>
                <w:highlight w:val="none"/>
              </w:rPr>
              <w:t>职工产生的生活垃圾。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8" w:type="dxa"/>
            <w:tcBorders>
              <w:top w:val="single" w:color="auto" w:sz="4" w:space="0"/>
              <w:left w:val="single" w:color="auto" w:sz="8" w:space="0"/>
              <w:bottom w:val="single" w:color="auto" w:sz="8" w:space="0"/>
              <w:right w:val="single" w:color="auto" w:sz="4" w:space="0"/>
              <w:tl2br w:val="nil"/>
              <w:tr2bl w:val="nil"/>
            </w:tcBorders>
            <w:vAlign w:val="center"/>
          </w:tcPr>
          <w:p>
            <w:pPr>
              <w:pStyle w:val="20"/>
              <w:adjustRightInd w:val="0"/>
              <w:snapToGrid w:val="0"/>
              <w:spacing w:before="0" w:beforeLines="0" w:beforeAutospacing="0" w:after="0" w:afterLines="0" w:afterAutospacing="0"/>
              <w:jc w:val="center"/>
              <w:rPr>
                <w:rFonts w:hint="default" w:ascii="Times New Roman" w:hAnsi="Times New Roman" w:cs="Times New Roman"/>
                <w:sz w:val="21"/>
                <w:szCs w:val="21"/>
                <w:highlight w:val="yellow"/>
              </w:rPr>
            </w:pPr>
            <w:r>
              <w:rPr>
                <w:rFonts w:hint="default" w:ascii="Times New Roman" w:hAnsi="Times New Roman" w:cs="Times New Roman"/>
                <w:kern w:val="2"/>
                <w:sz w:val="21"/>
                <w:szCs w:val="21"/>
                <w:highlight w:val="none"/>
              </w:rPr>
              <w:t>与项目有关的原有环境污染问题</w:t>
            </w:r>
          </w:p>
        </w:tc>
        <w:tc>
          <w:tcPr>
            <w:tcW w:w="8622" w:type="dxa"/>
            <w:tcBorders>
              <w:top w:val="single" w:color="auto" w:sz="4" w:space="0"/>
              <w:left w:val="single" w:color="auto" w:sz="4" w:space="0"/>
              <w:bottom w:val="single" w:color="auto" w:sz="8" w:space="0"/>
              <w:right w:val="single" w:color="auto" w:sz="8" w:space="0"/>
              <w:tl2br w:val="nil"/>
              <w:tr2bl w:val="nil"/>
            </w:tcBorders>
            <w:vAlign w:val="top"/>
          </w:tcPr>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cs="Times New Roman"/>
                <w:color w:val="FF0000"/>
                <w:sz w:val="24"/>
                <w:highlight w:val="none"/>
                <w:lang w:eastAsia="zh-CN"/>
              </w:rPr>
            </w:pPr>
            <w:r>
              <w:rPr>
                <w:rFonts w:hint="default" w:ascii="Times New Roman" w:hAnsi="Times New Roman" w:cs="Times New Roman"/>
                <w:color w:val="FF0000"/>
                <w:sz w:val="24"/>
                <w:highlight w:val="none"/>
                <w:lang w:eastAsia="zh-CN"/>
              </w:rPr>
              <w:t>本项目为</w:t>
            </w:r>
            <w:r>
              <w:rPr>
                <w:rFonts w:hint="eastAsia" w:ascii="Times New Roman" w:hAnsi="Times New Roman" w:cs="Times New Roman"/>
                <w:color w:val="FF0000"/>
                <w:sz w:val="24"/>
                <w:highlight w:val="none"/>
                <w:lang w:eastAsia="zh-CN"/>
              </w:rPr>
              <w:t>未批先建</w:t>
            </w:r>
            <w:r>
              <w:rPr>
                <w:rFonts w:hint="default" w:ascii="Times New Roman" w:hAnsi="Times New Roman" w:cs="Times New Roman"/>
                <w:color w:val="FF0000"/>
                <w:sz w:val="24"/>
                <w:highlight w:val="none"/>
                <w:lang w:eastAsia="zh-CN"/>
              </w:rPr>
              <w:t>项目，</w:t>
            </w:r>
            <w:r>
              <w:rPr>
                <w:rFonts w:hint="eastAsia" w:ascii="Times New Roman" w:hAnsi="Times New Roman" w:cs="Times New Roman"/>
                <w:color w:val="FF0000"/>
                <w:sz w:val="24"/>
                <w:highlight w:val="none"/>
                <w:lang w:val="en-US" w:eastAsia="zh-CN"/>
              </w:rPr>
              <w:t>项目于2014年建成并投产，</w:t>
            </w:r>
            <w:r>
              <w:rPr>
                <w:rFonts w:hint="eastAsia" w:ascii="Times New Roman" w:hAnsi="Times New Roman" w:cs="Times New Roman"/>
                <w:color w:val="FF0000"/>
                <w:sz w:val="24"/>
                <w:highlight w:val="none"/>
                <w:lang w:eastAsia="zh-CN"/>
              </w:rPr>
              <w:t>且建筑和运营过程中均不存在投诉</w:t>
            </w:r>
            <w:r>
              <w:rPr>
                <w:rFonts w:hint="default" w:ascii="Times New Roman" w:hAnsi="Times New Roman" w:cs="Times New Roman"/>
                <w:color w:val="FF0000"/>
                <w:sz w:val="24"/>
                <w:highlight w:val="none"/>
                <w:lang w:eastAsia="zh-CN"/>
              </w:rPr>
              <w:t>。</w:t>
            </w:r>
          </w:p>
          <w:p>
            <w:pPr>
              <w:pStyle w:val="2"/>
              <w:keepNext w:val="0"/>
              <w:keepLines w:val="0"/>
              <w:pageBreakBefore w:val="0"/>
              <w:numPr>
                <w:numId w:val="0"/>
              </w:numPr>
              <w:kinsoku/>
              <w:wordWrap/>
              <w:overflowPunct/>
              <w:topLinePunct w:val="0"/>
              <w:autoSpaceDE/>
              <w:autoSpaceDN/>
              <w:bidi w:val="0"/>
              <w:adjustRightInd/>
              <w:spacing w:line="360" w:lineRule="auto"/>
              <w:ind w:firstLine="482" w:firstLineChars="200"/>
              <w:textAlignment w:val="auto"/>
              <w:rPr>
                <w:rFonts w:hint="eastAsia" w:ascii="Times New Roman" w:hAnsi="Times New Roman" w:cs="Times New Roman"/>
                <w:b/>
                <w:bCs/>
                <w:color w:val="FF0000"/>
                <w:kern w:val="2"/>
                <w:sz w:val="24"/>
                <w:szCs w:val="22"/>
                <w:highlight w:val="none"/>
                <w:lang w:val="en-US" w:eastAsia="zh-CN" w:bidi="ar-SA"/>
              </w:rPr>
            </w:pPr>
            <w:r>
              <w:rPr>
                <w:rFonts w:hint="eastAsia" w:ascii="Times New Roman" w:hAnsi="Times New Roman" w:cs="Times New Roman"/>
                <w:b/>
                <w:bCs/>
                <w:color w:val="FF0000"/>
                <w:kern w:val="2"/>
                <w:sz w:val="24"/>
                <w:szCs w:val="22"/>
                <w:highlight w:val="none"/>
                <w:lang w:val="en-US" w:eastAsia="zh-CN" w:bidi="ar-SA"/>
              </w:rPr>
              <w:t>1.现状存在的问题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Autospacing="0" w:afterAutospacing="0" w:line="360" w:lineRule="auto"/>
              <w:ind w:left="0" w:right="0" w:firstLine="480" w:firstLineChars="200"/>
              <w:jc w:val="left"/>
              <w:textAlignment w:val="auto"/>
              <w:rPr>
                <w:rFonts w:hint="eastAsia" w:ascii="Times New Roman" w:hAnsi="Times New Roman" w:cs="Times New Roman"/>
                <w:color w:val="FF0000"/>
                <w:kern w:val="2"/>
                <w:sz w:val="24"/>
                <w:szCs w:val="22"/>
                <w:highlight w:val="none"/>
                <w:lang w:val="en-US" w:eastAsia="zh-CN" w:bidi="ar-SA"/>
              </w:rPr>
            </w:pPr>
            <w:r>
              <w:rPr>
                <w:rFonts w:hint="eastAsia" w:ascii="宋体" w:hAnsi="宋体" w:eastAsia="宋体" w:cs="宋体"/>
                <w:color w:val="FF0000"/>
                <w:kern w:val="2"/>
                <w:sz w:val="24"/>
                <w:szCs w:val="22"/>
                <w:highlight w:val="none"/>
                <w:lang w:val="en-US" w:eastAsia="zh-CN" w:bidi="ar-SA"/>
              </w:rPr>
              <w:t>经现场勘查，本项目在粘合工序中使用的白胶和黑胶产生的</w:t>
            </w:r>
            <w:r>
              <w:rPr>
                <w:rFonts w:hint="eastAsia" w:ascii="Times New Roman" w:hAnsi="Times New Roman" w:eastAsia="宋体" w:cs="Times New Roman"/>
                <w:color w:val="FF0000"/>
                <w:kern w:val="2"/>
                <w:sz w:val="24"/>
                <w:szCs w:val="22"/>
                <w:highlight w:val="none"/>
                <w:lang w:val="en-US" w:eastAsia="zh-CN" w:bidi="ar-SA"/>
              </w:rPr>
              <w:t>非甲烷总烃</w:t>
            </w:r>
            <w:r>
              <w:rPr>
                <w:rFonts w:hint="eastAsia" w:ascii="宋体" w:hAnsi="宋体" w:eastAsia="宋体" w:cs="宋体"/>
                <w:color w:val="FF0000"/>
                <w:kern w:val="2"/>
                <w:sz w:val="24"/>
                <w:szCs w:val="22"/>
                <w:highlight w:val="none"/>
                <w:lang w:val="en-US" w:eastAsia="zh-CN" w:bidi="ar-SA"/>
              </w:rPr>
              <w:t>不符合《</w:t>
            </w:r>
            <w:r>
              <w:rPr>
                <w:rFonts w:hint="default" w:ascii="Times New Roman" w:hAnsi="Times New Roman" w:eastAsia="宋体" w:cs="Times New Roman"/>
                <w:color w:val="FF0000"/>
                <w:kern w:val="2"/>
                <w:sz w:val="24"/>
                <w:szCs w:val="22"/>
                <w:highlight w:val="none"/>
                <w:lang w:val="en-US" w:eastAsia="zh-CN" w:bidi="ar-SA"/>
              </w:rPr>
              <w:t>2020</w:t>
            </w:r>
            <w:r>
              <w:rPr>
                <w:rFonts w:hint="eastAsia" w:ascii="宋体" w:hAnsi="宋体" w:eastAsia="宋体" w:cs="宋体"/>
                <w:color w:val="FF0000"/>
                <w:kern w:val="2"/>
                <w:sz w:val="24"/>
                <w:szCs w:val="22"/>
                <w:highlight w:val="none"/>
                <w:lang w:val="en-US" w:eastAsia="zh-CN" w:bidi="ar-SA"/>
              </w:rPr>
              <w:t>年挥发性有机物治理攻坚方案》的要求：将无组织排放转变为有组织排放进行控制，优先采用密闭设备、在密闭空间中操作或采用全密闭集气罩收集方式；对于采用局部集气罩的，应根据废气排放特点合理选择收集点位，距集气罩开口面最远处的</w:t>
            </w:r>
            <w:r>
              <w:rPr>
                <w:rFonts w:hint="eastAsia" w:ascii="Times New Roman" w:hAnsi="Times New Roman" w:eastAsia="宋体" w:cs="Times New Roman"/>
                <w:color w:val="FF0000"/>
                <w:kern w:val="2"/>
                <w:sz w:val="24"/>
                <w:szCs w:val="22"/>
                <w:highlight w:val="none"/>
                <w:lang w:val="en-US" w:eastAsia="zh-CN" w:bidi="ar-SA"/>
              </w:rPr>
              <w:t>非甲烷总烃无组织排放位置，控制风速不低于0.3m/s。</w:t>
            </w:r>
          </w:p>
          <w:p>
            <w:pPr>
              <w:pStyle w:val="2"/>
              <w:keepNext w:val="0"/>
              <w:keepLines w:val="0"/>
              <w:pageBreakBefore w:val="0"/>
              <w:numPr>
                <w:numId w:val="0"/>
              </w:numPr>
              <w:kinsoku/>
              <w:wordWrap/>
              <w:overflowPunct/>
              <w:topLinePunct w:val="0"/>
              <w:autoSpaceDE/>
              <w:autoSpaceDN/>
              <w:bidi w:val="0"/>
              <w:adjustRightInd/>
              <w:spacing w:line="360" w:lineRule="auto"/>
              <w:ind w:firstLine="482" w:firstLineChars="200"/>
              <w:textAlignment w:val="auto"/>
              <w:rPr>
                <w:rFonts w:hint="eastAsia" w:ascii="Times New Roman" w:hAnsi="Times New Roman" w:cs="Times New Roman"/>
                <w:b/>
                <w:bCs/>
                <w:color w:val="FF0000"/>
                <w:kern w:val="2"/>
                <w:sz w:val="24"/>
                <w:szCs w:val="22"/>
                <w:highlight w:val="none"/>
                <w:lang w:val="en-US" w:eastAsia="zh-CN" w:bidi="ar-SA"/>
              </w:rPr>
            </w:pPr>
            <w:r>
              <w:rPr>
                <w:rFonts w:hint="eastAsia" w:ascii="Times New Roman" w:hAnsi="Times New Roman" w:cs="Times New Roman"/>
                <w:b/>
                <w:bCs/>
                <w:color w:val="FF0000"/>
                <w:kern w:val="2"/>
                <w:sz w:val="24"/>
                <w:szCs w:val="22"/>
                <w:highlight w:val="none"/>
                <w:lang w:val="en-US" w:eastAsia="zh-CN" w:bidi="ar-SA"/>
              </w:rPr>
              <w:t>2.整改方案</w:t>
            </w:r>
          </w:p>
          <w:p>
            <w:pPr>
              <w:pStyle w:val="12"/>
              <w:spacing w:before="78" w:beforeLines="25" w:line="480" w:lineRule="exact"/>
              <w:ind w:firstLine="480"/>
              <w:rPr>
                <w:rFonts w:hint="eastAsia" w:ascii="Times New Roman" w:hAnsi="Times New Roman" w:cs="Times New Roman"/>
                <w:bCs/>
                <w:color w:val="FF0000"/>
                <w:sz w:val="24"/>
                <w:szCs w:val="24"/>
                <w:highlight w:val="none"/>
                <w:lang w:val="en-US" w:eastAsia="zh-CN"/>
              </w:rPr>
            </w:pPr>
            <w:r>
              <w:rPr>
                <w:rFonts w:hint="eastAsia" w:ascii="宋体" w:hAnsi="宋体" w:eastAsia="宋体" w:cs="宋体"/>
                <w:color w:val="FF0000"/>
                <w:kern w:val="2"/>
                <w:sz w:val="24"/>
                <w:szCs w:val="22"/>
                <w:highlight w:val="none"/>
                <w:lang w:val="en-US" w:eastAsia="zh-CN" w:bidi="ar-SA"/>
              </w:rPr>
              <w:t>本</w:t>
            </w:r>
            <w:r>
              <w:rPr>
                <w:rFonts w:hint="default" w:ascii="Times New Roman" w:hAnsi="Times New Roman" w:cs="Times New Roman"/>
                <w:bCs/>
                <w:color w:val="FF0000"/>
                <w:sz w:val="24"/>
                <w:szCs w:val="24"/>
                <w:highlight w:val="none"/>
                <w:lang w:eastAsia="zh-CN"/>
              </w:rPr>
              <w:t>项目彩钢复合板生产过程使用彩钢夹芯板粘合剂，在使用过程中会发出少量的有机废气，以</w:t>
            </w:r>
            <w:r>
              <w:rPr>
                <w:rFonts w:hint="eastAsia" w:ascii="Times New Roman" w:hAnsi="Times New Roman" w:cs="Times New Roman"/>
                <w:bCs/>
                <w:color w:val="FF0000"/>
                <w:sz w:val="24"/>
                <w:szCs w:val="24"/>
                <w:highlight w:val="none"/>
                <w:lang w:eastAsia="zh-CN"/>
              </w:rPr>
              <w:t>挥发性有机物</w:t>
            </w:r>
            <w:r>
              <w:rPr>
                <w:rFonts w:hint="default" w:ascii="Times New Roman" w:hAnsi="Times New Roman" w:cs="Times New Roman"/>
                <w:bCs/>
                <w:color w:val="FF0000"/>
                <w:sz w:val="24"/>
                <w:szCs w:val="24"/>
                <w:highlight w:val="none"/>
                <w:lang w:eastAsia="zh-CN"/>
              </w:rPr>
              <w:t>计。有机废气产生量按彩钢夹芯板粘合剂用量的</w:t>
            </w:r>
            <w:r>
              <w:rPr>
                <w:rFonts w:hint="eastAsia" w:ascii="Times New Roman" w:hAnsi="Times New Roman" w:cs="Times New Roman"/>
                <w:bCs/>
                <w:color w:val="FF0000"/>
                <w:sz w:val="24"/>
                <w:szCs w:val="24"/>
                <w:highlight w:val="none"/>
                <w:lang w:val="en-US" w:eastAsia="zh-CN"/>
              </w:rPr>
              <w:t>0.1</w:t>
            </w:r>
            <w:r>
              <w:rPr>
                <w:rFonts w:hint="default" w:ascii="Times New Roman" w:hAnsi="Times New Roman" w:cs="Times New Roman"/>
                <w:bCs/>
                <w:color w:val="FF0000"/>
                <w:sz w:val="24"/>
                <w:szCs w:val="24"/>
                <w:highlight w:val="none"/>
                <w:lang w:val="en-US" w:eastAsia="zh-CN"/>
              </w:rPr>
              <w:t>%计。本项目彩钢夹芯板粘合剂用量为1.</w:t>
            </w:r>
            <w:r>
              <w:rPr>
                <w:rFonts w:hint="eastAsia" w:ascii="Times New Roman" w:hAnsi="Times New Roman" w:cs="Times New Roman"/>
                <w:bCs/>
                <w:color w:val="FF0000"/>
                <w:sz w:val="24"/>
                <w:szCs w:val="24"/>
                <w:highlight w:val="none"/>
                <w:lang w:val="en-US" w:eastAsia="zh-CN"/>
              </w:rPr>
              <w:t>4</w:t>
            </w:r>
            <w:r>
              <w:rPr>
                <w:rFonts w:hint="default" w:ascii="Times New Roman" w:hAnsi="Times New Roman" w:cs="Times New Roman"/>
                <w:bCs/>
                <w:color w:val="FF0000"/>
                <w:sz w:val="24"/>
                <w:szCs w:val="24"/>
                <w:highlight w:val="none"/>
                <w:lang w:val="en-US" w:eastAsia="zh-CN"/>
              </w:rPr>
              <w:t>t/a，则</w:t>
            </w:r>
            <w:r>
              <w:rPr>
                <w:rFonts w:hint="eastAsia" w:ascii="Times New Roman" w:hAnsi="Times New Roman" w:cs="Times New Roman"/>
                <w:bCs/>
                <w:color w:val="FF0000"/>
                <w:sz w:val="24"/>
                <w:szCs w:val="24"/>
                <w:highlight w:val="none"/>
                <w:lang w:val="en-US" w:eastAsia="zh-CN"/>
              </w:rPr>
              <w:t>挥发性有机物</w:t>
            </w:r>
            <w:r>
              <w:rPr>
                <w:rFonts w:hint="default" w:ascii="Times New Roman" w:hAnsi="Times New Roman" w:cs="Times New Roman"/>
                <w:bCs/>
                <w:color w:val="FF0000"/>
                <w:sz w:val="24"/>
                <w:szCs w:val="24"/>
                <w:highlight w:val="none"/>
                <w:lang w:val="en-US" w:eastAsia="zh-CN"/>
              </w:rPr>
              <w:t>产生量约为</w:t>
            </w:r>
            <w:r>
              <w:rPr>
                <w:rFonts w:hint="eastAsia" w:ascii="Times New Roman" w:hAnsi="Times New Roman" w:cs="Times New Roman"/>
                <w:bCs/>
                <w:color w:val="FF0000"/>
                <w:sz w:val="24"/>
                <w:szCs w:val="24"/>
                <w:highlight w:val="none"/>
                <w:lang w:val="en-US" w:eastAsia="zh-CN"/>
              </w:rPr>
              <w:t>1.4</w:t>
            </w:r>
            <w:r>
              <w:rPr>
                <w:rFonts w:hint="default" w:ascii="Times New Roman" w:hAnsi="Times New Roman" w:cs="Times New Roman"/>
                <w:bCs/>
                <w:color w:val="FF0000"/>
                <w:sz w:val="24"/>
                <w:szCs w:val="24"/>
                <w:highlight w:val="none"/>
                <w:lang w:val="en-US" w:eastAsia="zh-CN"/>
              </w:rPr>
              <w:t>kg/a，胶粘工序以每天4h计，产生速率为0.0</w:t>
            </w:r>
            <w:r>
              <w:rPr>
                <w:rFonts w:hint="eastAsia" w:ascii="Times New Roman" w:hAnsi="Times New Roman" w:cs="Times New Roman"/>
                <w:bCs/>
                <w:color w:val="FF0000"/>
                <w:sz w:val="24"/>
                <w:szCs w:val="24"/>
                <w:highlight w:val="none"/>
                <w:lang w:val="en-US" w:eastAsia="zh-CN"/>
              </w:rPr>
              <w:t>017</w:t>
            </w:r>
            <w:r>
              <w:rPr>
                <w:rFonts w:hint="default" w:ascii="Times New Roman" w:hAnsi="Times New Roman" w:cs="Times New Roman"/>
                <w:bCs/>
                <w:color w:val="FF0000"/>
                <w:sz w:val="24"/>
                <w:szCs w:val="24"/>
                <w:highlight w:val="none"/>
                <w:lang w:val="en-US" w:eastAsia="zh-CN"/>
              </w:rPr>
              <w:t>kg/h。</w:t>
            </w:r>
          </w:p>
          <w:p>
            <w:pPr>
              <w:pStyle w:val="12"/>
              <w:spacing w:before="78" w:beforeLines="25" w:line="480" w:lineRule="exact"/>
              <w:ind w:firstLine="480"/>
              <w:rPr>
                <w:rFonts w:hint="default" w:ascii="Times New Roman" w:hAnsi="Times New Roman" w:cs="Times New Roman"/>
                <w:bCs/>
                <w:color w:val="FF0000"/>
                <w:sz w:val="24"/>
                <w:szCs w:val="24"/>
                <w:highlight w:val="none"/>
                <w:lang w:val="en-US" w:eastAsia="zh-CN"/>
              </w:rPr>
            </w:pPr>
            <w:r>
              <w:rPr>
                <w:rFonts w:hint="eastAsia" w:ascii="Times New Roman" w:hAnsi="Times New Roman" w:cs="Times New Roman"/>
                <w:bCs/>
                <w:color w:val="FF0000"/>
                <w:sz w:val="24"/>
                <w:szCs w:val="24"/>
                <w:highlight w:val="none"/>
                <w:lang w:val="en-US" w:eastAsia="zh-CN"/>
              </w:rPr>
              <w:t>挥发性有机物为</w:t>
            </w:r>
            <w:r>
              <w:rPr>
                <w:rFonts w:hint="default" w:ascii="Times New Roman" w:hAnsi="Times New Roman" w:cs="Times New Roman"/>
                <w:bCs/>
                <w:color w:val="FF0000"/>
                <w:sz w:val="24"/>
                <w:szCs w:val="24"/>
                <w:highlight w:val="none"/>
                <w:lang w:val="en-US" w:eastAsia="zh-CN"/>
              </w:rPr>
              <w:t>无组织排放，无组织排放量为</w:t>
            </w:r>
            <w:r>
              <w:rPr>
                <w:rFonts w:hint="eastAsia" w:ascii="Times New Roman" w:hAnsi="Times New Roman" w:cs="Times New Roman"/>
                <w:bCs/>
                <w:color w:val="FF0000"/>
                <w:sz w:val="24"/>
                <w:szCs w:val="24"/>
                <w:highlight w:val="none"/>
                <w:lang w:val="en-US" w:eastAsia="zh-CN"/>
              </w:rPr>
              <w:t>1.4</w:t>
            </w:r>
            <w:r>
              <w:rPr>
                <w:rFonts w:hint="default" w:ascii="Times New Roman" w:hAnsi="Times New Roman" w:cs="Times New Roman"/>
                <w:bCs/>
                <w:color w:val="FF0000"/>
                <w:sz w:val="24"/>
                <w:szCs w:val="24"/>
                <w:highlight w:val="none"/>
                <w:lang w:val="en-US" w:eastAsia="zh-CN"/>
              </w:rPr>
              <w:t>kg/a，则无组织排放速率为0.00</w:t>
            </w:r>
            <w:r>
              <w:rPr>
                <w:rFonts w:hint="eastAsia" w:ascii="Times New Roman" w:hAnsi="Times New Roman" w:cs="Times New Roman"/>
                <w:bCs/>
                <w:color w:val="FF0000"/>
                <w:sz w:val="24"/>
                <w:szCs w:val="24"/>
                <w:highlight w:val="none"/>
                <w:lang w:val="en-US" w:eastAsia="zh-CN"/>
              </w:rPr>
              <w:t>17k</w:t>
            </w:r>
            <w:r>
              <w:rPr>
                <w:rFonts w:hint="default" w:ascii="Times New Roman" w:hAnsi="Times New Roman" w:cs="Times New Roman"/>
                <w:bCs/>
                <w:color w:val="FF0000"/>
                <w:sz w:val="24"/>
                <w:szCs w:val="24"/>
                <w:highlight w:val="none"/>
                <w:lang w:val="en-US" w:eastAsia="zh-CN"/>
              </w:rPr>
              <w:t>g/h，</w:t>
            </w:r>
            <w:r>
              <w:rPr>
                <w:rFonts w:hint="eastAsia" w:ascii="Times New Roman" w:hAnsi="Times New Roman" w:cs="Times New Roman"/>
                <w:bCs/>
                <w:color w:val="FF0000"/>
                <w:sz w:val="24"/>
                <w:szCs w:val="24"/>
                <w:highlight w:val="none"/>
                <w:lang w:val="en-US" w:eastAsia="zh-CN"/>
              </w:rPr>
              <w:t>经预测，最大落地</w:t>
            </w:r>
            <w:r>
              <w:rPr>
                <w:rFonts w:hint="default" w:ascii="Times New Roman" w:hAnsi="Times New Roman" w:cs="Times New Roman"/>
                <w:bCs/>
                <w:color w:val="FF0000"/>
                <w:sz w:val="24"/>
                <w:szCs w:val="24"/>
                <w:highlight w:val="none"/>
                <w:lang w:val="en-US" w:eastAsia="zh-CN"/>
              </w:rPr>
              <w:t>浓度为</w:t>
            </w:r>
            <w:r>
              <w:rPr>
                <w:rFonts w:hint="eastAsia" w:ascii="Times New Roman" w:hAnsi="Times New Roman" w:cs="Times New Roman"/>
                <w:bCs/>
                <w:color w:val="FF0000"/>
                <w:sz w:val="24"/>
                <w:szCs w:val="24"/>
                <w:highlight w:val="none"/>
                <w:lang w:val="en-US" w:eastAsia="zh-CN"/>
              </w:rPr>
              <w:t>11.383</w:t>
            </w:r>
            <w:r>
              <w:rPr>
                <w:rFonts w:hint="default" w:ascii="Times New Roman" w:hAnsi="Times New Roman" w:cs="Times New Roman"/>
                <w:bCs/>
                <w:color w:val="FF0000"/>
                <w:sz w:val="24"/>
                <w:szCs w:val="24"/>
                <w:highlight w:val="none"/>
                <w:lang w:val="en-US" w:eastAsia="zh-CN"/>
              </w:rPr>
              <w:t>μ</w:t>
            </w:r>
            <w:r>
              <w:rPr>
                <w:rFonts w:hint="eastAsia" w:ascii="Times New Roman" w:hAnsi="Times New Roman" w:cs="Times New Roman"/>
                <w:bCs/>
                <w:color w:val="FF0000"/>
                <w:sz w:val="24"/>
                <w:szCs w:val="24"/>
                <w:highlight w:val="none"/>
                <w:lang w:val="en-US" w:eastAsia="zh-CN"/>
              </w:rPr>
              <w:t>g</w:t>
            </w:r>
            <w:r>
              <w:rPr>
                <w:rFonts w:hint="default" w:ascii="Times New Roman" w:hAnsi="Times New Roman" w:cs="Times New Roman"/>
                <w:bCs/>
                <w:color w:val="FF0000"/>
                <w:sz w:val="24"/>
                <w:szCs w:val="24"/>
                <w:highlight w:val="none"/>
                <w:lang w:val="en-US" w:eastAsia="zh-CN"/>
              </w:rPr>
              <w:t>/m</w:t>
            </w:r>
            <w:r>
              <w:rPr>
                <w:rFonts w:hint="default" w:ascii="Times New Roman" w:hAnsi="Times New Roman" w:cs="Times New Roman"/>
                <w:bCs/>
                <w:color w:val="FF0000"/>
                <w:sz w:val="24"/>
                <w:szCs w:val="24"/>
                <w:highlight w:val="none"/>
                <w:vertAlign w:val="superscript"/>
                <w:lang w:val="en-US" w:eastAsia="zh-CN"/>
              </w:rPr>
              <w:t>3</w:t>
            </w:r>
            <w:r>
              <w:rPr>
                <w:rFonts w:hint="default" w:ascii="Times New Roman" w:hAnsi="Times New Roman" w:cs="Times New Roman"/>
                <w:bCs/>
                <w:color w:val="FF0000"/>
                <w:sz w:val="24"/>
                <w:szCs w:val="24"/>
                <w:highlight w:val="none"/>
                <w:vertAlign w:val="baseline"/>
                <w:lang w:val="en-US" w:eastAsia="zh-CN"/>
              </w:rPr>
              <w:t>，</w:t>
            </w:r>
            <w:r>
              <w:rPr>
                <w:rFonts w:hint="default" w:ascii="Times New Roman" w:hAnsi="Times New Roman" w:cs="Times New Roman"/>
                <w:bCs/>
                <w:color w:val="FF0000"/>
                <w:sz w:val="24"/>
                <w:highlight w:val="none"/>
              </w:rPr>
              <w:t>排放浓度能够满足</w:t>
            </w:r>
            <w:r>
              <w:rPr>
                <w:rFonts w:hint="default" w:ascii="Times New Roman" w:hAnsi="Times New Roman" w:cs="Times New Roman"/>
                <w:bCs/>
                <w:color w:val="FF0000"/>
                <w:sz w:val="24"/>
                <w:highlight w:val="none"/>
                <w:lang w:val="en-US" w:eastAsia="zh-CN"/>
              </w:rPr>
              <w:t>《挥发性有机物无组织排放控制标准》（GB37822-2019）中表A.1的标准</w:t>
            </w:r>
            <w:r>
              <w:rPr>
                <w:rFonts w:hint="eastAsia" w:ascii="Times New Roman" w:hAnsi="Times New Roman" w:cs="Times New Roman"/>
                <w:color w:val="FF0000"/>
                <w:sz w:val="24"/>
                <w:highlight w:val="none"/>
                <w:lang w:eastAsia="zh-CN"/>
              </w:rPr>
              <w:t>挥发性有机物无</w:t>
            </w:r>
            <w:r>
              <w:rPr>
                <w:rFonts w:hint="default" w:ascii="Times New Roman" w:hAnsi="Times New Roman" w:cs="Times New Roman"/>
                <w:color w:val="FF0000"/>
                <w:sz w:val="24"/>
                <w:highlight w:val="none"/>
              </w:rPr>
              <w:t>组织</w:t>
            </w:r>
            <w:r>
              <w:rPr>
                <w:rFonts w:hint="eastAsia" w:ascii="Times New Roman" w:hAnsi="Times New Roman" w:cs="Times New Roman"/>
                <w:color w:val="FF0000"/>
                <w:sz w:val="24"/>
                <w:highlight w:val="none"/>
                <w:lang w:eastAsia="zh-CN"/>
              </w:rPr>
              <w:t>排放监控浓度</w:t>
            </w:r>
            <w:r>
              <w:rPr>
                <w:rFonts w:hint="default" w:ascii="Times New Roman" w:hAnsi="Times New Roman" w:cs="Times New Roman"/>
                <w:color w:val="FF0000"/>
                <w:sz w:val="24"/>
                <w:highlight w:val="none"/>
              </w:rPr>
              <w:t>限值要求</w:t>
            </w:r>
            <w:r>
              <w:rPr>
                <w:rFonts w:hint="default" w:ascii="Times New Roman" w:hAnsi="Times New Roman" w:cs="Times New Roman"/>
                <w:bCs/>
                <w:color w:val="FF0000"/>
                <w:sz w:val="24"/>
                <w:szCs w:val="24"/>
                <w:highlight w:val="none"/>
              </w:rPr>
              <w:t>。</w:t>
            </w:r>
          </w:p>
          <w:p>
            <w:pPr>
              <w:pStyle w:val="4"/>
              <w:keepNext w:val="0"/>
              <w:keepLines w:val="0"/>
              <w:pageBreakBefore w:val="0"/>
              <w:numPr>
                <w:ilvl w:val="0"/>
                <w:numId w:val="0"/>
              </w:numPr>
              <w:kinsoku/>
              <w:wordWrap/>
              <w:overflowPunct/>
              <w:topLinePunct w:val="0"/>
              <w:autoSpaceDE/>
              <w:autoSpaceDN/>
              <w:bidi w:val="0"/>
              <w:adjustRightInd/>
              <w:spacing w:after="0" w:line="360" w:lineRule="auto"/>
              <w:ind w:firstLine="480" w:firstLineChars="200"/>
              <w:textAlignment w:val="auto"/>
              <w:rPr>
                <w:rFonts w:hint="eastAsia" w:ascii="宋体" w:hAnsi="宋体" w:eastAsia="宋体" w:cs="宋体"/>
                <w:color w:val="FF0000"/>
                <w:kern w:val="2"/>
                <w:sz w:val="24"/>
                <w:szCs w:val="22"/>
                <w:highlight w:val="none"/>
                <w:lang w:val="en-US" w:eastAsia="zh-CN" w:bidi="ar-SA"/>
              </w:rPr>
            </w:pPr>
            <w:r>
              <w:rPr>
                <w:rFonts w:hint="eastAsia" w:ascii="宋体" w:hAnsi="宋体" w:eastAsia="宋体" w:cs="宋体"/>
                <w:color w:val="FF0000"/>
                <w:kern w:val="2"/>
                <w:sz w:val="24"/>
                <w:szCs w:val="22"/>
                <w:highlight w:val="none"/>
                <w:lang w:val="en-US" w:eastAsia="zh-CN" w:bidi="ar-SA"/>
              </w:rPr>
              <w:t>因此，本环评要求在进行粘合工序时，在封闭厂房内进行。</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eastAsia="宋体" w:cs="Times New Roman"/>
                <w:sz w:val="21"/>
                <w:szCs w:val="24"/>
                <w:highlight w:val="yellow"/>
                <w:lang w:val="en-US" w:eastAsia="zh-CN"/>
              </w:rPr>
            </w:pPr>
          </w:p>
        </w:tc>
      </w:tr>
    </w:tbl>
    <w:p>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pPr>
        <w:pStyle w:val="20"/>
        <w:spacing w:beforeLines="0" w:afterLines="0"/>
        <w:jc w:val="center"/>
        <w:outlineLvl w:val="0"/>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none"/>
        </w:rPr>
        <w:t>三、区域环境质量现状、环境保护目标及评价标准</w:t>
      </w:r>
    </w:p>
    <w:tbl>
      <w:tblPr>
        <w:tblStyle w:val="21"/>
        <w:tblW w:w="906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8"/>
        <w:gridCol w:w="833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8" w:type="dxa"/>
            <w:tcBorders>
              <w:top w:val="single" w:color="auto" w:sz="8"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区域</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环境</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质量</w:t>
            </w:r>
          </w:p>
          <w:p>
            <w:pPr>
              <w:adjustRightInd w:val="0"/>
              <w:snapToGrid w:val="0"/>
              <w:spacing w:beforeLines="0" w:afterLines="0"/>
              <w:jc w:val="center"/>
              <w:rPr>
                <w:rFonts w:hint="default" w:ascii="Times New Roman" w:hAnsi="Times New Roman" w:eastAsia="宋体" w:cs="Times New Roman"/>
                <w:kern w:val="0"/>
                <w:sz w:val="21"/>
                <w:szCs w:val="21"/>
                <w:highlight w:val="yellow"/>
              </w:rPr>
            </w:pPr>
            <w:r>
              <w:rPr>
                <w:rFonts w:hint="default" w:ascii="Times New Roman" w:hAnsi="Times New Roman" w:eastAsia="宋体" w:cs="Times New Roman"/>
                <w:kern w:val="0"/>
                <w:sz w:val="21"/>
                <w:szCs w:val="21"/>
                <w:highlight w:val="none"/>
              </w:rPr>
              <w:t>现状</w:t>
            </w:r>
          </w:p>
        </w:tc>
        <w:tc>
          <w:tcPr>
            <w:tcW w:w="8332" w:type="dxa"/>
            <w:tcBorders>
              <w:top w:val="single" w:color="auto" w:sz="8" w:space="0"/>
              <w:left w:val="single" w:color="auto" w:sz="4" w:space="0"/>
              <w:bottom w:val="single" w:color="auto" w:sz="4" w:space="0"/>
              <w:right w:val="single" w:color="auto" w:sz="8"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建设项目所在地区域环境质量现状及主要环境问题（环境空气、地表水、地下水、声环境、生态环境等）</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highlight w:val="none"/>
                <w:lang w:val="en-US" w:eastAsia="zh-CN"/>
              </w:rPr>
            </w:pPr>
            <w:r>
              <w:rPr>
                <w:rFonts w:hint="eastAsia" w:ascii="宋体" w:hAnsi="宋体" w:eastAsia="宋体" w:cs="宋体"/>
                <w:b/>
                <w:bCs/>
                <w:highlight w:val="none"/>
                <w:lang w:val="en-US" w:eastAsia="zh-CN"/>
              </w:rPr>
              <w:t>1、环境空气质量现状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rPr>
            </w:pPr>
            <w:r>
              <w:rPr>
                <w:rFonts w:hint="default" w:ascii="Times New Roman" w:hAnsi="Times New Roman" w:cs="Times New Roman"/>
                <w:highlight w:val="none"/>
              </w:rPr>
              <w:t>本项目所在地环境空气质量为二类功能区，因此该地区环境空气质量执行《环境空气质量标准》</w:t>
            </w:r>
            <w:r>
              <w:rPr>
                <w:rFonts w:hint="eastAsia" w:ascii="Times New Roman" w:hAnsi="Times New Roman" w:cs="Times New Roman"/>
                <w:highlight w:val="none"/>
                <w:lang w:eastAsia="zh-CN"/>
              </w:rPr>
              <w:t>（</w:t>
            </w:r>
            <w:r>
              <w:rPr>
                <w:rFonts w:hint="default" w:ascii="Times New Roman" w:hAnsi="Times New Roman" w:cs="Times New Roman"/>
                <w:highlight w:val="none"/>
              </w:rPr>
              <w:t>GB3095-2012</w:t>
            </w:r>
            <w:r>
              <w:rPr>
                <w:rFonts w:hint="eastAsia" w:ascii="Times New Roman" w:hAnsi="Times New Roman" w:cs="Times New Roman"/>
                <w:highlight w:val="none"/>
                <w:lang w:eastAsia="zh-CN"/>
              </w:rPr>
              <w:t>）</w:t>
            </w:r>
            <w:r>
              <w:rPr>
                <w:rFonts w:hint="default" w:ascii="Times New Roman" w:hAnsi="Times New Roman" w:cs="Times New Roman"/>
                <w:highlight w:val="none"/>
              </w:rPr>
              <w:t>中的二级标准。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lang w:val="en-US" w:eastAsia="zh-CN"/>
              </w:rPr>
            </w:pPr>
            <w:r>
              <w:rPr>
                <w:rFonts w:hint="default" w:ascii="Times New Roman" w:hAnsi="Times New Roman" w:cs="Times New Roman"/>
                <w:color w:val="auto"/>
                <w:sz w:val="24"/>
                <w:highlight w:val="none"/>
              </w:rPr>
              <w:t>根据内蒙古自治区</w:t>
            </w:r>
            <w:r>
              <w:rPr>
                <w:rFonts w:hint="default" w:ascii="Times New Roman" w:hAnsi="Times New Roman" w:cs="Times New Roman"/>
                <w:color w:val="auto"/>
                <w:sz w:val="24"/>
                <w:highlight w:val="none"/>
                <w:lang w:val="en-US" w:eastAsia="zh-CN"/>
              </w:rPr>
              <w:t>生态环境厅2021</w:t>
            </w:r>
            <w:r>
              <w:rPr>
                <w:rFonts w:hint="default" w:ascii="Times New Roman" w:hAnsi="Times New Roman" w:cs="Times New Roman"/>
                <w:color w:val="auto"/>
                <w:sz w:val="24"/>
                <w:highlight w:val="none"/>
              </w:rPr>
              <w:t>年</w:t>
            </w:r>
            <w:r>
              <w:rPr>
                <w:rFonts w:hint="default" w:ascii="Times New Roman" w:hAnsi="Times New Roman" w:cs="Times New Roman"/>
                <w:color w:val="auto"/>
                <w:sz w:val="24"/>
                <w:highlight w:val="none"/>
                <w:lang w:val="en-US" w:eastAsia="zh-CN"/>
              </w:rPr>
              <w:t>6</w:t>
            </w:r>
            <w:r>
              <w:rPr>
                <w:rFonts w:hint="default" w:ascii="Times New Roman" w:hAnsi="Times New Roman" w:cs="Times New Roman"/>
                <w:color w:val="auto"/>
                <w:sz w:val="24"/>
                <w:highlight w:val="none"/>
              </w:rPr>
              <w:t>月</w:t>
            </w:r>
            <w:r>
              <w:rPr>
                <w:rFonts w:hint="default"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rPr>
              <w:t>日发布的</w:t>
            </w:r>
            <w:r>
              <w:rPr>
                <w:rFonts w:hint="default" w:ascii="Times New Roman" w:hAnsi="Times New Roman" w:cs="Times New Roman"/>
                <w:color w:val="auto"/>
                <w:sz w:val="24"/>
                <w:highlight w:val="none"/>
                <w:lang w:val="en-US" w:eastAsia="zh-CN"/>
              </w:rPr>
              <w:t>2020</w:t>
            </w:r>
            <w:r>
              <w:rPr>
                <w:rFonts w:hint="default" w:ascii="Times New Roman" w:hAnsi="Times New Roman" w:cs="Times New Roman"/>
                <w:color w:val="auto"/>
                <w:sz w:val="24"/>
                <w:highlight w:val="none"/>
              </w:rPr>
              <w:t>年度内蒙古自治区生态环境状况公报，锡林郭勒盟环境空气质量较好，采用国控自动监测站点的监测数据，环境空气评价因子为SO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、NO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、PM</w:t>
            </w:r>
            <w:r>
              <w:rPr>
                <w:rFonts w:hint="default" w:ascii="Times New Roman" w:hAnsi="Times New Roman" w:cs="Times New Roman"/>
                <w:color w:val="auto"/>
                <w:sz w:val="24"/>
                <w:highlight w:val="none"/>
                <w:vertAlign w:val="subscript"/>
              </w:rPr>
              <w:t>10</w:t>
            </w:r>
            <w:r>
              <w:rPr>
                <w:rFonts w:hint="default" w:ascii="Times New Roman" w:hAnsi="Times New Roman" w:cs="Times New Roman"/>
                <w:color w:val="auto"/>
                <w:sz w:val="24"/>
                <w:highlight w:val="none"/>
              </w:rPr>
              <w:t>、PM</w:t>
            </w:r>
            <w:r>
              <w:rPr>
                <w:rFonts w:hint="default" w:ascii="Times New Roman" w:hAnsi="Times New Roman" w:cs="Times New Roman"/>
                <w:color w:val="auto"/>
                <w:sz w:val="24"/>
                <w:highlight w:val="none"/>
                <w:vertAlign w:val="subscript"/>
              </w:rPr>
              <w:t>2.5</w:t>
            </w:r>
            <w:r>
              <w:rPr>
                <w:rFonts w:hint="default" w:ascii="Times New Roman" w:hAnsi="Times New Roman" w:cs="Times New Roman"/>
                <w:color w:val="auto"/>
                <w:sz w:val="24"/>
                <w:highlight w:val="none"/>
              </w:rPr>
              <w:t>、CO、O</w:t>
            </w:r>
            <w:r>
              <w:rPr>
                <w:rFonts w:hint="default" w:ascii="Times New Roman" w:hAnsi="Times New Roman" w:cs="Times New Roman"/>
                <w:color w:val="auto"/>
                <w:sz w:val="24"/>
                <w:highlight w:val="none"/>
                <w:vertAlign w:val="subscript"/>
              </w:rPr>
              <w:t>3</w:t>
            </w:r>
            <w:r>
              <w:rPr>
                <w:rFonts w:hint="default" w:ascii="Times New Roman" w:hAnsi="Times New Roman" w:cs="Times New Roman"/>
                <w:color w:val="auto"/>
                <w:sz w:val="24"/>
                <w:highlight w:val="none"/>
              </w:rPr>
              <w:t>等。PM</w:t>
            </w:r>
            <w:r>
              <w:rPr>
                <w:rFonts w:hint="default" w:ascii="Times New Roman" w:hAnsi="Times New Roman" w:cs="Times New Roman"/>
                <w:color w:val="auto"/>
                <w:sz w:val="24"/>
                <w:highlight w:val="none"/>
                <w:vertAlign w:val="subscript"/>
              </w:rPr>
              <w:t>2.5</w:t>
            </w:r>
            <w:r>
              <w:rPr>
                <w:rFonts w:hint="default" w:ascii="Times New Roman" w:hAnsi="Times New Roman" w:cs="Times New Roman"/>
                <w:color w:val="auto"/>
                <w:sz w:val="24"/>
                <w:highlight w:val="none"/>
              </w:rPr>
              <w:t>年平均浓度为</w:t>
            </w:r>
            <w:r>
              <w:rPr>
                <w:rFonts w:hint="default" w:ascii="Times New Roman" w:hAnsi="Times New Roman" w:cs="Times New Roman"/>
                <w:color w:val="auto"/>
                <w:sz w:val="24"/>
                <w:highlight w:val="none"/>
                <w:lang w:val="en-US" w:eastAsia="zh-CN"/>
              </w:rPr>
              <w:t>27</w:t>
            </w:r>
            <w:r>
              <w:rPr>
                <w:rFonts w:hint="default" w:ascii="Times New Roman" w:hAnsi="Times New Roman" w:cs="Times New Roman"/>
                <w:color w:val="auto"/>
                <w:sz w:val="24"/>
                <w:highlight w:val="none"/>
              </w:rPr>
              <w:t>μg/m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，PM</w:t>
            </w:r>
            <w:r>
              <w:rPr>
                <w:rFonts w:hint="default" w:ascii="Times New Roman" w:hAnsi="Times New Roman" w:cs="Times New Roman"/>
                <w:color w:val="auto"/>
                <w:sz w:val="24"/>
                <w:highlight w:val="none"/>
                <w:vertAlign w:val="subscript"/>
              </w:rPr>
              <w:t>10</w:t>
            </w:r>
            <w:r>
              <w:rPr>
                <w:rFonts w:hint="default" w:ascii="Times New Roman" w:hAnsi="Times New Roman" w:cs="Times New Roman"/>
                <w:color w:val="auto"/>
                <w:sz w:val="24"/>
                <w:highlight w:val="none"/>
              </w:rPr>
              <w:t>年平均浓度为</w:t>
            </w:r>
            <w:r>
              <w:rPr>
                <w:rFonts w:hint="default" w:ascii="Times New Roman" w:hAnsi="Times New Roman" w:cs="Times New Roman"/>
                <w:color w:val="auto"/>
                <w:sz w:val="24"/>
                <w:highlight w:val="none"/>
                <w:lang w:val="en-US" w:eastAsia="zh-CN"/>
              </w:rPr>
              <w:t>53</w:t>
            </w:r>
            <w:r>
              <w:rPr>
                <w:rFonts w:hint="default" w:ascii="Times New Roman" w:hAnsi="Times New Roman" w:cs="Times New Roman"/>
                <w:color w:val="auto"/>
                <w:sz w:val="24"/>
                <w:highlight w:val="none"/>
              </w:rPr>
              <w:t>μg/m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，SO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年平均浓度为</w:t>
            </w:r>
            <w:r>
              <w:rPr>
                <w:rFonts w:hint="default" w:ascii="Times New Roman" w:hAnsi="Times New Roman" w:cs="Times New Roman"/>
                <w:color w:val="auto"/>
                <w:sz w:val="24"/>
                <w:highlight w:val="none"/>
                <w:lang w:val="en-US" w:eastAsia="zh-CN"/>
              </w:rPr>
              <w:t>14</w:t>
            </w:r>
            <w:r>
              <w:rPr>
                <w:rFonts w:hint="default" w:ascii="Times New Roman" w:hAnsi="Times New Roman" w:cs="Times New Roman"/>
                <w:color w:val="auto"/>
                <w:sz w:val="24"/>
                <w:highlight w:val="none"/>
              </w:rPr>
              <w:t>μg/m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，NO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年平均浓度为</w:t>
            </w:r>
            <w:r>
              <w:rPr>
                <w:rFonts w:hint="default" w:ascii="Times New Roman" w:hAnsi="Times New Roman" w:cs="Times New Roman"/>
                <w:color w:val="auto"/>
                <w:sz w:val="24"/>
                <w:highlight w:val="none"/>
                <w:lang w:val="en-US" w:eastAsia="zh-CN"/>
              </w:rPr>
              <w:t>21</w:t>
            </w:r>
            <w:r>
              <w:rPr>
                <w:rFonts w:hint="default" w:ascii="Times New Roman" w:hAnsi="Times New Roman" w:cs="Times New Roman"/>
                <w:color w:val="auto"/>
                <w:sz w:val="24"/>
                <w:highlight w:val="none"/>
              </w:rPr>
              <w:t>μg/m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，CO</w:t>
            </w:r>
            <w:r>
              <w:rPr>
                <w:rFonts w:hint="default" w:ascii="Times New Roman" w:hAnsi="Times New Roman" w:cs="Times New Roman"/>
                <w:color w:val="auto"/>
                <w:sz w:val="24"/>
                <w:highlight w:val="none"/>
                <w:lang w:val="en-US" w:eastAsia="zh-CN"/>
              </w:rPr>
              <w:t>年</w:t>
            </w:r>
            <w:r>
              <w:rPr>
                <w:rFonts w:hint="default" w:ascii="Times New Roman" w:hAnsi="Times New Roman" w:cs="Times New Roman"/>
                <w:color w:val="auto"/>
                <w:sz w:val="24"/>
                <w:highlight w:val="none"/>
              </w:rPr>
              <w:t>日均</w:t>
            </w:r>
            <w:r>
              <w:rPr>
                <w:rFonts w:hint="default" w:ascii="Times New Roman" w:hAnsi="Times New Roman" w:cs="Times New Roman"/>
                <w:color w:val="auto"/>
                <w:sz w:val="24"/>
                <w:highlight w:val="none"/>
                <w:lang w:val="en-US" w:eastAsia="zh-CN"/>
              </w:rPr>
              <w:t>值第95百分位浓度1.3</w:t>
            </w:r>
            <w:r>
              <w:rPr>
                <w:rFonts w:hint="default" w:ascii="Times New Roman" w:hAnsi="Times New Roman" w:cs="Times New Roman"/>
                <w:color w:val="auto"/>
                <w:sz w:val="24"/>
                <w:highlight w:val="none"/>
              </w:rPr>
              <w:t>mg/m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，O</w:t>
            </w:r>
            <w:r>
              <w:rPr>
                <w:rFonts w:hint="default" w:ascii="Times New Roman" w:hAnsi="Times New Roman" w:cs="Times New Roman"/>
                <w:color w:val="auto"/>
                <w:sz w:val="24"/>
                <w:highlight w:val="none"/>
                <w:vertAlign w:val="subscript"/>
              </w:rPr>
              <w:t>3</w:t>
            </w:r>
            <w:r>
              <w:rPr>
                <w:rFonts w:hint="default" w:ascii="Times New Roman" w:hAnsi="Times New Roman" w:cs="Times New Roman"/>
                <w:color w:val="auto"/>
                <w:sz w:val="24"/>
                <w:highlight w:val="none"/>
                <w:vertAlign w:val="baseline"/>
                <w:lang w:val="en-US" w:eastAsia="zh-CN"/>
              </w:rPr>
              <w:t>年</w:t>
            </w:r>
            <w:r>
              <w:rPr>
                <w:rFonts w:hint="default" w:ascii="Times New Roman" w:hAnsi="Times New Roman" w:cs="Times New Roman"/>
                <w:color w:val="auto"/>
                <w:sz w:val="24"/>
                <w:highlight w:val="none"/>
              </w:rPr>
              <w:t>日最大8小时</w:t>
            </w:r>
            <w:r>
              <w:rPr>
                <w:rFonts w:hint="default" w:ascii="Times New Roman" w:hAnsi="Times New Roman" w:cs="Times New Roman"/>
                <w:color w:val="auto"/>
                <w:sz w:val="24"/>
                <w:highlight w:val="none"/>
                <w:lang w:val="en-US" w:eastAsia="zh-CN"/>
              </w:rPr>
              <w:t>滑动</w:t>
            </w:r>
            <w:r>
              <w:rPr>
                <w:rFonts w:hint="default" w:ascii="Times New Roman" w:hAnsi="Times New Roman" w:cs="Times New Roman"/>
                <w:color w:val="auto"/>
                <w:sz w:val="24"/>
                <w:highlight w:val="none"/>
              </w:rPr>
              <w:t>平均</w:t>
            </w:r>
            <w:r>
              <w:rPr>
                <w:rFonts w:hint="default" w:ascii="Times New Roman" w:hAnsi="Times New Roman" w:cs="Times New Roman"/>
                <w:color w:val="auto"/>
                <w:sz w:val="24"/>
                <w:highlight w:val="none"/>
                <w:lang w:val="en-US" w:eastAsia="zh-CN"/>
              </w:rPr>
              <w:t>值第90百分位</w:t>
            </w:r>
            <w:r>
              <w:rPr>
                <w:rFonts w:hint="default" w:ascii="Times New Roman" w:hAnsi="Times New Roman" w:cs="Times New Roman"/>
                <w:color w:val="auto"/>
                <w:sz w:val="24"/>
                <w:highlight w:val="none"/>
              </w:rPr>
              <w:t>浓度为</w:t>
            </w:r>
            <w:r>
              <w:rPr>
                <w:rFonts w:hint="default" w:ascii="Times New Roman" w:hAnsi="Times New Roman" w:cs="Times New Roman"/>
                <w:color w:val="auto"/>
                <w:sz w:val="24"/>
                <w:highlight w:val="none"/>
                <w:lang w:val="en-US" w:eastAsia="zh-CN"/>
              </w:rPr>
              <w:t>130</w:t>
            </w:r>
            <w:r>
              <w:rPr>
                <w:rFonts w:hint="default" w:ascii="Times New Roman" w:hAnsi="Times New Roman" w:cs="Times New Roman"/>
                <w:color w:val="auto"/>
                <w:sz w:val="24"/>
                <w:highlight w:val="none"/>
              </w:rPr>
              <w:t>μg/m</w:t>
            </w:r>
            <w:r>
              <w:rPr>
                <w:rFonts w:hint="default" w:ascii="Times New Roman" w:hAnsi="Times New Roman" w:cs="Times New Roman"/>
                <w:color w:val="auto"/>
                <w:sz w:val="24"/>
                <w:highlight w:val="none"/>
                <w:vertAlign w:val="superscript"/>
              </w:rPr>
              <w:t>3</w:t>
            </w:r>
            <w:r>
              <w:rPr>
                <w:rFonts w:hint="default" w:ascii="Times New Roman" w:hAnsi="Times New Roman" w:cs="Times New Roman"/>
                <w:color w:val="auto"/>
                <w:sz w:val="24"/>
                <w:highlight w:val="none"/>
              </w:rPr>
              <w:t>，其中SO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、NO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、PM</w:t>
            </w:r>
            <w:r>
              <w:rPr>
                <w:rFonts w:hint="default" w:ascii="Times New Roman" w:hAnsi="Times New Roman" w:cs="Times New Roman"/>
                <w:color w:val="auto"/>
                <w:sz w:val="24"/>
                <w:highlight w:val="none"/>
                <w:vertAlign w:val="subscript"/>
              </w:rPr>
              <w:t>10</w:t>
            </w:r>
            <w:r>
              <w:rPr>
                <w:rFonts w:hint="default" w:ascii="Times New Roman" w:hAnsi="Times New Roman" w:cs="Times New Roman"/>
                <w:color w:val="auto"/>
                <w:sz w:val="24"/>
                <w:highlight w:val="none"/>
              </w:rPr>
              <w:t>、PM</w:t>
            </w:r>
            <w:r>
              <w:rPr>
                <w:rFonts w:hint="default" w:ascii="Times New Roman" w:hAnsi="Times New Roman" w:cs="Times New Roman"/>
                <w:color w:val="auto"/>
                <w:sz w:val="24"/>
                <w:highlight w:val="none"/>
                <w:vertAlign w:val="subscript"/>
              </w:rPr>
              <w:t>2.5</w:t>
            </w:r>
            <w:r>
              <w:rPr>
                <w:rFonts w:hint="default" w:ascii="Times New Roman" w:hAnsi="Times New Roman" w:cs="Times New Roman"/>
                <w:color w:val="auto"/>
                <w:sz w:val="24"/>
                <w:highlight w:val="none"/>
              </w:rPr>
              <w:t>年均值浓度低于《环境空气质量标准》（GB3095-2012）及其修改单中规定的标准限值，CO</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 xml:space="preserve"> 4小时均值浓度限值和O</w:t>
            </w:r>
            <w:r>
              <w:rPr>
                <w:rFonts w:hint="default" w:ascii="Times New Roman" w:hAnsi="Times New Roman" w:cs="Times New Roman"/>
                <w:color w:val="auto"/>
                <w:sz w:val="24"/>
                <w:highlight w:val="none"/>
                <w:vertAlign w:val="subscript"/>
              </w:rPr>
              <w:t>3</w:t>
            </w:r>
            <w:r>
              <w:rPr>
                <w:rFonts w:hint="default" w:ascii="Times New Roman" w:hAnsi="Times New Roman" w:cs="Times New Roman"/>
                <w:color w:val="auto"/>
                <w:sz w:val="24"/>
                <w:highlight w:val="none"/>
              </w:rPr>
              <w:t>日最大8小时平均浓度低于《环境空气质量标准》（GB3095-2012）及其修改单中规定的标准限值</w:t>
            </w:r>
            <w:r>
              <w:rPr>
                <w:rFonts w:hint="eastAsia" w:ascii="Times New Roman" w:hAnsi="Times New Roman"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highlight w:val="none"/>
                <w:lang w:val="en-US" w:eastAsia="zh-CN"/>
              </w:rPr>
            </w:pPr>
            <w:r>
              <w:rPr>
                <w:rFonts w:hint="eastAsia" w:ascii="宋体" w:hAnsi="宋体" w:eastAsia="宋体" w:cs="宋体"/>
                <w:b/>
                <w:bCs/>
                <w:highlight w:val="none"/>
                <w:lang w:val="en-US" w:eastAsia="zh-CN"/>
              </w:rPr>
              <w:t>2、声环境质量现状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FF0000"/>
                <w:highlight w:val="none"/>
                <w:lang w:val="en-US"/>
              </w:rPr>
            </w:pPr>
            <w:r>
              <w:rPr>
                <w:rFonts w:hint="default" w:ascii="Times New Roman" w:hAnsi="Times New Roman" w:cs="Times New Roman"/>
                <w:highlight w:val="none"/>
              </w:rPr>
              <w:t>环境背景噪声按照《声环境质量标准》（GB3096-2008）中规定的方法进行测试。噪声测量值为A声级，采用等效连续A声级LAeq作为评价量。</w:t>
            </w:r>
            <w:r>
              <w:rPr>
                <w:rFonts w:hint="default" w:ascii="Times New Roman" w:hAnsi="Times New Roman" w:cs="Times New Roman"/>
                <w:highlight w:val="none"/>
                <w:lang w:eastAsia="zh-CN"/>
              </w:rPr>
              <w:t>检测时间为</w:t>
            </w:r>
            <w:r>
              <w:rPr>
                <w:rFonts w:hint="default" w:ascii="Times New Roman" w:hAnsi="Times New Roman" w:cs="Times New Roman"/>
                <w:highlight w:val="none"/>
                <w:lang w:val="en-US" w:eastAsia="zh-CN"/>
              </w:rPr>
              <w:t>202</w:t>
            </w:r>
            <w:r>
              <w:rPr>
                <w:rFonts w:hint="eastAsia" w:ascii="Times New Roman" w:hAnsi="Times New Roman" w:cs="Times New Roman"/>
                <w:highlight w:val="none"/>
                <w:lang w:val="en-US" w:eastAsia="zh-CN"/>
              </w:rPr>
              <w:t>2</w:t>
            </w:r>
            <w:r>
              <w:rPr>
                <w:rFonts w:hint="default" w:ascii="Times New Roman" w:hAnsi="Times New Roman" w:cs="Times New Roman"/>
                <w:highlight w:val="none"/>
                <w:lang w:val="en-US" w:eastAsia="zh-CN"/>
              </w:rPr>
              <w:t>年</w:t>
            </w:r>
            <w:r>
              <w:rPr>
                <w:rFonts w:hint="eastAsia" w:ascii="Times New Roman" w:hAnsi="Times New Roman" w:cs="Times New Roman"/>
                <w:highlight w:val="none"/>
                <w:lang w:val="en-US" w:eastAsia="zh-CN"/>
              </w:rPr>
              <w:t>3</w:t>
            </w:r>
            <w:r>
              <w:rPr>
                <w:rFonts w:hint="default" w:ascii="Times New Roman" w:hAnsi="Times New Roman" w:cs="Times New Roman"/>
                <w:highlight w:val="none"/>
                <w:lang w:val="en-US" w:eastAsia="zh-CN"/>
              </w:rPr>
              <w:t>月</w:t>
            </w:r>
            <w:r>
              <w:rPr>
                <w:rFonts w:hint="eastAsia" w:ascii="Times New Roman" w:hAnsi="Times New Roman" w:cs="Times New Roman"/>
                <w:highlight w:val="none"/>
                <w:lang w:val="en-US" w:eastAsia="zh-CN"/>
              </w:rPr>
              <w:t>31</w:t>
            </w:r>
            <w:r>
              <w:rPr>
                <w:rFonts w:hint="default" w:ascii="Times New Roman" w:hAnsi="Times New Roman" w:cs="Times New Roman"/>
                <w:highlight w:val="none"/>
                <w:lang w:val="en-US" w:eastAsia="zh-CN"/>
              </w:rPr>
              <w:t>日~</w:t>
            </w:r>
            <w:r>
              <w:rPr>
                <w:rFonts w:hint="eastAsia" w:ascii="Times New Roman" w:hAnsi="Times New Roman" w:cs="Times New Roman"/>
                <w:highlight w:val="none"/>
                <w:lang w:val="en-US" w:eastAsia="zh-CN"/>
              </w:rPr>
              <w:t>4</w:t>
            </w:r>
            <w:r>
              <w:rPr>
                <w:rFonts w:hint="default" w:ascii="Times New Roman" w:hAnsi="Times New Roman" w:cs="Times New Roman"/>
                <w:highlight w:val="none"/>
                <w:lang w:val="en-US" w:eastAsia="zh-CN"/>
              </w:rPr>
              <w:t>月</w:t>
            </w:r>
            <w:r>
              <w:rPr>
                <w:rFonts w:hint="eastAsia" w:ascii="Times New Roman" w:hAnsi="Times New Roman" w:cs="Times New Roman"/>
                <w:highlight w:val="none"/>
                <w:lang w:val="en-US" w:eastAsia="zh-CN"/>
              </w:rPr>
              <w:t>1</w:t>
            </w:r>
            <w:r>
              <w:rPr>
                <w:rFonts w:hint="default" w:ascii="Times New Roman" w:hAnsi="Times New Roman" w:cs="Times New Roman"/>
                <w:highlight w:val="none"/>
                <w:lang w:val="en-US" w:eastAsia="zh-CN"/>
              </w:rPr>
              <w:t>日，检测单位为：内蒙古</w:t>
            </w:r>
            <w:r>
              <w:rPr>
                <w:rFonts w:hint="eastAsia" w:ascii="Times New Roman" w:hAnsi="Times New Roman" w:cs="Times New Roman"/>
                <w:highlight w:val="none"/>
                <w:lang w:val="en-US" w:eastAsia="zh-CN"/>
              </w:rPr>
              <w:t>鲲福</w:t>
            </w:r>
            <w:r>
              <w:rPr>
                <w:rFonts w:hint="default" w:ascii="Times New Roman" w:hAnsi="Times New Roman" w:cs="Times New Roman"/>
                <w:highlight w:val="none"/>
                <w:lang w:val="en-US" w:eastAsia="zh-CN"/>
              </w:rPr>
              <w:t>检测技术有限公司。</w:t>
            </w:r>
            <w:r>
              <w:rPr>
                <w:rFonts w:hint="default" w:ascii="Times New Roman" w:hAnsi="Times New Roman" w:cs="Times New Roman"/>
                <w:highlight w:val="none"/>
              </w:rPr>
              <w:t>监测结果</w:t>
            </w:r>
            <w:r>
              <w:rPr>
                <w:rFonts w:hint="default" w:ascii="Times New Roman" w:hAnsi="Times New Roman" w:cs="Times New Roman"/>
                <w:color w:val="auto"/>
                <w:highlight w:val="none"/>
              </w:rPr>
              <w:t>见</w:t>
            </w:r>
            <w:r>
              <w:rPr>
                <w:rFonts w:hint="eastAsia" w:ascii="Times New Roman" w:hAnsi="Times New Roman" w:cs="Times New Roman"/>
                <w:color w:val="auto"/>
                <w:highlight w:val="none"/>
                <w:lang w:val="en-US" w:eastAsia="zh-CN"/>
              </w:rPr>
              <w:t>表7。</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auto"/>
                <w:sz w:val="24"/>
                <w:highlight w:val="none"/>
                <w:lang w:val="en-US" w:eastAsia="zh-CN"/>
              </w:rPr>
            </w:pPr>
            <w:r>
              <w:rPr>
                <w:rFonts w:hint="default" w:ascii="Times New Roman" w:hAnsi="Times New Roman" w:cs="Times New Roman"/>
                <w:b/>
                <w:color w:val="auto"/>
                <w:sz w:val="24"/>
                <w:highlight w:val="none"/>
                <w:lang w:val="en-US" w:eastAsia="zh-CN"/>
              </w:rPr>
              <w:t>表</w:t>
            </w:r>
            <w:r>
              <w:rPr>
                <w:rFonts w:hint="eastAsia" w:ascii="Times New Roman" w:hAnsi="Times New Roman" w:cs="Times New Roman"/>
                <w:b/>
                <w:color w:val="auto"/>
                <w:sz w:val="24"/>
                <w:highlight w:val="none"/>
                <w:lang w:val="en-US" w:eastAsia="zh-CN"/>
              </w:rPr>
              <w:t xml:space="preserve">7  </w:t>
            </w:r>
            <w:r>
              <w:rPr>
                <w:rFonts w:hint="default" w:ascii="Times New Roman" w:hAnsi="Times New Roman" w:cs="Times New Roman"/>
                <w:b/>
                <w:color w:val="auto"/>
                <w:sz w:val="24"/>
                <w:highlight w:val="none"/>
                <w:lang w:val="en-US" w:eastAsia="zh-CN"/>
              </w:rPr>
              <w:t xml:space="preserve"> 环境噪声监测结果   单位：dB（A）</w:t>
            </w:r>
          </w:p>
          <w:tbl>
            <w:tblPr>
              <w:tblStyle w:val="21"/>
              <w:tblW w:w="82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0"/>
              <w:gridCol w:w="2347"/>
              <w:gridCol w:w="996"/>
              <w:gridCol w:w="996"/>
              <w:gridCol w:w="99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40" w:type="dxa"/>
                  <w:vMerge w:val="restar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序号</w:t>
                  </w:r>
                </w:p>
              </w:tc>
              <w:tc>
                <w:tcPr>
                  <w:tcW w:w="2347" w:type="dxa"/>
                  <w:vMerge w:val="restar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监测点</w:t>
                  </w:r>
                </w:p>
              </w:tc>
              <w:tc>
                <w:tcPr>
                  <w:tcW w:w="1992" w:type="dxa"/>
                  <w:gridSpan w:val="2"/>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2022.3.31</w:t>
                  </w:r>
                </w:p>
              </w:tc>
              <w:tc>
                <w:tcPr>
                  <w:tcW w:w="1994" w:type="dxa"/>
                  <w:gridSpan w:val="2"/>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2022.4.1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40" w:type="dxa"/>
                  <w:vMerge w:val="continue"/>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p>
              </w:tc>
              <w:tc>
                <w:tcPr>
                  <w:tcW w:w="2347" w:type="dxa"/>
                  <w:vMerge w:val="continue"/>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昼   间</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夜   间</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昼   间</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夜   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19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1</w:t>
                  </w:r>
                  <w:r>
                    <w:rPr>
                      <w:rFonts w:hint="default" w:ascii="Times New Roman" w:hAnsi="Times New Roman" w:cs="Times New Roman"/>
                      <w:sz w:val="21"/>
                      <w:szCs w:val="21"/>
                      <w:highlight w:val="none"/>
                      <w:lang w:val="en-US" w:eastAsia="zh-CN"/>
                    </w:rPr>
                    <w:t>#</w:t>
                  </w:r>
                </w:p>
              </w:tc>
              <w:tc>
                <w:tcPr>
                  <w:tcW w:w="234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eastAsia="zh-CN"/>
                    </w:rPr>
                  </w:pPr>
                  <w:r>
                    <w:rPr>
                      <w:rFonts w:hint="default" w:ascii="Times New Roman" w:hAnsi="Times New Roman" w:cs="Times New Roman"/>
                      <w:sz w:val="21"/>
                      <w:szCs w:val="21"/>
                      <w:highlight w:val="none"/>
                    </w:rPr>
                    <w:t>厂界东</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52.9</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45.5</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53.6</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19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2#</w:t>
                  </w:r>
                </w:p>
              </w:tc>
              <w:tc>
                <w:tcPr>
                  <w:tcW w:w="234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eastAsia="zh-CN"/>
                    </w:rPr>
                  </w:pPr>
                  <w:r>
                    <w:rPr>
                      <w:rFonts w:hint="default" w:ascii="Times New Roman" w:hAnsi="Times New Roman" w:cs="Times New Roman"/>
                      <w:sz w:val="21"/>
                      <w:szCs w:val="21"/>
                      <w:highlight w:val="none"/>
                    </w:rPr>
                    <w:t>厂界</w:t>
                  </w:r>
                  <w:r>
                    <w:rPr>
                      <w:rFonts w:hint="default" w:ascii="Times New Roman" w:hAnsi="Times New Roman" w:cs="Times New Roman"/>
                      <w:sz w:val="21"/>
                      <w:szCs w:val="21"/>
                      <w:highlight w:val="none"/>
                      <w:lang w:eastAsia="zh-CN"/>
                    </w:rPr>
                    <w:t>南</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53.1</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44.6</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57.0</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9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3#</w:t>
                  </w:r>
                </w:p>
              </w:tc>
              <w:tc>
                <w:tcPr>
                  <w:tcW w:w="234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eastAsia="zh-CN"/>
                    </w:rPr>
                  </w:pPr>
                  <w:r>
                    <w:rPr>
                      <w:rFonts w:hint="default" w:ascii="Times New Roman" w:hAnsi="Times New Roman" w:cs="Times New Roman"/>
                      <w:sz w:val="21"/>
                      <w:szCs w:val="21"/>
                      <w:highlight w:val="none"/>
                    </w:rPr>
                    <w:t>厂界</w:t>
                  </w:r>
                  <w:r>
                    <w:rPr>
                      <w:rFonts w:hint="default" w:ascii="Times New Roman" w:hAnsi="Times New Roman" w:cs="Times New Roman"/>
                      <w:sz w:val="21"/>
                      <w:szCs w:val="21"/>
                      <w:highlight w:val="none"/>
                      <w:lang w:eastAsia="zh-CN"/>
                    </w:rPr>
                    <w:t>西</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52.9</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45.6</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55.4</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jc w:val="center"/>
              </w:trPr>
              <w:tc>
                <w:tcPr>
                  <w:tcW w:w="19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4#</w:t>
                  </w:r>
                </w:p>
              </w:tc>
              <w:tc>
                <w:tcPr>
                  <w:tcW w:w="234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eastAsia="zh-CN"/>
                    </w:rPr>
                  </w:pPr>
                  <w:r>
                    <w:rPr>
                      <w:rFonts w:hint="default" w:ascii="Times New Roman" w:hAnsi="Times New Roman" w:cs="Times New Roman"/>
                      <w:sz w:val="21"/>
                      <w:szCs w:val="21"/>
                      <w:highlight w:val="none"/>
                    </w:rPr>
                    <w:t>厂界</w:t>
                  </w:r>
                  <w:r>
                    <w:rPr>
                      <w:rFonts w:hint="default" w:ascii="Times New Roman" w:hAnsi="Times New Roman" w:cs="Times New Roman"/>
                      <w:sz w:val="21"/>
                      <w:szCs w:val="21"/>
                      <w:highlight w:val="none"/>
                      <w:lang w:eastAsia="zh-CN"/>
                    </w:rPr>
                    <w:t>北</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54.7</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42.7</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53.7</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42.7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1" w:hRule="atLeast"/>
                <w:jc w:val="center"/>
              </w:trPr>
              <w:tc>
                <w:tcPr>
                  <w:tcW w:w="4287" w:type="dxa"/>
                  <w:gridSpan w:val="2"/>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FF0000"/>
                      <w:sz w:val="21"/>
                      <w:szCs w:val="21"/>
                      <w:highlight w:val="none"/>
                    </w:rPr>
                  </w:pPr>
                  <w:r>
                    <w:rPr>
                      <w:rFonts w:hint="default" w:ascii="Times New Roman" w:hAnsi="Times New Roman" w:cs="Times New Roman"/>
                      <w:color w:val="FF0000"/>
                      <w:sz w:val="21"/>
                      <w:szCs w:val="21"/>
                      <w:highlight w:val="none"/>
                    </w:rPr>
                    <w:t>执行标准（GB3096-2008）</w:t>
                  </w:r>
                  <w:r>
                    <w:rPr>
                      <w:rFonts w:hint="eastAsia" w:ascii="Times New Roman" w:hAnsi="Times New Roman" w:cs="Times New Roman"/>
                      <w:color w:val="FF0000"/>
                      <w:sz w:val="21"/>
                      <w:szCs w:val="21"/>
                      <w:highlight w:val="none"/>
                      <w:lang w:val="en-US" w:eastAsia="zh-CN"/>
                    </w:rPr>
                    <w:t>2类</w:t>
                  </w:r>
                  <w:r>
                    <w:rPr>
                      <w:rFonts w:hint="default" w:ascii="Times New Roman" w:hAnsi="Times New Roman" w:cs="Times New Roman"/>
                      <w:color w:val="FF0000"/>
                      <w:sz w:val="21"/>
                      <w:szCs w:val="21"/>
                      <w:highlight w:val="none"/>
                    </w:rPr>
                    <w:t>区标准限值</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60</w:t>
                  </w:r>
                </w:p>
              </w:tc>
              <w:tc>
                <w:tcPr>
                  <w:tcW w:w="99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50</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60</w:t>
                  </w:r>
                </w:p>
              </w:tc>
              <w:tc>
                <w:tcPr>
                  <w:tcW w:w="99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ind w:firstLine="0" w:firstLineChars="0"/>
                    <w:jc w:val="center"/>
                    <w:textAlignment w:val="auto"/>
                    <w:rPr>
                      <w:rFonts w:hint="default" w:ascii="Times New Roman" w:hAnsi="Times New Roman" w:eastAsia="宋体"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50</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yellow"/>
                <w:lang w:val="en-US" w:eastAsia="zh-CN"/>
              </w:rPr>
            </w:pPr>
            <w:r>
              <w:rPr>
                <w:rFonts w:hint="default" w:ascii="Times New Roman" w:hAnsi="Times New Roman" w:cs="Times New Roman"/>
                <w:highlight w:val="none"/>
              </w:rPr>
              <w:t>由检测结果可知，该项目所在区域声环境能够满足《声环境质量标准》（GB3096-2008）</w:t>
            </w:r>
            <w:r>
              <w:rPr>
                <w:rFonts w:hint="default" w:ascii="Times New Roman" w:hAnsi="Times New Roman" w:cs="Times New Roman"/>
                <w:color w:val="FF0000"/>
                <w:highlight w:val="none"/>
              </w:rPr>
              <w:t>中</w:t>
            </w:r>
            <w:r>
              <w:rPr>
                <w:rFonts w:hint="eastAsia" w:ascii="Times New Roman" w:hAnsi="Times New Roman" w:cs="Times New Roman"/>
                <w:color w:val="FF0000"/>
                <w:highlight w:val="none"/>
                <w:lang w:val="en-US" w:eastAsia="zh-CN"/>
              </w:rPr>
              <w:t>2类</w:t>
            </w:r>
            <w:r>
              <w:rPr>
                <w:rFonts w:hint="default" w:ascii="Times New Roman" w:hAnsi="Times New Roman" w:cs="Times New Roman"/>
                <w:color w:val="FF0000"/>
                <w:highlight w:val="none"/>
              </w:rPr>
              <w:t>标准限值</w:t>
            </w:r>
            <w:r>
              <w:rPr>
                <w:rFonts w:hint="default" w:ascii="Times New Roman" w:hAnsi="Times New Roman" w:cs="Times New Roman"/>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8" w:hRule="atLeast"/>
          <w:jc w:val="center"/>
        </w:trPr>
        <w:tc>
          <w:tcPr>
            <w:tcW w:w="728" w:type="dxa"/>
            <w:tcBorders>
              <w:top w:val="single" w:color="auto" w:sz="4"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环境</w:t>
            </w:r>
          </w:p>
          <w:p>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保护</w:t>
            </w:r>
          </w:p>
          <w:p>
            <w:pPr>
              <w:adjustRightInd w:val="0"/>
              <w:snapToGrid w:val="0"/>
              <w:spacing w:beforeLines="0" w:afterLines="0"/>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目标</w:t>
            </w:r>
          </w:p>
        </w:tc>
        <w:tc>
          <w:tcPr>
            <w:tcW w:w="8332" w:type="dxa"/>
            <w:tcBorders>
              <w:top w:val="single" w:color="auto" w:sz="4" w:space="0"/>
              <w:left w:val="single" w:color="auto" w:sz="4" w:space="0"/>
              <w:bottom w:val="single" w:color="auto" w:sz="4" w:space="0"/>
              <w:right w:val="single" w:color="auto" w:sz="8"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color w:val="auto"/>
                <w:highlight w:val="none"/>
              </w:rPr>
            </w:pPr>
            <w:r>
              <w:rPr>
                <w:rFonts w:hint="default"/>
                <w:color w:val="auto"/>
                <w:highlight w:val="none"/>
                <w:lang w:val="en-US" w:eastAsia="zh-CN"/>
              </w:rPr>
              <w:t>根据现场踏勘，评价区域内没有重点文物、自然保护区、珍稀动植物资源等重点保护目标。根据项目性质及周围环境特征，</w:t>
            </w:r>
            <w:r>
              <w:rPr>
                <w:rFonts w:hint="eastAsia"/>
                <w:color w:val="auto"/>
                <w:highlight w:val="none"/>
                <w:lang w:val="en-US" w:eastAsia="zh-CN"/>
              </w:rPr>
              <w:t>距离本项目最近的敏感目标是位于厂区西南侧1.25公里的锡林金街东区居民</w:t>
            </w:r>
            <w:r>
              <w:rPr>
                <w:rFonts w:hint="default"/>
                <w:color w:val="auto"/>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8" w:type="dxa"/>
            <w:tcBorders>
              <w:top w:val="single" w:color="auto" w:sz="4" w:space="0"/>
              <w:left w:val="single" w:color="auto" w:sz="8" w:space="0"/>
              <w:bottom w:val="single" w:color="auto" w:sz="4" w:space="0"/>
              <w:right w:val="single" w:color="auto" w:sz="4" w:space="0"/>
              <w:tl2br w:val="nil"/>
              <w:tr2bl w:val="nil"/>
            </w:tcBorders>
            <w:tcMar>
              <w:left w:w="28" w:type="dxa"/>
              <w:right w:w="28" w:type="dxa"/>
            </w:tcMar>
            <w:vAlign w:val="center"/>
          </w:tcPr>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污染</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物排</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放控</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制标</w:t>
            </w:r>
          </w:p>
          <w:p>
            <w:pPr>
              <w:adjustRightInd w:val="0"/>
              <w:snapToGrid w:val="0"/>
              <w:spacing w:beforeLines="0" w:afterLines="0"/>
              <w:jc w:val="center"/>
              <w:rPr>
                <w:rFonts w:hint="default" w:ascii="Times New Roman" w:hAnsi="Times New Roman" w:eastAsia="宋体" w:cs="Times New Roman"/>
                <w:kern w:val="0"/>
                <w:sz w:val="21"/>
                <w:szCs w:val="21"/>
                <w:highlight w:val="yellow"/>
              </w:rPr>
            </w:pPr>
            <w:r>
              <w:rPr>
                <w:rFonts w:hint="default" w:ascii="Times New Roman" w:hAnsi="Times New Roman" w:eastAsia="宋体" w:cs="Times New Roman"/>
                <w:kern w:val="0"/>
                <w:sz w:val="21"/>
                <w:szCs w:val="21"/>
                <w:highlight w:val="none"/>
              </w:rPr>
              <w:t>准</w:t>
            </w:r>
          </w:p>
        </w:tc>
        <w:tc>
          <w:tcPr>
            <w:tcW w:w="8332" w:type="dxa"/>
            <w:tcBorders>
              <w:top w:val="single" w:color="auto" w:sz="4" w:space="0"/>
              <w:left w:val="single" w:color="auto" w:sz="4" w:space="0"/>
              <w:bottom w:val="single" w:color="auto" w:sz="4" w:space="0"/>
              <w:right w:val="single" w:color="auto" w:sz="8" w:space="0"/>
              <w:tl2br w:val="nil"/>
              <w:tr2bl w:val="nil"/>
            </w:tcBorders>
            <w:vAlign w:val="top"/>
          </w:tcPr>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highlight w:val="none"/>
                <w:lang w:val="en-US" w:eastAsia="zh-CN"/>
              </w:rPr>
            </w:pPr>
            <w:r>
              <w:rPr>
                <w:rFonts w:hint="eastAsia" w:ascii="宋体" w:hAnsi="宋体" w:eastAsia="宋体" w:cs="宋体"/>
                <w:b/>
                <w:bCs/>
                <w:highlight w:val="none"/>
                <w:lang w:val="en-US" w:eastAsia="zh-CN"/>
              </w:rPr>
              <w:t>1、大气污染物排放标准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imes New Roman" w:hAnsi="Times New Roman" w:eastAsia="宋体" w:cs="Times New Roman"/>
                <w:highlight w:val="none"/>
                <w:lang w:eastAsia="zh-CN"/>
              </w:rPr>
            </w:pPr>
            <w:r>
              <w:rPr>
                <w:rFonts w:hint="default" w:ascii="Times New Roman" w:hAnsi="Times New Roman" w:cs="Times New Roman"/>
                <w:highlight w:val="none"/>
                <w:lang w:eastAsia="zh-CN"/>
              </w:rPr>
              <w:t>本项目区域执行</w:t>
            </w:r>
            <w:r>
              <w:rPr>
                <w:rFonts w:hint="eastAsia"/>
                <w:color w:val="auto"/>
                <w:sz w:val="24"/>
                <w:highlight w:val="none"/>
              </w:rPr>
              <w:t>《大气污染物</w:t>
            </w:r>
            <w:r>
              <w:rPr>
                <w:rFonts w:hint="eastAsia"/>
                <w:color w:val="auto"/>
                <w:sz w:val="24"/>
                <w:highlight w:val="none"/>
                <w:lang w:eastAsia="zh-CN"/>
              </w:rPr>
              <w:t>综合</w:t>
            </w:r>
            <w:r>
              <w:rPr>
                <w:rFonts w:hint="eastAsia"/>
                <w:color w:val="auto"/>
                <w:sz w:val="24"/>
                <w:highlight w:val="none"/>
              </w:rPr>
              <w:t>排放标准》（</w:t>
            </w:r>
            <w:r>
              <w:rPr>
                <w:rFonts w:hint="eastAsia" w:ascii="Times New Roman" w:hAnsi="Times New Roman" w:cs="Times New Roman"/>
                <w:color w:val="auto"/>
                <w:sz w:val="24"/>
                <w:highlight w:val="none"/>
              </w:rPr>
              <w:t>GB</w:t>
            </w:r>
            <w:r>
              <w:rPr>
                <w:rFonts w:hint="eastAsia" w:ascii="Times New Roman" w:hAnsi="Times New Roman" w:cs="Times New Roman"/>
                <w:color w:val="auto"/>
                <w:sz w:val="24"/>
                <w:highlight w:val="none"/>
                <w:lang w:val="en-US" w:eastAsia="zh-CN"/>
              </w:rPr>
              <w:t>16297</w:t>
            </w:r>
            <w:r>
              <w:rPr>
                <w:rFonts w:hint="eastAsia"/>
                <w:color w:val="auto"/>
                <w:sz w:val="24"/>
                <w:highlight w:val="none"/>
              </w:rPr>
              <w:t>-</w:t>
            </w:r>
            <w:r>
              <w:rPr>
                <w:rFonts w:hint="eastAsia" w:ascii="Times New Roman" w:hAnsi="Times New Roman" w:cs="Times New Roman"/>
                <w:color w:val="auto"/>
                <w:sz w:val="24"/>
                <w:highlight w:val="none"/>
                <w:lang w:val="en-US" w:eastAsia="zh-CN"/>
              </w:rPr>
              <w:t>1996</w:t>
            </w:r>
            <w:r>
              <w:rPr>
                <w:rFonts w:hint="eastAsia"/>
                <w:color w:val="auto"/>
                <w:sz w:val="24"/>
                <w:highlight w:val="none"/>
              </w:rPr>
              <w:t>）中表</w:t>
            </w:r>
            <w:r>
              <w:rPr>
                <w:rFonts w:hint="eastAsia" w:ascii="Times New Roman" w:hAnsi="Times New Roman" w:cs="Times New Roman"/>
                <w:color w:val="auto"/>
                <w:sz w:val="24"/>
                <w:highlight w:val="none"/>
                <w:lang w:val="en-US" w:eastAsia="zh-CN"/>
              </w:rPr>
              <w:t>2</w:t>
            </w:r>
            <w:r>
              <w:rPr>
                <w:rFonts w:hint="eastAsia"/>
                <w:color w:val="auto"/>
                <w:sz w:val="24"/>
                <w:highlight w:val="none"/>
              </w:rPr>
              <w:t>的标准</w:t>
            </w:r>
            <w:r>
              <w:rPr>
                <w:rFonts w:hint="eastAsia"/>
                <w:color w:val="auto"/>
                <w:sz w:val="24"/>
                <w:szCs w:val="24"/>
                <w:highlight w:val="none"/>
                <w:lang w:eastAsia="zh-CN"/>
              </w:rPr>
              <w:t>以及</w:t>
            </w:r>
            <w:r>
              <w:rPr>
                <w:rFonts w:hint="eastAsia"/>
                <w:color w:val="auto"/>
                <w:sz w:val="24"/>
                <w:szCs w:val="24"/>
                <w:highlight w:val="none"/>
                <w:vertAlign w:val="baseline"/>
                <w:lang w:val="en-US" w:eastAsia="zh-CN"/>
              </w:rPr>
              <w:t>《挥发性有机物无组织排放控制标准》（</w:t>
            </w:r>
            <w:r>
              <w:rPr>
                <w:rFonts w:hint="eastAsia" w:ascii="Times New Roman" w:hAnsi="Times New Roman"/>
                <w:color w:val="auto"/>
                <w:sz w:val="24"/>
                <w:szCs w:val="24"/>
                <w:highlight w:val="none"/>
                <w:vertAlign w:val="baseline"/>
                <w:lang w:val="en-US" w:eastAsia="zh-CN"/>
              </w:rPr>
              <w:t>GB37822</w:t>
            </w:r>
            <w:r>
              <w:rPr>
                <w:rFonts w:hint="eastAsia"/>
                <w:color w:val="auto"/>
                <w:sz w:val="24"/>
                <w:szCs w:val="24"/>
                <w:highlight w:val="none"/>
                <w:vertAlign w:val="baseline"/>
                <w:lang w:val="en-US" w:eastAsia="zh-CN"/>
              </w:rPr>
              <w:t>-</w:t>
            </w:r>
            <w:r>
              <w:rPr>
                <w:rFonts w:hint="eastAsia" w:ascii="Times New Roman" w:hAnsi="Times New Roman"/>
                <w:color w:val="auto"/>
                <w:sz w:val="24"/>
                <w:szCs w:val="24"/>
                <w:highlight w:val="none"/>
                <w:vertAlign w:val="baseline"/>
                <w:lang w:val="en-US" w:eastAsia="zh-CN"/>
              </w:rPr>
              <w:t>2019</w:t>
            </w:r>
            <w:r>
              <w:rPr>
                <w:rFonts w:hint="eastAsia"/>
                <w:color w:val="auto"/>
                <w:sz w:val="24"/>
                <w:szCs w:val="24"/>
                <w:highlight w:val="none"/>
                <w:vertAlign w:val="baseline"/>
                <w:lang w:val="en-US" w:eastAsia="zh-CN"/>
              </w:rPr>
              <w:t>）中表</w:t>
            </w:r>
            <w:r>
              <w:rPr>
                <w:rFonts w:hint="eastAsia" w:ascii="Times New Roman" w:hAnsi="Times New Roman"/>
                <w:color w:val="auto"/>
                <w:sz w:val="24"/>
                <w:szCs w:val="24"/>
                <w:highlight w:val="none"/>
                <w:vertAlign w:val="baseline"/>
                <w:lang w:val="en-US" w:eastAsia="zh-CN"/>
              </w:rPr>
              <w:t>A</w:t>
            </w:r>
            <w:r>
              <w:rPr>
                <w:rFonts w:hint="eastAsia"/>
                <w:color w:val="auto"/>
                <w:sz w:val="24"/>
                <w:szCs w:val="24"/>
                <w:highlight w:val="none"/>
                <w:vertAlign w:val="baseline"/>
                <w:lang w:val="en-US" w:eastAsia="zh-CN"/>
              </w:rPr>
              <w:t>.</w:t>
            </w:r>
            <w:r>
              <w:rPr>
                <w:rFonts w:hint="eastAsia" w:ascii="Times New Roman" w:hAnsi="Times New Roman"/>
                <w:color w:val="auto"/>
                <w:sz w:val="24"/>
                <w:szCs w:val="24"/>
                <w:highlight w:val="none"/>
                <w:vertAlign w:val="baseline"/>
                <w:lang w:val="en-US" w:eastAsia="zh-CN"/>
              </w:rPr>
              <w:t>1</w:t>
            </w:r>
            <w:r>
              <w:rPr>
                <w:rFonts w:hint="eastAsia"/>
                <w:color w:val="auto"/>
                <w:sz w:val="24"/>
                <w:szCs w:val="24"/>
                <w:highlight w:val="none"/>
                <w:vertAlign w:val="baseline"/>
                <w:lang w:val="en-US" w:eastAsia="zh-CN"/>
              </w:rPr>
              <w:t>的标准。</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auto"/>
                <w:sz w:val="24"/>
                <w:highlight w:val="none"/>
                <w:lang w:val="en-US" w:eastAsia="zh-CN"/>
              </w:rPr>
            </w:pPr>
            <w:r>
              <w:rPr>
                <w:rFonts w:hint="default" w:ascii="Times New Roman" w:hAnsi="Times New Roman" w:cs="Times New Roman"/>
                <w:b/>
                <w:color w:val="auto"/>
                <w:sz w:val="24"/>
                <w:highlight w:val="none"/>
                <w:lang w:val="en-US" w:eastAsia="zh-CN"/>
              </w:rPr>
              <w:t>表</w:t>
            </w:r>
            <w:r>
              <w:rPr>
                <w:rFonts w:hint="eastAsia" w:ascii="Times New Roman" w:hAnsi="Times New Roman" w:cs="Times New Roman"/>
                <w:b/>
                <w:color w:val="auto"/>
                <w:sz w:val="24"/>
                <w:highlight w:val="none"/>
                <w:lang w:val="en-US" w:eastAsia="zh-CN"/>
              </w:rPr>
              <w:t>8</w:t>
            </w:r>
            <w:r>
              <w:rPr>
                <w:rFonts w:hint="default" w:ascii="Times New Roman" w:hAnsi="Times New Roman" w:cs="Times New Roman"/>
                <w:b/>
                <w:color w:val="auto"/>
                <w:sz w:val="24"/>
                <w:highlight w:val="none"/>
                <w:lang w:val="en-US" w:eastAsia="zh-CN"/>
              </w:rPr>
              <w:t xml:space="preserve">   大气污染物综合排放标准   单位：mg/m</w:t>
            </w:r>
            <w:r>
              <w:rPr>
                <w:rFonts w:hint="default" w:ascii="Times New Roman" w:hAnsi="Times New Roman" w:cs="Times New Roman"/>
                <w:b/>
                <w:color w:val="auto"/>
                <w:sz w:val="24"/>
                <w:highlight w:val="none"/>
                <w:vertAlign w:val="superscript"/>
                <w:lang w:val="en-US" w:eastAsia="zh-CN"/>
              </w:rPr>
              <w:t>3</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7"/>
              <w:gridCol w:w="3351"/>
              <w:gridCol w:w="25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8" w:type="pct"/>
                  <w:vMerge w:val="restart"/>
                  <w:noWrap w:val="0"/>
                  <w:vAlign w:val="center"/>
                </w:tcPr>
                <w:p>
                  <w:pPr>
                    <w:keepNext w:val="0"/>
                    <w:keepLines w:val="0"/>
                    <w:pageBreakBefore w:val="0"/>
                    <w:widowControl w:val="0"/>
                    <w:kinsoku/>
                    <w:wordWrap/>
                    <w:overflowPunct/>
                    <w:topLinePunct w:val="0"/>
                    <w:bidi w:val="0"/>
                    <w:snapToGrid/>
                    <w:spacing w:line="240" w:lineRule="auto"/>
                    <w:jc w:val="center"/>
                    <w:rPr>
                      <w:rFonts w:hint="eastAsia" w:eastAsia="宋体"/>
                      <w:color w:val="auto"/>
                      <w:sz w:val="21"/>
                      <w:szCs w:val="21"/>
                      <w:highlight w:val="none"/>
                      <w:lang w:eastAsia="zh-CN"/>
                    </w:rPr>
                  </w:pPr>
                  <w:r>
                    <w:rPr>
                      <w:rFonts w:hAnsi="宋体"/>
                      <w:color w:val="auto"/>
                      <w:sz w:val="21"/>
                      <w:szCs w:val="21"/>
                      <w:highlight w:val="none"/>
                    </w:rPr>
                    <w:t>污染物</w:t>
                  </w:r>
                  <w:r>
                    <w:rPr>
                      <w:rFonts w:hint="eastAsia" w:hAnsi="宋体"/>
                      <w:color w:val="auto"/>
                      <w:sz w:val="21"/>
                      <w:szCs w:val="21"/>
                      <w:highlight w:val="none"/>
                      <w:lang w:eastAsia="zh-CN"/>
                    </w:rPr>
                    <w:t>项目</w:t>
                  </w:r>
                </w:p>
              </w:tc>
              <w:tc>
                <w:tcPr>
                  <w:tcW w:w="3631" w:type="pct"/>
                  <w:gridSpan w:val="2"/>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auto"/>
                    <w:jc w:val="center"/>
                    <w:rPr>
                      <w:rFonts w:hint="default" w:hAnsi="宋体" w:eastAsia="宋体"/>
                      <w:color w:val="auto"/>
                      <w:sz w:val="21"/>
                      <w:szCs w:val="21"/>
                      <w:highlight w:val="none"/>
                      <w:lang w:val="en-US" w:eastAsia="zh-CN"/>
                    </w:rPr>
                  </w:pPr>
                  <w:r>
                    <w:rPr>
                      <w:rFonts w:hint="eastAsia" w:hAnsi="宋体" w:eastAsia="宋体"/>
                      <w:color w:val="auto"/>
                      <w:sz w:val="21"/>
                      <w:szCs w:val="21"/>
                      <w:highlight w:val="none"/>
                      <w:lang w:eastAsia="zh-CN"/>
                    </w:rPr>
                    <w:t>无组织排放监控浓度限值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8" w:type="pct"/>
                  <w:vMerge w:val="continue"/>
                  <w:noWrap w:val="0"/>
                  <w:vAlign w:val="center"/>
                </w:tcPr>
                <w:p>
                  <w:pPr>
                    <w:keepNext w:val="0"/>
                    <w:keepLines w:val="0"/>
                    <w:pageBreakBefore w:val="0"/>
                    <w:widowControl w:val="0"/>
                    <w:kinsoku/>
                    <w:wordWrap/>
                    <w:overflowPunct/>
                    <w:topLinePunct w:val="0"/>
                    <w:bidi w:val="0"/>
                    <w:snapToGrid/>
                    <w:spacing w:line="240" w:lineRule="auto"/>
                    <w:jc w:val="center"/>
                    <w:rPr>
                      <w:rFonts w:hAnsi="宋体"/>
                      <w:color w:val="auto"/>
                      <w:sz w:val="21"/>
                      <w:szCs w:val="21"/>
                      <w:highlight w:val="none"/>
                    </w:rPr>
                  </w:pPr>
                </w:p>
              </w:tc>
              <w:tc>
                <w:tcPr>
                  <w:tcW w:w="2067" w:type="pct"/>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auto"/>
                    <w:jc w:val="center"/>
                    <w:rPr>
                      <w:rFonts w:hint="eastAsia" w:eastAsia="宋体"/>
                      <w:color w:val="auto"/>
                      <w:kern w:val="2"/>
                      <w:sz w:val="21"/>
                      <w:szCs w:val="21"/>
                      <w:highlight w:val="none"/>
                      <w:lang w:val="en-US" w:eastAsia="zh-CN" w:bidi="ar-SA"/>
                    </w:rPr>
                  </w:pPr>
                  <w:r>
                    <w:rPr>
                      <w:rFonts w:hint="eastAsia" w:hAnsi="宋体"/>
                      <w:color w:val="auto"/>
                      <w:sz w:val="21"/>
                      <w:szCs w:val="21"/>
                      <w:highlight w:val="none"/>
                      <w:lang w:eastAsia="zh-CN"/>
                    </w:rPr>
                    <w:t>监控点</w:t>
                  </w:r>
                </w:p>
              </w:tc>
              <w:tc>
                <w:tcPr>
                  <w:tcW w:w="1564" w:type="pct"/>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auto"/>
                    <w:jc w:val="center"/>
                    <w:rPr>
                      <w:rFonts w:hint="default" w:hAnsi="宋体" w:eastAsia="宋体"/>
                      <w:color w:val="auto"/>
                      <w:kern w:val="2"/>
                      <w:sz w:val="21"/>
                      <w:szCs w:val="21"/>
                      <w:highlight w:val="none"/>
                      <w:lang w:val="en-US" w:eastAsia="zh-CN" w:bidi="ar-SA"/>
                    </w:rPr>
                  </w:pPr>
                  <w:r>
                    <w:rPr>
                      <w:rFonts w:hint="eastAsia" w:hAnsi="宋体"/>
                      <w:color w:val="auto"/>
                      <w:sz w:val="21"/>
                      <w:szCs w:val="21"/>
                      <w:highlight w:val="none"/>
                      <w:lang w:eastAsia="zh-CN"/>
                    </w:rPr>
                    <w:t>浓度</w:t>
                  </w:r>
                  <w:r>
                    <w:rPr>
                      <w:rFonts w:hint="eastAsia" w:hAnsi="宋体"/>
                      <w:color w:val="auto"/>
                      <w:sz w:val="21"/>
                      <w:szCs w:val="21"/>
                      <w:highlight w:val="none"/>
                      <w:lang w:val="en-US" w:eastAsia="zh-CN"/>
                    </w:rPr>
                    <w:t xml:space="preserve">  </w:t>
                  </w:r>
                  <w:r>
                    <w:rPr>
                      <w:rFonts w:hint="eastAsia" w:ascii="Times New Roman" w:hAnsi="Times New Roman" w:cs="Times New Roman"/>
                      <w:color w:val="auto"/>
                      <w:sz w:val="21"/>
                      <w:szCs w:val="21"/>
                      <w:highlight w:val="none"/>
                      <w:lang w:val="en-US" w:eastAsia="zh-CN"/>
                    </w:rPr>
                    <w:t>mg</w:t>
                  </w:r>
                  <w:r>
                    <w:rPr>
                      <w:rFonts w:hint="eastAsia" w:hAnsi="宋体"/>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m</w:t>
                  </w:r>
                  <w:r>
                    <w:rPr>
                      <w:rFonts w:hint="eastAsia" w:ascii="Times New Roman" w:hAnsi="Times New Roman" w:cs="Times New Roman"/>
                      <w:color w:val="auto"/>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8" w:type="pct"/>
                  <w:noWrap w:val="0"/>
                  <w:vAlign w:val="center"/>
                </w:tcPr>
                <w:p>
                  <w:pPr>
                    <w:keepNext w:val="0"/>
                    <w:keepLines w:val="0"/>
                    <w:pageBreakBefore w:val="0"/>
                    <w:widowControl w:val="0"/>
                    <w:kinsoku/>
                    <w:wordWrap/>
                    <w:overflowPunct/>
                    <w:topLinePunct w:val="0"/>
                    <w:bidi w:val="0"/>
                    <w:snapToGrid/>
                    <w:spacing w:line="240" w:lineRule="auto"/>
                    <w:jc w:val="center"/>
                    <w:rPr>
                      <w:rFonts w:hint="eastAsia"/>
                      <w:color w:val="auto"/>
                      <w:sz w:val="21"/>
                      <w:szCs w:val="21"/>
                      <w:highlight w:val="none"/>
                    </w:rPr>
                  </w:pPr>
                  <w:r>
                    <w:rPr>
                      <w:rFonts w:hAnsi="宋体"/>
                      <w:color w:val="auto"/>
                      <w:sz w:val="21"/>
                      <w:szCs w:val="21"/>
                      <w:highlight w:val="none"/>
                    </w:rPr>
                    <w:t>颗粒物</w:t>
                  </w:r>
                </w:p>
              </w:tc>
              <w:tc>
                <w:tcPr>
                  <w:tcW w:w="2067" w:type="pct"/>
                  <w:noWrap w:val="0"/>
                  <w:vAlign w:val="center"/>
                </w:tcPr>
                <w:p>
                  <w:pPr>
                    <w:keepNext w:val="0"/>
                    <w:keepLines w:val="0"/>
                    <w:pageBreakBefore w:val="0"/>
                    <w:widowControl w:val="0"/>
                    <w:kinsoku/>
                    <w:wordWrap/>
                    <w:overflowPunct/>
                    <w:topLinePunct w:val="0"/>
                    <w:bidi w:val="0"/>
                    <w:snapToGrid/>
                    <w:spacing w:line="240" w:lineRule="auto"/>
                    <w:jc w:val="center"/>
                    <w:rPr>
                      <w:rFonts w:hint="default" w:eastAsia="宋体"/>
                      <w:color w:val="auto"/>
                      <w:sz w:val="21"/>
                      <w:szCs w:val="21"/>
                      <w:highlight w:val="none"/>
                      <w:lang w:val="en-US" w:eastAsia="zh-CN"/>
                    </w:rPr>
                  </w:pPr>
                  <w:r>
                    <w:rPr>
                      <w:rFonts w:hint="eastAsia" w:eastAsia="宋体"/>
                      <w:color w:val="auto"/>
                      <w:sz w:val="21"/>
                      <w:szCs w:val="21"/>
                      <w:highlight w:val="none"/>
                      <w:lang w:val="en-US" w:eastAsia="zh-CN"/>
                    </w:rPr>
                    <w:t>周界外浓度最高点</w:t>
                  </w:r>
                </w:p>
              </w:tc>
              <w:tc>
                <w:tcPr>
                  <w:tcW w:w="1564" w:type="pct"/>
                  <w:noWrap w:val="0"/>
                  <w:vAlign w:val="center"/>
                </w:tcPr>
                <w:p>
                  <w:pPr>
                    <w:keepNext w:val="0"/>
                    <w:keepLines w:val="0"/>
                    <w:pageBreakBefore w:val="0"/>
                    <w:widowControl w:val="0"/>
                    <w:kinsoku/>
                    <w:wordWrap/>
                    <w:overflowPunct/>
                    <w:topLinePunct w:val="0"/>
                    <w:bidi w:val="0"/>
                    <w:snapToGrid/>
                    <w:spacing w:line="240" w:lineRule="auto"/>
                    <w:jc w:val="center"/>
                    <w:rPr>
                      <w:rFonts w:hint="default" w:hAnsi="宋体" w:eastAsia="宋体"/>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w:t>
                  </w:r>
                  <w:r>
                    <w:rPr>
                      <w:rFonts w:hint="eastAsia"/>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368" w:type="pct"/>
                  <w:noWrap w:val="0"/>
                  <w:vAlign w:val="center"/>
                </w:tcPr>
                <w:p>
                  <w:pPr>
                    <w:keepNext w:val="0"/>
                    <w:keepLines w:val="0"/>
                    <w:pageBreakBefore w:val="0"/>
                    <w:widowControl w:val="0"/>
                    <w:kinsoku/>
                    <w:wordWrap/>
                    <w:overflowPunct/>
                    <w:topLinePunct w:val="0"/>
                    <w:bidi w:val="0"/>
                    <w:snapToGrid/>
                    <w:spacing w:line="240" w:lineRule="auto"/>
                    <w:jc w:val="center"/>
                    <w:rPr>
                      <w:rFonts w:hint="default" w:hAnsi="宋体"/>
                      <w:color w:val="auto"/>
                      <w:sz w:val="21"/>
                      <w:szCs w:val="21"/>
                      <w:highlight w:val="none"/>
                      <w:lang w:val="en-US" w:eastAsia="zh-CN"/>
                    </w:rPr>
                  </w:pPr>
                  <w:r>
                    <w:rPr>
                      <w:rFonts w:hint="eastAsia" w:hAnsi="宋体"/>
                      <w:color w:val="auto"/>
                      <w:sz w:val="21"/>
                      <w:szCs w:val="21"/>
                      <w:highlight w:val="none"/>
                      <w:lang w:eastAsia="zh-CN"/>
                    </w:rPr>
                    <w:t>挥发性有机物</w:t>
                  </w:r>
                </w:p>
              </w:tc>
              <w:tc>
                <w:tcPr>
                  <w:tcW w:w="2067" w:type="pct"/>
                  <w:noWrap w:val="0"/>
                  <w:vAlign w:val="center"/>
                </w:tcPr>
                <w:p>
                  <w:pPr>
                    <w:keepNext w:val="0"/>
                    <w:keepLines w:val="0"/>
                    <w:pageBreakBefore w:val="0"/>
                    <w:widowControl w:val="0"/>
                    <w:kinsoku/>
                    <w:wordWrap/>
                    <w:overflowPunct/>
                    <w:topLinePunct w:val="0"/>
                    <w:bidi w:val="0"/>
                    <w:snapToGrid/>
                    <w:spacing w:line="240" w:lineRule="auto"/>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监控点处</w:t>
                  </w:r>
                  <w:r>
                    <w:rPr>
                      <w:rFonts w:hint="eastAsia" w:ascii="Times New Roman" w:hAnsi="Times New Roman"/>
                      <w:color w:val="auto"/>
                      <w:sz w:val="21"/>
                      <w:szCs w:val="21"/>
                      <w:highlight w:val="none"/>
                      <w:lang w:val="en-US" w:eastAsia="zh-CN"/>
                    </w:rPr>
                    <w:t>1h</w:t>
                  </w:r>
                  <w:r>
                    <w:rPr>
                      <w:rFonts w:hint="eastAsia"/>
                      <w:color w:val="auto"/>
                      <w:sz w:val="21"/>
                      <w:szCs w:val="21"/>
                      <w:highlight w:val="none"/>
                      <w:lang w:val="en-US" w:eastAsia="zh-CN"/>
                    </w:rPr>
                    <w:t>平均浓度值</w:t>
                  </w:r>
                </w:p>
              </w:tc>
              <w:tc>
                <w:tcPr>
                  <w:tcW w:w="1564" w:type="pct"/>
                  <w:noWrap w:val="0"/>
                  <w:vAlign w:val="center"/>
                </w:tcPr>
                <w:p>
                  <w:pPr>
                    <w:keepNext w:val="0"/>
                    <w:keepLines w:val="0"/>
                    <w:pageBreakBefore w:val="0"/>
                    <w:widowControl w:val="0"/>
                    <w:kinsoku/>
                    <w:wordWrap/>
                    <w:overflowPunct/>
                    <w:topLinePunct w:val="0"/>
                    <w:bidi w:val="0"/>
                    <w:snapToGrid/>
                    <w:spacing w:line="240" w:lineRule="auto"/>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10.0</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highlight w:val="none"/>
                <w:lang w:val="en-US" w:eastAsia="zh-CN"/>
              </w:rPr>
            </w:pPr>
            <w:r>
              <w:rPr>
                <w:rFonts w:hint="eastAsia" w:ascii="宋体" w:hAnsi="宋体" w:eastAsia="宋体" w:cs="宋体"/>
                <w:b/>
                <w:bCs/>
                <w:highlight w:val="none"/>
                <w:lang w:val="en-US" w:eastAsia="zh-CN"/>
              </w:rPr>
              <w:t>2、噪声排放标准</w:t>
            </w:r>
          </w:p>
          <w:p>
            <w:pPr>
              <w:spacing w:before="25" w:line="480" w:lineRule="exact"/>
              <w:ind w:firstLine="480" w:firstLineChars="200"/>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rPr>
              <w:t>施工期噪声执行《建筑施工场界环境噪声排放标准》（GB12523-2011）中噪声排放限值，具体标</w:t>
            </w:r>
            <w:r>
              <w:rPr>
                <w:rFonts w:hint="default" w:ascii="Times New Roman" w:hAnsi="Times New Roman" w:cs="Times New Roman"/>
                <w:color w:val="auto"/>
                <w:sz w:val="24"/>
                <w:szCs w:val="24"/>
                <w:highlight w:val="none"/>
              </w:rPr>
              <w:t>准见</w:t>
            </w:r>
            <w:r>
              <w:rPr>
                <w:rFonts w:hint="eastAsia" w:ascii="Times New Roman" w:hAnsi="Times New Roman" w:cs="Times New Roman"/>
                <w:color w:val="auto"/>
                <w:sz w:val="24"/>
                <w:szCs w:val="24"/>
                <w:highlight w:val="none"/>
                <w:lang w:val="en-US" w:eastAsia="zh-CN"/>
              </w:rPr>
              <w:t>表9</w:t>
            </w:r>
            <w:r>
              <w:rPr>
                <w:rFonts w:hint="default" w:ascii="Times New Roman" w:hAnsi="Times New Roman" w:cs="Times New Roman"/>
                <w:color w:val="auto"/>
                <w:sz w:val="24"/>
                <w:szCs w:val="24"/>
                <w:highlight w:val="none"/>
              </w:rPr>
              <w:t>。</w:t>
            </w:r>
          </w:p>
          <w:p>
            <w:pPr>
              <w:spacing w:before="25" w:line="480" w:lineRule="exact"/>
              <w:jc w:val="center"/>
              <w:rPr>
                <w:rFonts w:hint="default" w:ascii="Times New Roman" w:hAnsi="Times New Roman" w:cs="Times New Roman"/>
                <w:color w:val="000000"/>
                <w:sz w:val="24"/>
                <w:szCs w:val="24"/>
                <w:highlight w:val="none"/>
              </w:rPr>
            </w:pPr>
            <w:r>
              <w:rPr>
                <w:rFonts w:hint="default" w:ascii="Times New Roman" w:hAnsi="Times New Roman" w:cs="Times New Roman"/>
                <w:b/>
                <w:color w:val="000000"/>
                <w:sz w:val="24"/>
                <w:szCs w:val="24"/>
                <w:highlight w:val="none"/>
              </w:rPr>
              <w:t>表</w:t>
            </w:r>
            <w:r>
              <w:rPr>
                <w:rFonts w:hint="eastAsia" w:ascii="Times New Roman" w:hAnsi="Times New Roman" w:cs="Times New Roman"/>
                <w:b/>
                <w:color w:val="000000"/>
                <w:sz w:val="24"/>
                <w:szCs w:val="24"/>
                <w:highlight w:val="none"/>
                <w:lang w:val="en-US" w:eastAsia="zh-CN"/>
              </w:rPr>
              <w:t>9</w:t>
            </w:r>
            <w:r>
              <w:rPr>
                <w:rFonts w:hint="default" w:ascii="Times New Roman" w:hAnsi="Times New Roman" w:cs="Times New Roman"/>
                <w:b/>
                <w:color w:val="000000"/>
                <w:sz w:val="24"/>
                <w:szCs w:val="24"/>
                <w:highlight w:val="none"/>
              </w:rPr>
              <w:t xml:space="preserve">   建筑施工场界环境噪声排放标准   单位：dB(A)</w:t>
            </w:r>
          </w:p>
          <w:tbl>
            <w:tblPr>
              <w:tblStyle w:val="21"/>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52"/>
              <w:gridCol w:w="40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trPr>
              <w:tc>
                <w:tcPr>
                  <w:tcW w:w="2500"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昼间</w:t>
                  </w:r>
                </w:p>
              </w:tc>
              <w:tc>
                <w:tcPr>
                  <w:tcW w:w="2500"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2500"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70</w:t>
                  </w:r>
                </w:p>
              </w:tc>
              <w:tc>
                <w:tcPr>
                  <w:tcW w:w="2500"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r>
          </w:tbl>
          <w:p>
            <w:pPr>
              <w:spacing w:before="60" w:beforeLines="25" w:line="480" w:lineRule="exact"/>
              <w:ind w:firstLine="480" w:firstLineChars="200"/>
              <w:rPr>
                <w:rFonts w:hint="default" w:ascii="Times New Roman" w:hAnsi="Times New Roman" w:eastAsia="宋体" w:cs="Times New Roman"/>
                <w:color w:val="000000"/>
                <w:sz w:val="24"/>
                <w:highlight w:val="none"/>
                <w:lang w:val="en-US" w:eastAsia="zh-CN"/>
              </w:rPr>
            </w:pPr>
            <w:r>
              <w:rPr>
                <w:rFonts w:hint="default" w:ascii="Times New Roman" w:hAnsi="Times New Roman" w:cs="Times New Roman"/>
                <w:color w:val="000000"/>
                <w:sz w:val="24"/>
                <w:highlight w:val="none"/>
              </w:rPr>
              <w:t>运营期厂界噪声执行《工业企业厂界环境噪声排放标准》（GB12348-2008）</w:t>
            </w:r>
            <w:r>
              <w:rPr>
                <w:rFonts w:hint="eastAsia" w:ascii="Times New Roman" w:hAnsi="Times New Roman" w:cs="Times New Roman"/>
                <w:color w:val="000000"/>
                <w:sz w:val="24"/>
                <w:highlight w:val="none"/>
                <w:lang w:val="en-US" w:eastAsia="zh-CN"/>
              </w:rPr>
              <w:t>2</w:t>
            </w:r>
            <w:r>
              <w:rPr>
                <w:rFonts w:hint="eastAsia" w:ascii="Times New Roman" w:hAnsi="Times New Roman" w:cs="Times New Roman"/>
                <w:color w:val="000000"/>
                <w:sz w:val="24"/>
                <w:highlight w:val="none"/>
                <w:lang w:eastAsia="zh-CN"/>
              </w:rPr>
              <w:t>类</w:t>
            </w:r>
            <w:r>
              <w:rPr>
                <w:rFonts w:hint="default" w:ascii="Times New Roman" w:hAnsi="Times New Roman" w:cs="Times New Roman"/>
                <w:color w:val="000000"/>
                <w:sz w:val="24"/>
                <w:highlight w:val="none"/>
              </w:rPr>
              <w:t>标准，具体标准值见</w:t>
            </w:r>
            <w:r>
              <w:rPr>
                <w:rFonts w:hint="eastAsia" w:ascii="Times New Roman" w:hAnsi="Times New Roman" w:cs="Times New Roman"/>
                <w:color w:val="auto"/>
                <w:sz w:val="24"/>
                <w:highlight w:val="none"/>
                <w:lang w:val="en-US" w:eastAsia="zh-CN"/>
              </w:rPr>
              <w:t>表10</w:t>
            </w:r>
            <w:r>
              <w:rPr>
                <w:rFonts w:hint="default" w:ascii="Times New Roman" w:hAnsi="Times New Roman" w:cs="Times New Roman"/>
                <w:color w:val="auto"/>
                <w:sz w:val="24"/>
                <w:highlight w:val="none"/>
              </w:rPr>
              <w:t>。</w:t>
            </w:r>
          </w:p>
          <w:p>
            <w:pPr>
              <w:spacing w:before="25" w:line="480" w:lineRule="exact"/>
              <w:jc w:val="center"/>
              <w:rPr>
                <w:rFonts w:hint="default" w:ascii="Times New Roman" w:hAnsi="Times New Roman" w:cs="Times New Roman"/>
                <w:b/>
                <w:color w:val="000000"/>
                <w:sz w:val="24"/>
                <w:szCs w:val="20"/>
                <w:highlight w:val="none"/>
              </w:rPr>
            </w:pPr>
            <w:r>
              <w:rPr>
                <w:rFonts w:hint="default" w:ascii="Times New Roman" w:hAnsi="Times New Roman" w:cs="Times New Roman"/>
                <w:b/>
                <w:color w:val="000000"/>
                <w:sz w:val="24"/>
                <w:szCs w:val="20"/>
                <w:highlight w:val="none"/>
              </w:rPr>
              <w:t>表</w:t>
            </w:r>
            <w:r>
              <w:rPr>
                <w:rFonts w:hint="eastAsia" w:ascii="Times New Roman" w:hAnsi="Times New Roman" w:cs="Times New Roman"/>
                <w:b/>
                <w:color w:val="000000"/>
                <w:sz w:val="24"/>
                <w:szCs w:val="20"/>
                <w:highlight w:val="none"/>
                <w:lang w:val="en-US" w:eastAsia="zh-CN"/>
              </w:rPr>
              <w:t>10</w:t>
            </w:r>
            <w:r>
              <w:rPr>
                <w:rFonts w:hint="default" w:ascii="Times New Roman" w:hAnsi="Times New Roman" w:cs="Times New Roman"/>
                <w:b/>
                <w:color w:val="000000"/>
                <w:sz w:val="24"/>
                <w:szCs w:val="20"/>
                <w:highlight w:val="none"/>
                <w:lang w:val="en-US" w:eastAsia="zh-CN"/>
              </w:rPr>
              <w:t xml:space="preserve"> </w:t>
            </w:r>
            <w:r>
              <w:rPr>
                <w:rFonts w:hint="default" w:ascii="Times New Roman" w:hAnsi="Times New Roman" w:cs="Times New Roman"/>
                <w:b/>
                <w:color w:val="000000"/>
                <w:sz w:val="24"/>
                <w:szCs w:val="20"/>
                <w:highlight w:val="none"/>
              </w:rPr>
              <w:t xml:space="preserve">  工业企业厂界环境噪声排放标准   单位：dB(A)</w:t>
            </w:r>
          </w:p>
          <w:tbl>
            <w:tblPr>
              <w:tblStyle w:val="2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1"/>
              <w:gridCol w:w="2701"/>
              <w:gridCol w:w="2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1666"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标准</w:t>
                  </w:r>
                </w:p>
              </w:tc>
              <w:tc>
                <w:tcPr>
                  <w:tcW w:w="1666"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昼间</w:t>
                  </w:r>
                </w:p>
              </w:tc>
              <w:tc>
                <w:tcPr>
                  <w:tcW w:w="1666" w:type="pct"/>
                  <w:noWrap w:val="0"/>
                  <w:vAlign w:val="center"/>
                </w:tcPr>
                <w:p>
                  <w:pPr>
                    <w:adjustRightInd w:val="0"/>
                    <w:snapToGri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1666" w:type="pct"/>
                  <w:noWrap w:val="0"/>
                  <w:vAlign w:val="center"/>
                </w:tcPr>
                <w:p>
                  <w:pPr>
                    <w:adjustRightInd w:val="0"/>
                    <w:snapToGrid w:val="0"/>
                    <w:jc w:val="center"/>
                    <w:textAlignment w:val="baseline"/>
                    <w:rPr>
                      <w:rFonts w:hint="eastAsia" w:ascii="Times New Roman" w:hAnsi="Times New Roman" w:eastAsia="宋体" w:cs="Times New Roman"/>
                      <w:color w:val="FF0000"/>
                      <w:sz w:val="21"/>
                      <w:szCs w:val="21"/>
                      <w:highlight w:val="none"/>
                      <w:lang w:eastAsia="zh-CN"/>
                    </w:rPr>
                  </w:pPr>
                  <w:r>
                    <w:rPr>
                      <w:rFonts w:hint="eastAsia" w:ascii="Times New Roman" w:hAnsi="Times New Roman" w:cs="Times New Roman"/>
                      <w:color w:val="FF0000"/>
                      <w:sz w:val="21"/>
                      <w:szCs w:val="21"/>
                      <w:highlight w:val="none"/>
                      <w:lang w:val="en-US" w:eastAsia="zh-CN"/>
                    </w:rPr>
                    <w:t>2</w:t>
                  </w:r>
                  <w:r>
                    <w:rPr>
                      <w:rFonts w:hint="eastAsia" w:ascii="Times New Roman" w:hAnsi="Times New Roman" w:cs="Times New Roman"/>
                      <w:color w:val="FF0000"/>
                      <w:sz w:val="21"/>
                      <w:szCs w:val="21"/>
                      <w:highlight w:val="none"/>
                      <w:lang w:eastAsia="zh-CN"/>
                    </w:rPr>
                    <w:t>类</w:t>
                  </w:r>
                </w:p>
              </w:tc>
              <w:tc>
                <w:tcPr>
                  <w:tcW w:w="1666" w:type="pct"/>
                  <w:noWrap w:val="0"/>
                  <w:vAlign w:val="center"/>
                </w:tcPr>
                <w:p>
                  <w:pPr>
                    <w:adjustRightInd w:val="0"/>
                    <w:snapToGrid w:val="0"/>
                    <w:jc w:val="center"/>
                    <w:textAlignment w:val="baseline"/>
                    <w:rPr>
                      <w:rFonts w:hint="default" w:ascii="Times New Roman" w:hAnsi="Times New Roman" w:eastAsia="宋体"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60</w:t>
                  </w:r>
                </w:p>
              </w:tc>
              <w:tc>
                <w:tcPr>
                  <w:tcW w:w="1666" w:type="pct"/>
                  <w:noWrap w:val="0"/>
                  <w:vAlign w:val="center"/>
                </w:tcPr>
                <w:p>
                  <w:pPr>
                    <w:adjustRightInd w:val="0"/>
                    <w:snapToGrid w:val="0"/>
                    <w:jc w:val="center"/>
                    <w:textAlignment w:val="baseline"/>
                    <w:rPr>
                      <w:rFonts w:hint="default" w:ascii="Times New Roman" w:hAnsi="Times New Roman" w:eastAsia="宋体" w:cs="Times New Roman"/>
                      <w:color w:val="FF0000"/>
                      <w:sz w:val="21"/>
                      <w:szCs w:val="21"/>
                      <w:highlight w:val="none"/>
                      <w:lang w:val="en-US" w:eastAsia="zh-CN"/>
                    </w:rPr>
                  </w:pPr>
                  <w:r>
                    <w:rPr>
                      <w:rFonts w:hint="eastAsia" w:ascii="Times New Roman" w:hAnsi="Times New Roman" w:cs="Times New Roman"/>
                      <w:color w:val="FF0000"/>
                      <w:sz w:val="21"/>
                      <w:szCs w:val="21"/>
                      <w:highlight w:val="none"/>
                      <w:lang w:val="en-US" w:eastAsia="zh-CN"/>
                    </w:rPr>
                    <w:t>50</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黑体" w:cs="Times New Roman"/>
                <w:color w:val="auto"/>
                <w:highlight w:val="none"/>
                <w:lang w:val="en-US" w:eastAsia="zh-CN"/>
              </w:rPr>
            </w:pPr>
            <w:r>
              <w:rPr>
                <w:rFonts w:hint="eastAsia" w:ascii="Times New Roman" w:hAnsi="Times New Roman" w:eastAsia="黑体" w:cs="Times New Roman"/>
                <w:color w:val="auto"/>
                <w:highlight w:val="none"/>
                <w:lang w:val="en-US" w:eastAsia="zh-CN"/>
              </w:rPr>
              <w:t>3</w:t>
            </w:r>
            <w:r>
              <w:rPr>
                <w:rFonts w:hint="default" w:ascii="Times New Roman" w:hAnsi="Times New Roman" w:eastAsia="黑体" w:cs="Times New Roman"/>
                <w:color w:val="auto"/>
                <w:highlight w:val="none"/>
                <w:lang w:val="en-US" w:eastAsia="zh-CN"/>
              </w:rPr>
              <w:t>、</w:t>
            </w:r>
            <w:r>
              <w:rPr>
                <w:rFonts w:hint="eastAsia" w:ascii="Times New Roman" w:hAnsi="Times New Roman" w:eastAsia="黑体" w:cs="Times New Roman"/>
                <w:color w:val="auto"/>
                <w:highlight w:val="none"/>
                <w:lang w:val="en-US" w:eastAsia="zh-CN"/>
              </w:rPr>
              <w:t>固体废物及危险废物</w:t>
            </w:r>
            <w:r>
              <w:rPr>
                <w:rFonts w:hint="default" w:ascii="Times New Roman" w:hAnsi="Times New Roman" w:eastAsia="黑体" w:cs="Times New Roman"/>
                <w:color w:val="auto"/>
                <w:highlight w:val="none"/>
                <w:lang w:val="en-US" w:eastAsia="zh-CN"/>
              </w:rPr>
              <w:t>标准</w:t>
            </w:r>
          </w:p>
          <w:p>
            <w:pPr>
              <w:keepNext w:val="0"/>
              <w:keepLines w:val="0"/>
              <w:pageBreakBefore w:val="0"/>
              <w:widowControl w:val="0"/>
              <w:kinsoku/>
              <w:wordWrap/>
              <w:overflowPunct/>
              <w:topLinePunct w:val="0"/>
              <w:autoSpaceDE/>
              <w:autoSpaceDN/>
              <w:bidi w:val="0"/>
              <w:adjustRightInd w:val="0"/>
              <w:snapToGrid w:val="0"/>
              <w:spacing w:line="480" w:lineRule="exact"/>
              <w:ind w:left="0" w:leftChars="0" w:right="0" w:firstLine="480" w:firstLineChars="200"/>
              <w:jc w:val="left"/>
              <w:textAlignment w:val="auto"/>
              <w:rPr>
                <w:rFonts w:hint="default" w:ascii="Times New Roman" w:hAnsi="Times New Roman" w:eastAsia="宋体" w:cs="Times New Roman"/>
                <w:color w:val="auto"/>
                <w:kern w:val="2"/>
                <w:sz w:val="24"/>
                <w:szCs w:val="24"/>
                <w:highlight w:val="yellow"/>
                <w:lang w:val="en-US" w:eastAsia="zh-CN" w:bidi="ar-SA"/>
              </w:rPr>
            </w:pPr>
            <w:r>
              <w:rPr>
                <w:rFonts w:hint="default" w:ascii="Times New Roman" w:hAnsi="Times New Roman" w:eastAsia="宋体" w:cs="Times New Roman"/>
                <w:color w:val="auto"/>
                <w:kern w:val="2"/>
                <w:sz w:val="24"/>
                <w:szCs w:val="24"/>
                <w:highlight w:val="none"/>
                <w:lang w:val="en-US" w:eastAsia="zh-CN" w:bidi="ar-SA"/>
              </w:rPr>
              <w:t>本项目固体废物执行《一般工业固体废物贮存和填埋污染控制标准》（GB 18599-20</w:t>
            </w:r>
            <w:r>
              <w:rPr>
                <w:rFonts w:hint="eastAsia" w:ascii="Times New Roman" w:hAnsi="Times New Roman" w:cs="Times New Roman"/>
                <w:color w:val="auto"/>
                <w:kern w:val="2"/>
                <w:sz w:val="24"/>
                <w:szCs w:val="24"/>
                <w:highlight w:val="none"/>
                <w:lang w:val="en-US" w:eastAsia="zh-CN" w:bidi="ar-SA"/>
              </w:rPr>
              <w:t>20</w:t>
            </w:r>
            <w:r>
              <w:rPr>
                <w:rFonts w:hint="default" w:ascii="Times New Roman" w:hAnsi="Times New Roman" w:eastAsia="宋体"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及</w:t>
            </w:r>
            <w:r>
              <w:rPr>
                <w:rFonts w:hint="default" w:ascii="Times New Roman" w:hAnsi="Times New Roman" w:eastAsia="宋体" w:cs="Times New Roman"/>
                <w:color w:val="auto"/>
                <w:kern w:val="2"/>
                <w:sz w:val="24"/>
                <w:szCs w:val="24"/>
                <w:highlight w:val="none"/>
                <w:lang w:val="en-US" w:eastAsia="zh-CN" w:bidi="ar-SA"/>
              </w:rPr>
              <w:t>《中华人民共和国固体废物污染环境防治法》及</w:t>
            </w:r>
            <w:r>
              <w:rPr>
                <w:rFonts w:hint="eastAsia" w:ascii="Times New Roman" w:hAnsi="Times New Roman" w:cs="Times New Roman"/>
                <w:color w:val="auto"/>
                <w:kern w:val="2"/>
                <w:sz w:val="24"/>
                <w:szCs w:val="24"/>
                <w:highlight w:val="none"/>
                <w:lang w:val="en-US" w:eastAsia="zh-CN" w:bidi="ar-SA"/>
              </w:rPr>
              <w:t>2020年修订等</w:t>
            </w:r>
            <w:r>
              <w:rPr>
                <w:rFonts w:hint="default" w:ascii="Times New Roman" w:hAnsi="Times New Roman" w:eastAsia="宋体" w:cs="Times New Roman"/>
                <w:color w:val="auto"/>
                <w:kern w:val="2"/>
                <w:sz w:val="24"/>
                <w:szCs w:val="24"/>
                <w:highlight w:val="none"/>
                <w:lang w:val="en-US" w:eastAsia="zh-CN" w:bidi="ar-SA"/>
              </w:rPr>
              <w:t>有关规定。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8" w:type="dxa"/>
            <w:tcBorders>
              <w:top w:val="single" w:color="auto" w:sz="4" w:space="0"/>
              <w:left w:val="single" w:color="auto" w:sz="8" w:space="0"/>
              <w:bottom w:val="single" w:color="auto" w:sz="8"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总量</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控制</w:t>
            </w:r>
          </w:p>
          <w:p>
            <w:pPr>
              <w:adjustRightInd w:val="0"/>
              <w:snapToGrid w:val="0"/>
              <w:spacing w:beforeLines="0" w:afterLines="0"/>
              <w:jc w:val="center"/>
              <w:rPr>
                <w:rFonts w:hint="default" w:ascii="Times New Roman" w:hAnsi="Times New Roman" w:eastAsia="宋体" w:cs="Times New Roman"/>
                <w:kern w:val="0"/>
                <w:sz w:val="21"/>
                <w:szCs w:val="21"/>
                <w:highlight w:val="none"/>
              </w:rPr>
            </w:pPr>
            <w:r>
              <w:rPr>
                <w:rFonts w:hint="default" w:ascii="Times New Roman" w:hAnsi="Times New Roman" w:eastAsia="宋体" w:cs="Times New Roman"/>
                <w:kern w:val="0"/>
                <w:sz w:val="21"/>
                <w:szCs w:val="21"/>
                <w:highlight w:val="none"/>
              </w:rPr>
              <w:t>指标</w:t>
            </w:r>
          </w:p>
        </w:tc>
        <w:tc>
          <w:tcPr>
            <w:tcW w:w="8332" w:type="dxa"/>
            <w:tcBorders>
              <w:top w:val="single" w:color="auto" w:sz="4" w:space="0"/>
              <w:left w:val="single" w:color="auto" w:sz="4" w:space="0"/>
              <w:bottom w:val="single" w:color="auto" w:sz="8" w:space="0"/>
              <w:right w:val="single" w:color="auto" w:sz="8" w:space="0"/>
              <w:tl2br w:val="nil"/>
              <w:tr2bl w:val="nil"/>
            </w:tcBorders>
            <w:vAlign w:val="top"/>
          </w:tcPr>
          <w:p>
            <w:pPr>
              <w:pStyle w:val="26"/>
              <w:keepNext w:val="0"/>
              <w:keepLines w:val="0"/>
              <w:pageBreakBefore w:val="0"/>
              <w:widowControl w:val="0"/>
              <w:kinsoku/>
              <w:wordWrap/>
              <w:overflowPunct/>
              <w:topLinePunct w:val="0"/>
              <w:autoSpaceDE w:val="0"/>
              <w:autoSpaceDN w:val="0"/>
              <w:bidi w:val="0"/>
              <w:adjustRightInd w:val="0"/>
              <w:snapToGrid/>
              <w:spacing w:line="480" w:lineRule="exact"/>
              <w:ind w:firstLine="480" w:firstLineChars="200"/>
              <w:jc w:val="both"/>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根据《十三五主要污染物总量控制规划》，我国“十三五”期间主要对二氧化硫、化学需氧量、氨氮和氮氧化物这四种污染物实行排放总量控制。</w:t>
            </w:r>
          </w:p>
          <w:p>
            <w:pPr>
              <w:pStyle w:val="26"/>
              <w:keepNext w:val="0"/>
              <w:keepLines w:val="0"/>
              <w:pageBreakBefore w:val="0"/>
              <w:widowControl w:val="0"/>
              <w:kinsoku/>
              <w:wordWrap/>
              <w:overflowPunct/>
              <w:topLinePunct w:val="0"/>
              <w:autoSpaceDE w:val="0"/>
              <w:autoSpaceDN w:val="0"/>
              <w:bidi w:val="0"/>
              <w:adjustRightInd w:val="0"/>
              <w:snapToGrid/>
              <w:spacing w:line="480" w:lineRule="exact"/>
              <w:ind w:firstLine="480" w:firstLineChars="200"/>
              <w:jc w:val="both"/>
              <w:textAlignment w:val="auto"/>
              <w:rPr>
                <w:rFonts w:hint="default" w:ascii="Times New Roman" w:hAnsi="Times New Roman" w:cs="Times New Roman"/>
                <w:color w:val="auto"/>
                <w:sz w:val="24"/>
                <w:highlight w:val="none"/>
                <w:lang w:val="en-US" w:eastAsia="zh-CN"/>
              </w:rPr>
            </w:pPr>
            <w:r>
              <w:rPr>
                <w:rFonts w:hint="eastAsia" w:ascii="宋体" w:hAnsi="宋体" w:eastAsia="宋体" w:cs="宋体"/>
                <w:color w:val="auto"/>
                <w:sz w:val="24"/>
                <w:highlight w:val="none"/>
                <w:lang w:val="en-US" w:eastAsia="zh-CN"/>
              </w:rPr>
              <w:t>本项目职工生活污水依托厂区外旱厕，所以无二氧化硫、化学需氧量、氨氮和氮氧化物新增量，因此本项目不设置总量控制指标。</w:t>
            </w:r>
          </w:p>
        </w:tc>
      </w:tr>
    </w:tbl>
    <w:p>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四、主要环境影响和保护措施</w:t>
      </w:r>
    </w:p>
    <w:tbl>
      <w:tblPr>
        <w:tblStyle w:val="21"/>
        <w:tblW w:w="898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1"/>
        <w:gridCol w:w="816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811" w:type="dxa"/>
            <w:tcBorders>
              <w:top w:val="single" w:color="auto" w:sz="8" w:space="0"/>
              <w:left w:val="single" w:color="auto" w:sz="8" w:space="0"/>
              <w:bottom w:val="single" w:color="auto" w:sz="4" w:space="0"/>
              <w:right w:val="single" w:color="auto" w:sz="4" w:space="0"/>
              <w:tl2br w:val="nil"/>
              <w:tr2bl w:val="nil"/>
            </w:tcBorders>
            <w:tcMar>
              <w:left w:w="28" w:type="dxa"/>
              <w:right w:w="28" w:type="dxa"/>
            </w:tcMar>
            <w:vAlign w:val="center"/>
          </w:tcPr>
          <w:p>
            <w:pPr>
              <w:pStyle w:val="20"/>
              <w:adjustRightInd w:val="0"/>
              <w:snapToGrid w:val="0"/>
              <w:spacing w:before="0" w:beforeLines="0" w:beforeAutospacing="0" w:after="0" w:afterLines="0" w:afterAutospacing="0"/>
              <w:jc w:val="center"/>
              <w:rPr>
                <w:rFonts w:hint="default" w:ascii="Times New Roman" w:hAnsi="Times New Roman" w:cs="Times New Roman"/>
                <w:kern w:val="2"/>
                <w:sz w:val="21"/>
                <w:szCs w:val="21"/>
                <w:highlight w:val="none"/>
              </w:rPr>
            </w:pPr>
            <w:r>
              <w:rPr>
                <w:rFonts w:hint="default" w:ascii="Times New Roman" w:hAnsi="Times New Roman" w:cs="Times New Roman"/>
                <w:kern w:val="2"/>
                <w:sz w:val="21"/>
                <w:szCs w:val="21"/>
                <w:highlight w:val="none"/>
              </w:rPr>
              <w:t>施工</w:t>
            </w:r>
          </w:p>
          <w:p>
            <w:pPr>
              <w:pStyle w:val="20"/>
              <w:adjustRightInd w:val="0"/>
              <w:snapToGrid w:val="0"/>
              <w:spacing w:before="0" w:beforeLines="0" w:beforeAutospacing="0" w:after="0" w:afterLines="0" w:afterAutospacing="0"/>
              <w:jc w:val="center"/>
              <w:rPr>
                <w:rFonts w:hint="default" w:ascii="Times New Roman" w:hAnsi="Times New Roman" w:cs="Times New Roman"/>
                <w:kern w:val="2"/>
                <w:sz w:val="21"/>
                <w:szCs w:val="21"/>
                <w:highlight w:val="none"/>
              </w:rPr>
            </w:pPr>
            <w:r>
              <w:rPr>
                <w:rFonts w:hint="default" w:ascii="Times New Roman" w:hAnsi="Times New Roman" w:cs="Times New Roman"/>
                <w:kern w:val="2"/>
                <w:sz w:val="21"/>
                <w:szCs w:val="21"/>
                <w:highlight w:val="none"/>
              </w:rPr>
              <w:t>期环</w:t>
            </w:r>
          </w:p>
          <w:p>
            <w:pPr>
              <w:pStyle w:val="20"/>
              <w:adjustRightInd w:val="0"/>
              <w:snapToGrid w:val="0"/>
              <w:spacing w:before="0" w:beforeLines="0" w:beforeAutospacing="0" w:after="0" w:afterLines="0" w:afterAutospacing="0"/>
              <w:jc w:val="center"/>
              <w:rPr>
                <w:rFonts w:hint="default" w:ascii="Times New Roman" w:hAnsi="Times New Roman" w:cs="Times New Roman"/>
                <w:kern w:val="2"/>
                <w:sz w:val="21"/>
                <w:szCs w:val="21"/>
                <w:highlight w:val="none"/>
              </w:rPr>
            </w:pPr>
            <w:r>
              <w:rPr>
                <w:rFonts w:hint="default" w:ascii="Times New Roman" w:hAnsi="Times New Roman" w:cs="Times New Roman"/>
                <w:kern w:val="2"/>
                <w:sz w:val="21"/>
                <w:szCs w:val="21"/>
                <w:highlight w:val="none"/>
              </w:rPr>
              <w:t>境保</w:t>
            </w:r>
          </w:p>
          <w:p>
            <w:pPr>
              <w:pStyle w:val="20"/>
              <w:adjustRightInd w:val="0"/>
              <w:snapToGrid w:val="0"/>
              <w:spacing w:before="0" w:beforeLines="0" w:beforeAutospacing="0" w:after="0" w:afterLines="0" w:afterAutospacing="0"/>
              <w:jc w:val="center"/>
              <w:rPr>
                <w:rFonts w:hint="default" w:ascii="Times New Roman" w:hAnsi="Times New Roman" w:cs="Times New Roman"/>
                <w:kern w:val="2"/>
                <w:sz w:val="21"/>
                <w:szCs w:val="21"/>
                <w:highlight w:val="none"/>
              </w:rPr>
            </w:pPr>
            <w:r>
              <w:rPr>
                <w:rFonts w:hint="default" w:ascii="Times New Roman" w:hAnsi="Times New Roman" w:cs="Times New Roman"/>
                <w:kern w:val="2"/>
                <w:sz w:val="21"/>
                <w:szCs w:val="21"/>
                <w:highlight w:val="none"/>
              </w:rPr>
              <w:t>护措</w:t>
            </w:r>
          </w:p>
          <w:p>
            <w:pPr>
              <w:pStyle w:val="20"/>
              <w:adjustRightInd w:val="0"/>
              <w:snapToGrid w:val="0"/>
              <w:spacing w:before="0" w:beforeLines="0" w:beforeAutospacing="0" w:after="0" w:afterLines="0" w:afterAutospacing="0"/>
              <w:jc w:val="center"/>
              <w:rPr>
                <w:rFonts w:hint="default" w:ascii="Times New Roman" w:hAnsi="Times New Roman" w:cs="Times New Roman"/>
                <w:kern w:val="2"/>
                <w:sz w:val="21"/>
                <w:szCs w:val="21"/>
                <w:highlight w:val="none"/>
              </w:rPr>
            </w:pPr>
            <w:r>
              <w:rPr>
                <w:rFonts w:hint="default" w:ascii="Times New Roman" w:hAnsi="Times New Roman" w:cs="Times New Roman"/>
                <w:kern w:val="2"/>
                <w:sz w:val="21"/>
                <w:szCs w:val="21"/>
                <w:highlight w:val="none"/>
              </w:rPr>
              <w:t>施</w:t>
            </w:r>
          </w:p>
        </w:tc>
        <w:tc>
          <w:tcPr>
            <w:tcW w:w="8169" w:type="dxa"/>
            <w:tcBorders>
              <w:top w:val="single" w:color="auto" w:sz="8" w:space="0"/>
              <w:left w:val="single" w:color="auto" w:sz="4" w:space="0"/>
              <w:bottom w:val="single" w:color="auto" w:sz="4" w:space="0"/>
              <w:right w:val="single" w:color="auto" w:sz="8"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center"/>
              <w:textAlignment w:val="auto"/>
              <w:rPr>
                <w:rFonts w:hint="eastAsia" w:ascii="Times New Roman" w:hAnsi="Times New Roman" w:eastAsia="ILPZD C+ T T 4 B B 2o 00" w:cs="Times New Roman"/>
                <w:highlight w:val="none"/>
                <w:lang w:eastAsia="zh-CN"/>
              </w:rPr>
            </w:pPr>
            <w:r>
              <w:rPr>
                <w:rFonts w:hint="default"/>
                <w:highlight w:val="none"/>
                <w:lang w:eastAsia="zh-CN"/>
              </w:rPr>
              <w:t>本项目已于</w:t>
            </w:r>
            <w:r>
              <w:rPr>
                <w:rFonts w:hint="eastAsia" w:ascii="Times New Roman" w:hAnsi="Times New Roman"/>
                <w:highlight w:val="none"/>
                <w:lang w:val="en-US" w:eastAsia="zh-CN"/>
              </w:rPr>
              <w:t>2014</w:t>
            </w:r>
            <w:r>
              <w:rPr>
                <w:rFonts w:hint="eastAsia"/>
                <w:highlight w:val="none"/>
                <w:lang w:val="en-US" w:eastAsia="zh-CN"/>
              </w:rPr>
              <w:t>年</w:t>
            </w:r>
            <w:r>
              <w:rPr>
                <w:rFonts w:hint="eastAsia" w:ascii="Times New Roman" w:hAnsi="Times New Roman"/>
                <w:highlight w:val="none"/>
                <w:lang w:val="en-US" w:eastAsia="zh-CN"/>
              </w:rPr>
              <w:t>6</w:t>
            </w:r>
            <w:r>
              <w:rPr>
                <w:rFonts w:hint="eastAsia"/>
                <w:highlight w:val="none"/>
                <w:lang w:val="en-US" w:eastAsia="zh-CN"/>
              </w:rPr>
              <w:t>月</w:t>
            </w:r>
            <w:r>
              <w:rPr>
                <w:rFonts w:hint="default"/>
                <w:highlight w:val="none"/>
                <w:lang w:val="en-US" w:eastAsia="zh-CN"/>
              </w:rPr>
              <w:t>投入运营，不存在施工期的环境污染。</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95" w:hRule="atLeast"/>
        </w:trPr>
        <w:tc>
          <w:tcPr>
            <w:tcW w:w="811" w:type="dxa"/>
            <w:tcBorders>
              <w:top w:val="single" w:color="auto" w:sz="4" w:space="0"/>
              <w:left w:val="single" w:color="auto" w:sz="8" w:space="0"/>
              <w:bottom w:val="single" w:color="auto" w:sz="8" w:space="0"/>
              <w:right w:val="single" w:color="auto" w:sz="4" w:space="0"/>
              <w:tl2br w:val="nil"/>
              <w:tr2bl w:val="nil"/>
            </w:tcBorders>
            <w:tcMar>
              <w:left w:w="28" w:type="dxa"/>
              <w:right w:w="28" w:type="dxa"/>
            </w:tcMar>
            <w:vAlign w:val="center"/>
          </w:tcPr>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运营</w:t>
            </w:r>
          </w:p>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期环</w:t>
            </w:r>
          </w:p>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境影</w:t>
            </w:r>
          </w:p>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响和</w:t>
            </w:r>
          </w:p>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保护</w:t>
            </w:r>
          </w:p>
          <w:p>
            <w:pPr>
              <w:adjustRightInd w:val="0"/>
              <w:snapToGrid w:val="0"/>
              <w:spacing w:beforeLines="0" w:afterLines="0"/>
              <w:jc w:val="center"/>
              <w:rPr>
                <w:rFonts w:hint="default" w:ascii="Times New Roman" w:hAnsi="Times New Roman" w:eastAsia="宋体" w:cs="Times New Roman"/>
                <w:sz w:val="21"/>
                <w:szCs w:val="21"/>
                <w:highlight w:val="yellow"/>
              </w:rPr>
            </w:pPr>
            <w:r>
              <w:rPr>
                <w:rFonts w:hint="default" w:ascii="Times New Roman" w:hAnsi="Times New Roman" w:eastAsia="宋体" w:cs="Times New Roman"/>
                <w:sz w:val="21"/>
                <w:szCs w:val="21"/>
                <w:highlight w:val="none"/>
              </w:rPr>
              <w:t>措施</w:t>
            </w:r>
          </w:p>
        </w:tc>
        <w:tc>
          <w:tcPr>
            <w:tcW w:w="8169" w:type="dxa"/>
            <w:tcBorders>
              <w:top w:val="single" w:color="auto" w:sz="4" w:space="0"/>
              <w:left w:val="single" w:color="auto" w:sz="4" w:space="0"/>
              <w:bottom w:val="single" w:color="auto" w:sz="8" w:space="0"/>
              <w:right w:val="single" w:color="auto" w:sz="8" w:space="0"/>
              <w:tl2br w:val="nil"/>
              <w:tr2bl w:val="nil"/>
            </w:tcBorders>
            <w:vAlign w:val="center"/>
          </w:tcPr>
          <w:p>
            <w:pPr>
              <w:keepNext w:val="0"/>
              <w:keepLines w:val="0"/>
              <w:pageBreakBefore w:val="0"/>
              <w:widowControl w:val="0"/>
              <w:kinsoku/>
              <w:wordWrap/>
              <w:overflowPunct/>
              <w:topLinePunct w:val="0"/>
              <w:autoSpaceDE/>
              <w:autoSpaceDN/>
              <w:bidi w:val="0"/>
              <w:spacing w:line="480" w:lineRule="exact"/>
              <w:ind w:firstLine="482" w:firstLineChars="200"/>
              <w:textAlignment w:val="auto"/>
              <w:rPr>
                <w:rFonts w:hint="default" w:ascii="Times New Roman" w:hAnsi="Times New Roman" w:eastAsia="宋体" w:cs="Times New Roman"/>
                <w:b/>
                <w:bCs w:val="0"/>
                <w:sz w:val="24"/>
                <w:highlight w:val="none"/>
              </w:rPr>
            </w:pPr>
            <w:r>
              <w:rPr>
                <w:rFonts w:hint="default" w:ascii="Times New Roman" w:hAnsi="Times New Roman" w:eastAsia="宋体" w:cs="Times New Roman"/>
                <w:b/>
                <w:bCs w:val="0"/>
                <w:sz w:val="24"/>
                <w:highlight w:val="none"/>
              </w:rPr>
              <w:t>营运期环境影响分析：</w:t>
            </w:r>
          </w:p>
          <w:p>
            <w:pPr>
              <w:keepNext w:val="0"/>
              <w:keepLines w:val="0"/>
              <w:pageBreakBefore w:val="0"/>
              <w:widowControl w:val="0"/>
              <w:kinsoku/>
              <w:wordWrap/>
              <w:overflowPunct/>
              <w:topLinePunct w:val="0"/>
              <w:autoSpaceDE/>
              <w:autoSpaceDN/>
              <w:bidi w:val="0"/>
              <w:spacing w:line="480" w:lineRule="exact"/>
              <w:ind w:firstLine="480" w:firstLineChars="200"/>
              <w:textAlignment w:val="auto"/>
              <w:rPr>
                <w:rFonts w:hint="default" w:ascii="Times New Roman" w:hAnsi="Times New Roman" w:cs="Times New Roman"/>
                <w:sz w:val="24"/>
                <w:highlight w:val="none"/>
              </w:rPr>
            </w:pPr>
            <w:r>
              <w:rPr>
                <w:rFonts w:hint="default" w:ascii="Times New Roman" w:hAnsi="Times New Roman" w:cs="Times New Roman"/>
                <w:sz w:val="24"/>
                <w:highlight w:val="none"/>
              </w:rPr>
              <w:t>营运期环境影响分析主要从大气环境影响、声环境影响、水环境影响、固废环境影响及生态环影响方面进行分析。</w:t>
            </w:r>
          </w:p>
          <w:p>
            <w:pPr>
              <w:keepNext w:val="0"/>
              <w:keepLines w:val="0"/>
              <w:pageBreakBefore w:val="0"/>
              <w:widowControl w:val="0"/>
              <w:kinsoku/>
              <w:wordWrap/>
              <w:overflowPunct/>
              <w:topLinePunct w:val="0"/>
              <w:autoSpaceDE/>
              <w:autoSpaceDN/>
              <w:bidi w:val="0"/>
              <w:spacing w:line="480" w:lineRule="exact"/>
              <w:ind w:firstLine="482" w:firstLineChars="200"/>
              <w:textAlignment w:val="auto"/>
              <w:rPr>
                <w:rFonts w:hint="default" w:ascii="Times New Roman" w:hAnsi="Times New Roman" w:eastAsia="宋体" w:cs="Times New Roman"/>
                <w:b/>
                <w:bCs w:val="0"/>
                <w:sz w:val="24"/>
                <w:highlight w:val="none"/>
              </w:rPr>
            </w:pPr>
            <w:r>
              <w:rPr>
                <w:rFonts w:hint="default" w:ascii="Times New Roman" w:hAnsi="Times New Roman" w:eastAsia="宋体" w:cs="Times New Roman"/>
                <w:b/>
                <w:bCs w:val="0"/>
                <w:sz w:val="24"/>
                <w:highlight w:val="none"/>
              </w:rPr>
              <w:t>1、大气环境影响</w:t>
            </w:r>
          </w:p>
          <w:p>
            <w:pPr>
              <w:spacing w:line="440" w:lineRule="exact"/>
              <w:ind w:firstLine="470" w:firstLineChars="196"/>
              <w:rPr>
                <w:rFonts w:hint="default" w:ascii="Times New Roman" w:hAnsi="Times New Roman" w:cs="Times New Roman"/>
                <w:bCs/>
                <w:sz w:val="24"/>
                <w:szCs w:val="24"/>
                <w:highlight w:val="none"/>
              </w:rPr>
            </w:pPr>
            <w:r>
              <w:rPr>
                <w:rFonts w:hint="default" w:ascii="Times New Roman" w:hAnsi="Times New Roman" w:cs="Times New Roman"/>
                <w:bCs/>
                <w:sz w:val="24"/>
                <w:szCs w:val="24"/>
                <w:highlight w:val="none"/>
              </w:rPr>
              <w:t>本项目废气主要为运输过程产生的扬尘，</w:t>
            </w:r>
            <w:r>
              <w:rPr>
                <w:rFonts w:hint="default" w:ascii="Times New Roman" w:hAnsi="Times New Roman" w:cs="Times New Roman"/>
                <w:bCs/>
                <w:sz w:val="24"/>
                <w:szCs w:val="24"/>
                <w:highlight w:val="none"/>
                <w:lang w:val="en-US" w:eastAsia="zh-CN"/>
              </w:rPr>
              <w:t>粘合过程产生的有机废气和剪切过程中产生的金属粉尘</w:t>
            </w:r>
            <w:r>
              <w:rPr>
                <w:rFonts w:hint="default" w:ascii="Times New Roman" w:hAnsi="Times New Roman" w:cs="Times New Roman"/>
                <w:bCs/>
                <w:sz w:val="24"/>
                <w:szCs w:val="24"/>
                <w:highlight w:val="none"/>
              </w:rPr>
              <w:t>。</w:t>
            </w:r>
          </w:p>
          <w:p>
            <w:pPr>
              <w:spacing w:line="440" w:lineRule="exact"/>
              <w:ind w:firstLine="470" w:firstLineChars="196"/>
              <w:rPr>
                <w:rFonts w:hint="default" w:ascii="Times New Roman" w:hAnsi="Times New Roman" w:cs="Times New Roman"/>
                <w:bCs/>
                <w:sz w:val="24"/>
                <w:szCs w:val="24"/>
                <w:highlight w:val="none"/>
              </w:rPr>
            </w:pPr>
            <w:r>
              <w:rPr>
                <w:rFonts w:hint="default" w:ascii="Times New Roman" w:hAnsi="Times New Roman" w:cs="Times New Roman"/>
                <w:bCs/>
                <w:sz w:val="24"/>
                <w:szCs w:val="24"/>
                <w:highlight w:val="none"/>
              </w:rPr>
              <w:t>（1）运输扬尘</w:t>
            </w:r>
          </w:p>
          <w:p>
            <w:pPr>
              <w:spacing w:line="440" w:lineRule="exact"/>
              <w:ind w:firstLine="470" w:firstLineChars="196"/>
              <w:rPr>
                <w:rFonts w:hint="default" w:ascii="Times New Roman" w:hAnsi="Times New Roman" w:cs="Times New Roman"/>
                <w:bCs/>
                <w:sz w:val="24"/>
                <w:szCs w:val="24"/>
                <w:highlight w:val="none"/>
              </w:rPr>
            </w:pPr>
            <w:r>
              <w:rPr>
                <w:rFonts w:hint="default" w:ascii="Times New Roman" w:hAnsi="Times New Roman" w:cs="Times New Roman"/>
                <w:bCs/>
                <w:sz w:val="24"/>
                <w:szCs w:val="24"/>
                <w:highlight w:val="none"/>
                <w:lang w:val="en-US" w:eastAsia="zh-CN"/>
              </w:rPr>
              <w:t>彩钢复合板</w:t>
            </w:r>
            <w:r>
              <w:rPr>
                <w:rFonts w:hint="default" w:ascii="Times New Roman" w:hAnsi="Times New Roman" w:cs="Times New Roman"/>
                <w:bCs/>
                <w:sz w:val="24"/>
                <w:szCs w:val="24"/>
                <w:highlight w:val="none"/>
              </w:rPr>
              <w:t>运</w:t>
            </w:r>
            <w:r>
              <w:rPr>
                <w:rFonts w:hint="eastAsia" w:ascii="Times New Roman" w:hAnsi="Times New Roman" w:cs="Times New Roman"/>
                <w:bCs/>
                <w:sz w:val="24"/>
                <w:szCs w:val="24"/>
                <w:highlight w:val="none"/>
                <w:lang w:val="en-US" w:eastAsia="zh-CN"/>
              </w:rPr>
              <w:t>输</w:t>
            </w:r>
            <w:r>
              <w:rPr>
                <w:rFonts w:hint="default" w:ascii="Times New Roman" w:hAnsi="Times New Roman" w:cs="Times New Roman"/>
                <w:bCs/>
                <w:sz w:val="24"/>
                <w:szCs w:val="24"/>
                <w:highlight w:val="none"/>
              </w:rPr>
              <w:t>量约为</w:t>
            </w:r>
            <w:r>
              <w:rPr>
                <w:rFonts w:hint="eastAsia" w:ascii="Times New Roman" w:hAnsi="Times New Roman" w:cs="Times New Roman"/>
                <w:bCs/>
                <w:sz w:val="24"/>
                <w:szCs w:val="24"/>
                <w:highlight w:val="none"/>
                <w:lang w:val="en-US" w:eastAsia="zh-CN"/>
              </w:rPr>
              <w:t>274</w:t>
            </w:r>
            <w:r>
              <w:rPr>
                <w:rFonts w:hint="default" w:ascii="Times New Roman" w:hAnsi="Times New Roman" w:cs="Times New Roman"/>
                <w:bCs/>
                <w:sz w:val="24"/>
                <w:szCs w:val="24"/>
                <w:highlight w:val="none"/>
              </w:rPr>
              <w:t>t/a，用载重</w:t>
            </w:r>
            <w:r>
              <w:rPr>
                <w:rFonts w:hint="default" w:ascii="Times New Roman" w:hAnsi="Times New Roman" w:cs="Times New Roman"/>
                <w:bCs/>
                <w:sz w:val="24"/>
                <w:szCs w:val="24"/>
                <w:highlight w:val="none"/>
                <w:lang w:val="en-US" w:eastAsia="zh-CN"/>
              </w:rPr>
              <w:t>10</w:t>
            </w:r>
            <w:r>
              <w:rPr>
                <w:rFonts w:hint="default" w:ascii="Times New Roman" w:hAnsi="Times New Roman" w:cs="Times New Roman"/>
                <w:bCs/>
                <w:sz w:val="24"/>
                <w:szCs w:val="24"/>
                <w:highlight w:val="none"/>
              </w:rPr>
              <w:t>t/车。由于项目汽车运输</w:t>
            </w:r>
            <w:r>
              <w:rPr>
                <w:rFonts w:hint="default" w:ascii="Times New Roman" w:hAnsi="Times New Roman" w:cs="Times New Roman"/>
                <w:bCs/>
                <w:sz w:val="24"/>
                <w:szCs w:val="24"/>
                <w:highlight w:val="none"/>
                <w:lang w:eastAsia="zh-CN"/>
              </w:rPr>
              <w:t>，</w:t>
            </w:r>
            <w:r>
              <w:rPr>
                <w:rFonts w:hint="default" w:ascii="Times New Roman" w:hAnsi="Times New Roman" w:cs="Times New Roman"/>
                <w:bCs/>
                <w:sz w:val="24"/>
                <w:szCs w:val="24"/>
                <w:highlight w:val="none"/>
              </w:rPr>
              <w:t>引起周边道路扬尘量增加，影响到</w:t>
            </w:r>
            <w:r>
              <w:rPr>
                <w:rFonts w:hint="default" w:ascii="Times New Roman" w:hAnsi="Times New Roman" w:cs="Times New Roman"/>
                <w:bCs/>
                <w:sz w:val="24"/>
                <w:szCs w:val="24"/>
                <w:highlight w:val="none"/>
                <w:lang w:val="en-US" w:eastAsia="zh-CN"/>
              </w:rPr>
              <w:t>项目区</w:t>
            </w:r>
            <w:r>
              <w:rPr>
                <w:rFonts w:hint="default" w:ascii="Times New Roman" w:hAnsi="Times New Roman" w:cs="Times New Roman"/>
                <w:bCs/>
                <w:sz w:val="24"/>
                <w:szCs w:val="24"/>
                <w:highlight w:val="none"/>
              </w:rPr>
              <w:t>及周边的环境空气质量。本评价选取上海港环境保护中心和武汉水运工程学院提出的经验公式进行计算，公式如下：</w:t>
            </w:r>
          </w:p>
          <w:p>
            <w:pPr>
              <w:adjustRightInd w:val="0"/>
              <w:snapToGrid w:val="0"/>
              <w:spacing w:line="360" w:lineRule="auto"/>
              <w:jc w:val="center"/>
              <w:rPr>
                <w:rFonts w:hint="default" w:ascii="Times New Roman" w:hAnsi="Times New Roman" w:cs="Times New Roman"/>
                <w:highlight w:val="none"/>
              </w:rPr>
            </w:pPr>
            <w:r>
              <w:rPr>
                <w:rFonts w:hint="default" w:ascii="Times New Roman" w:hAnsi="Times New Roman" w:cs="Times New Roman"/>
                <w:highlight w:val="none"/>
              </w:rPr>
              <w:drawing>
                <wp:inline distT="0" distB="0" distL="114300" distR="114300">
                  <wp:extent cx="2371725" cy="400050"/>
                  <wp:effectExtent l="0" t="0" r="9525" b="0"/>
                  <wp:docPr id="5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
                          <pic:cNvPicPr>
                            <a:picLocks noChangeAspect="1"/>
                          </pic:cNvPicPr>
                        </pic:nvPicPr>
                        <pic:blipFill>
                          <a:blip r:embed="rId11">
                            <a:clrChange>
                              <a:clrFrom>
                                <a:srgbClr val="FFFFFF"/>
                              </a:clrFrom>
                              <a:clrTo>
                                <a:srgbClr val="FFFFFF">
                                  <a:alpha val="0"/>
                                </a:srgbClr>
                              </a:clrTo>
                            </a:clrChange>
                          </a:blip>
                          <a:stretch>
                            <a:fillRect/>
                          </a:stretch>
                        </pic:blipFill>
                        <pic:spPr>
                          <a:xfrm>
                            <a:off x="0" y="0"/>
                            <a:ext cx="2371725" cy="400050"/>
                          </a:xfrm>
                          <a:prstGeom prst="rect">
                            <a:avLst/>
                          </a:prstGeom>
                          <a:noFill/>
                          <a:ln>
                            <a:noFill/>
                          </a:ln>
                        </pic:spPr>
                      </pic:pic>
                    </a:graphicData>
                  </a:graphic>
                </wp:inline>
              </w:drawing>
            </w:r>
          </w:p>
          <w:p>
            <w:pPr>
              <w:adjustRightInd w:val="0"/>
              <w:snapToGrid w:val="0"/>
              <w:spacing w:line="360" w:lineRule="auto"/>
              <w:jc w:val="center"/>
              <w:rPr>
                <w:rFonts w:hint="default" w:ascii="Times New Roman" w:hAnsi="Times New Roman" w:cs="Times New Roman"/>
                <w:highlight w:val="none"/>
              </w:rPr>
            </w:pPr>
            <w:r>
              <w:rPr>
                <w:rFonts w:hint="default" w:ascii="Times New Roman" w:hAnsi="Times New Roman" w:cs="Times New Roman"/>
                <w:highlight w:val="none"/>
              </w:rPr>
              <w:drawing>
                <wp:inline distT="0" distB="0" distL="114300" distR="114300">
                  <wp:extent cx="1038225" cy="400050"/>
                  <wp:effectExtent l="0" t="0" r="9525" b="0"/>
                  <wp:docPr id="5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4"/>
                          <pic:cNvPicPr>
                            <a:picLocks noChangeAspect="1"/>
                          </pic:cNvPicPr>
                        </pic:nvPicPr>
                        <pic:blipFill>
                          <a:blip r:embed="rId12">
                            <a:clrChange>
                              <a:clrFrom>
                                <a:srgbClr val="FFFFFF"/>
                              </a:clrFrom>
                              <a:clrTo>
                                <a:srgbClr val="FFFFFF">
                                  <a:alpha val="0"/>
                                </a:srgbClr>
                              </a:clrTo>
                            </a:clrChange>
                          </a:blip>
                          <a:stretch>
                            <a:fillRect/>
                          </a:stretch>
                        </pic:blipFill>
                        <pic:spPr>
                          <a:xfrm>
                            <a:off x="0" y="0"/>
                            <a:ext cx="1038225" cy="400050"/>
                          </a:xfrm>
                          <a:prstGeom prst="rect">
                            <a:avLst/>
                          </a:prstGeom>
                          <a:noFill/>
                          <a:ln>
                            <a:noFill/>
                          </a:ln>
                        </pic:spPr>
                      </pic:pic>
                    </a:graphicData>
                  </a:graphic>
                </wp:inline>
              </w:drawing>
            </w:r>
          </w:p>
          <w:p>
            <w:pPr>
              <w:adjustRightInd w:val="0"/>
              <w:snapToGrid w:val="0"/>
              <w:spacing w:line="360" w:lineRule="auto"/>
              <w:ind w:firstLine="720" w:firstLineChars="300"/>
              <w:rPr>
                <w:rFonts w:hint="default" w:ascii="Times New Roman" w:hAnsi="Times New Roman" w:cs="Times New Roman"/>
                <w:iCs/>
                <w:sz w:val="24"/>
                <w:szCs w:val="24"/>
                <w:highlight w:val="none"/>
              </w:rPr>
            </w:pPr>
            <w:r>
              <w:rPr>
                <w:rFonts w:hint="default" w:ascii="Times New Roman" w:hAnsi="Times New Roman" w:cs="Times New Roman"/>
                <w:sz w:val="24"/>
                <w:szCs w:val="24"/>
                <w:highlight w:val="none"/>
              </w:rPr>
              <w:t>其中：</w:t>
            </w:r>
            <w:r>
              <w:rPr>
                <w:rFonts w:hint="default" w:ascii="Times New Roman" w:hAnsi="Times New Roman" w:cs="Times New Roman"/>
                <w:iCs/>
                <w:sz w:val="24"/>
                <w:szCs w:val="24"/>
                <w:highlight w:val="none"/>
              </w:rPr>
              <w:fldChar w:fldCharType="begin"/>
            </w:r>
            <w:r>
              <w:rPr>
                <w:rFonts w:hint="default" w:ascii="Times New Roman" w:hAnsi="Times New Roman" w:cs="Times New Roman"/>
                <w:iCs/>
                <w:sz w:val="24"/>
                <w:szCs w:val="24"/>
                <w:highlight w:val="none"/>
              </w:rPr>
              <w:instrText xml:space="preserve"> QUOTE </w:instrText>
            </w:r>
            <w:r>
              <w:rPr>
                <w:rFonts w:hint="default" w:ascii="Times New Roman" w:hAnsi="Times New Roman" w:cs="Times New Roman"/>
                <w:position w:val="-15"/>
                <w:sz w:val="24"/>
                <w:szCs w:val="24"/>
                <w:highlight w:val="none"/>
              </w:rPr>
              <w:pict>
                <v:shape id="_x0000_i1025" o:spt="75" type="#_x0000_t75" style="height:23.25pt;width:14.25pt;" filled="f" o:preferrelative="t" stroked="f" coordsize="21600,21600" equationxml="&lt;">
                  <v:path/>
                  <v:fill on="f" focussize="0,0"/>
                  <v:stroke on="f"/>
                  <v:imagedata r:id="rId13" chromakey="#FFFFFF" o:title=""/>
                  <o:lock v:ext="edit" aspectratio="t"/>
                  <w10:wrap type="none"/>
                  <w10:anchorlock/>
                </v:shape>
              </w:pict>
            </w:r>
            <w:r>
              <w:rPr>
                <w:rFonts w:hint="default" w:ascii="Times New Roman" w:hAnsi="Times New Roman" w:cs="Times New Roman"/>
                <w:iCs/>
                <w:sz w:val="24"/>
                <w:szCs w:val="24"/>
                <w:highlight w:val="none"/>
              </w:rPr>
              <w:instrText xml:space="preserve"> </w:instrText>
            </w:r>
            <w:r>
              <w:rPr>
                <w:rFonts w:hint="default" w:ascii="Times New Roman" w:hAnsi="Times New Roman" w:cs="Times New Roman"/>
                <w:iCs/>
                <w:sz w:val="24"/>
                <w:szCs w:val="24"/>
                <w:highlight w:val="none"/>
              </w:rPr>
              <w:fldChar w:fldCharType="separate"/>
            </w:r>
            <w:r>
              <w:rPr>
                <w:rFonts w:hint="default" w:ascii="Times New Roman" w:hAnsi="Times New Roman" w:cs="Times New Roman"/>
                <w:position w:val="-15"/>
                <w:sz w:val="24"/>
                <w:szCs w:val="24"/>
                <w:highlight w:val="none"/>
              </w:rPr>
              <w:pict>
                <v:shape id="_x0000_i1026" o:spt="75" type="#_x0000_t75" style="height:23.25pt;width:14.25pt;" filled="f" o:preferrelative="t" stroked="f" coordsize="21600,21600" equationxml="&lt;">
                  <v:path/>
                  <v:fill on="f" focussize="0,0"/>
                  <v:stroke on="f"/>
                  <v:imagedata r:id="rId13" chromakey="#FFFFFF" o:title=""/>
                  <o:lock v:ext="edit" aspectratio="t"/>
                  <w10:wrap type="none"/>
                  <w10:anchorlock/>
                </v:shape>
              </w:pict>
            </w:r>
            <w:r>
              <w:rPr>
                <w:rFonts w:hint="default" w:ascii="Times New Roman" w:hAnsi="Times New Roman" w:cs="Times New Roman"/>
                <w:iCs/>
                <w:sz w:val="24"/>
                <w:szCs w:val="24"/>
                <w:highlight w:val="none"/>
              </w:rPr>
              <w:fldChar w:fldCharType="end"/>
            </w:r>
            <w:r>
              <w:rPr>
                <w:rFonts w:hint="default" w:ascii="Times New Roman" w:hAnsi="Times New Roman" w:cs="Times New Roman"/>
                <w:iCs/>
                <w:sz w:val="24"/>
                <w:szCs w:val="24"/>
                <w:highlight w:val="none"/>
              </w:rPr>
              <w:t>——道路扬尘量，（kg/km·辆）；</w:t>
            </w:r>
          </w:p>
          <w:p>
            <w:pPr>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fldChar w:fldCharType="begin"/>
            </w:r>
            <w:r>
              <w:rPr>
                <w:rFonts w:hint="default" w:ascii="Times New Roman" w:hAnsi="Times New Roman" w:cs="Times New Roman"/>
                <w:iCs/>
                <w:sz w:val="24"/>
                <w:szCs w:val="24"/>
                <w:highlight w:val="none"/>
              </w:rPr>
              <w:instrText xml:space="preserve"> QUOTE </w:instrText>
            </w:r>
            <w:r>
              <w:rPr>
                <w:rFonts w:hint="default" w:ascii="Times New Roman" w:hAnsi="Times New Roman" w:cs="Times New Roman"/>
                <w:position w:val="-17"/>
                <w:sz w:val="24"/>
                <w:szCs w:val="24"/>
                <w:highlight w:val="none"/>
              </w:rPr>
              <w:pict>
                <v:shape id="_x0000_i1027" o:spt="75" type="#_x0000_t75" style="height:23.25pt;width:17.25pt;" filled="f" o:preferrelative="t" stroked="f" coordsize="21600,21600" equationxml="&lt;">
                  <v:path/>
                  <v:fill on="f" focussize="0,0"/>
                  <v:stroke on="f"/>
                  <v:imagedata r:id="rId14" chromakey="#FFFFFF" o:title=""/>
                  <o:lock v:ext="edit" aspectratio="t"/>
                  <w10:wrap type="none"/>
                  <w10:anchorlock/>
                </v:shape>
              </w:pict>
            </w:r>
            <w:r>
              <w:rPr>
                <w:rFonts w:hint="default" w:ascii="Times New Roman" w:hAnsi="Times New Roman" w:cs="Times New Roman"/>
                <w:iCs/>
                <w:sz w:val="24"/>
                <w:szCs w:val="24"/>
                <w:highlight w:val="none"/>
              </w:rPr>
              <w:instrText xml:space="preserve"> </w:instrText>
            </w:r>
            <w:r>
              <w:rPr>
                <w:rFonts w:hint="default" w:ascii="Times New Roman" w:hAnsi="Times New Roman" w:cs="Times New Roman"/>
                <w:iCs/>
                <w:sz w:val="24"/>
                <w:szCs w:val="24"/>
                <w:highlight w:val="none"/>
              </w:rPr>
              <w:fldChar w:fldCharType="separate"/>
            </w:r>
            <w:r>
              <w:rPr>
                <w:rFonts w:hint="default" w:ascii="Times New Roman" w:hAnsi="Times New Roman" w:cs="Times New Roman"/>
                <w:position w:val="-17"/>
                <w:sz w:val="24"/>
                <w:szCs w:val="24"/>
                <w:highlight w:val="none"/>
              </w:rPr>
              <w:pict>
                <v:shape id="_x0000_i1028" o:spt="75" type="#_x0000_t75" style="height:23.25pt;width:17.25pt;" filled="f" o:preferrelative="t" stroked="f" coordsize="21600,21600" equationxml="&lt;">
                  <v:path/>
                  <v:fill on="f" focussize="0,0"/>
                  <v:stroke on="f"/>
                  <v:imagedata r:id="rId14" chromakey="#FFFFFF" o:title=""/>
                  <o:lock v:ext="edit" aspectratio="t"/>
                  <w10:wrap type="none"/>
                  <w10:anchorlock/>
                </v:shape>
              </w:pict>
            </w:r>
            <w:r>
              <w:rPr>
                <w:rFonts w:hint="default" w:ascii="Times New Roman" w:hAnsi="Times New Roman" w:cs="Times New Roman"/>
                <w:iCs/>
                <w:sz w:val="24"/>
                <w:szCs w:val="24"/>
                <w:highlight w:val="none"/>
              </w:rPr>
              <w:fldChar w:fldCharType="end"/>
            </w:r>
            <w:r>
              <w:rPr>
                <w:rFonts w:hint="default" w:ascii="Times New Roman" w:hAnsi="Times New Roman" w:cs="Times New Roman"/>
                <w:iCs/>
                <w:sz w:val="24"/>
                <w:szCs w:val="24"/>
                <w:highlight w:val="none"/>
              </w:rPr>
              <w:t>——总扬尘量，（kg/a）；</w:t>
            </w:r>
          </w:p>
          <w:p>
            <w:pPr>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t>V——车辆速度，10km/h；</w:t>
            </w:r>
          </w:p>
          <w:p>
            <w:pPr>
              <w:tabs>
                <w:tab w:val="right" w:pos="8663"/>
              </w:tabs>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t>M——车辆载重，</w:t>
            </w:r>
            <w:r>
              <w:rPr>
                <w:rFonts w:hint="default" w:ascii="Times New Roman" w:hAnsi="Times New Roman" w:cs="Times New Roman"/>
                <w:iCs/>
                <w:sz w:val="24"/>
                <w:szCs w:val="24"/>
                <w:highlight w:val="none"/>
                <w:lang w:val="en-US" w:eastAsia="zh-CN"/>
              </w:rPr>
              <w:t>10</w:t>
            </w:r>
            <w:r>
              <w:rPr>
                <w:rFonts w:hint="default" w:ascii="Times New Roman" w:hAnsi="Times New Roman" w:cs="Times New Roman"/>
                <w:iCs/>
                <w:sz w:val="24"/>
                <w:szCs w:val="24"/>
                <w:highlight w:val="none"/>
              </w:rPr>
              <w:t>t/辆；</w:t>
            </w:r>
          </w:p>
          <w:p>
            <w:pPr>
              <w:tabs>
                <w:tab w:val="right" w:pos="8663"/>
              </w:tabs>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t>P——路面灰尘覆盖率，取0.3kg/m</w:t>
            </w:r>
            <w:r>
              <w:rPr>
                <w:rFonts w:hint="default" w:ascii="Times New Roman" w:hAnsi="Times New Roman" w:cs="Times New Roman"/>
                <w:iCs/>
                <w:sz w:val="24"/>
                <w:szCs w:val="24"/>
                <w:highlight w:val="none"/>
                <w:vertAlign w:val="superscript"/>
              </w:rPr>
              <w:t>2</w:t>
            </w:r>
            <w:r>
              <w:rPr>
                <w:rFonts w:hint="default" w:ascii="Times New Roman" w:hAnsi="Times New Roman" w:cs="Times New Roman"/>
                <w:iCs/>
                <w:sz w:val="24"/>
                <w:szCs w:val="24"/>
                <w:highlight w:val="none"/>
              </w:rPr>
              <w:t>；</w:t>
            </w:r>
          </w:p>
          <w:p>
            <w:pPr>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t>L——运距，km，本项目取0.1km；</w:t>
            </w:r>
          </w:p>
          <w:p>
            <w:pPr>
              <w:adjustRightInd w:val="0"/>
              <w:snapToGrid w:val="0"/>
              <w:spacing w:line="360" w:lineRule="auto"/>
              <w:ind w:firstLine="1440" w:firstLineChars="600"/>
              <w:rPr>
                <w:rFonts w:hint="default" w:ascii="Times New Roman" w:hAnsi="Times New Roman" w:cs="Times New Roman"/>
                <w:iCs/>
                <w:sz w:val="24"/>
                <w:szCs w:val="24"/>
                <w:highlight w:val="none"/>
              </w:rPr>
            </w:pPr>
            <w:r>
              <w:rPr>
                <w:rFonts w:hint="default" w:ascii="Times New Roman" w:hAnsi="Times New Roman" w:cs="Times New Roman"/>
                <w:iCs/>
                <w:sz w:val="24"/>
                <w:szCs w:val="24"/>
                <w:highlight w:val="none"/>
              </w:rPr>
              <w:t>Q——运输量，</w:t>
            </w:r>
            <w:r>
              <w:rPr>
                <w:rFonts w:hint="eastAsia" w:ascii="Times New Roman" w:hAnsi="Times New Roman" w:cs="Times New Roman"/>
                <w:iCs/>
                <w:sz w:val="24"/>
                <w:szCs w:val="24"/>
                <w:highlight w:val="none"/>
                <w:lang w:val="en-US" w:eastAsia="zh-CN"/>
              </w:rPr>
              <w:t>274</w:t>
            </w:r>
            <w:r>
              <w:rPr>
                <w:rFonts w:hint="default" w:ascii="Times New Roman" w:hAnsi="Times New Roman" w:cs="Times New Roman"/>
                <w:iCs/>
                <w:sz w:val="24"/>
                <w:szCs w:val="24"/>
                <w:highlight w:val="none"/>
              </w:rPr>
              <w:t>t/a。</w:t>
            </w:r>
          </w:p>
          <w:p>
            <w:pPr>
              <w:spacing w:before="78" w:beforeLines="25" w:line="480" w:lineRule="exact"/>
              <w:ind w:firstLine="561"/>
              <w:rPr>
                <w:rFonts w:hint="default" w:ascii="Times New Roman" w:hAnsi="Times New Roman" w:cs="Times New Roman"/>
                <w:sz w:val="24"/>
                <w:highlight w:val="none"/>
              </w:rPr>
            </w:pPr>
            <w:r>
              <w:rPr>
                <w:rFonts w:hint="default" w:ascii="Times New Roman" w:hAnsi="Times New Roman" w:cs="Times New Roman"/>
                <w:sz w:val="24"/>
                <w:highlight w:val="none"/>
              </w:rPr>
              <w:t>表</w:t>
            </w:r>
            <w:r>
              <w:rPr>
                <w:rFonts w:hint="default" w:ascii="Times New Roman" w:hAnsi="Times New Roman" w:cs="Times New Roman"/>
                <w:sz w:val="24"/>
                <w:highlight w:val="none"/>
                <w:lang w:val="en-US" w:eastAsia="zh-CN"/>
              </w:rPr>
              <w:t>2</w:t>
            </w:r>
            <w:r>
              <w:rPr>
                <w:rFonts w:hint="eastAsia" w:ascii="Times New Roman" w:hAnsi="Times New Roman" w:cs="Times New Roman"/>
                <w:sz w:val="24"/>
                <w:highlight w:val="none"/>
                <w:lang w:val="en-US" w:eastAsia="zh-CN"/>
              </w:rPr>
              <w:t>6</w:t>
            </w:r>
            <w:r>
              <w:rPr>
                <w:rFonts w:hint="default" w:ascii="Times New Roman" w:hAnsi="Times New Roman" w:cs="Times New Roman"/>
                <w:sz w:val="24"/>
                <w:highlight w:val="none"/>
              </w:rPr>
              <w:t>为一辆载重10t的卡车，通过一段长度为1km的路面时，不同路面清洁程度，不同行驶速度情况下的扬尘量。由此可见，在同样路面清洁程度条件下，车速越快，扬尘量越大；而在同样车速情况下，路面越脏，则扬尘量越大。因此限速行驶和保持路面清洁是减少汽车扬尘的有效手段。</w:t>
            </w:r>
          </w:p>
          <w:p>
            <w:pPr>
              <w:spacing w:before="78" w:beforeLines="25" w:line="400" w:lineRule="exact"/>
              <w:ind w:left="0" w:leftChars="0" w:right="0" w:rightChars="0" w:firstLine="0" w:firstLineChars="0"/>
              <w:jc w:val="center"/>
              <w:rPr>
                <w:rFonts w:hint="default" w:ascii="Times New Roman" w:hAnsi="Times New Roman" w:cs="Times New Roman"/>
                <w:b/>
                <w:sz w:val="24"/>
                <w:highlight w:val="none"/>
              </w:rPr>
            </w:pPr>
            <w:r>
              <w:rPr>
                <w:rFonts w:hint="default" w:ascii="Times New Roman" w:hAnsi="Times New Roman" w:cs="Times New Roman"/>
                <w:b/>
                <w:sz w:val="24"/>
                <w:highlight w:val="none"/>
              </w:rPr>
              <w:t>表</w:t>
            </w:r>
            <w:r>
              <w:rPr>
                <w:rFonts w:hint="eastAsia" w:ascii="Times New Roman" w:hAnsi="Times New Roman" w:cs="Times New Roman"/>
                <w:b/>
                <w:sz w:val="24"/>
                <w:highlight w:val="none"/>
                <w:lang w:val="en-US" w:eastAsia="zh-CN"/>
              </w:rPr>
              <w:t>11</w:t>
            </w:r>
            <w:r>
              <w:rPr>
                <w:rFonts w:hint="default" w:ascii="Times New Roman" w:hAnsi="Times New Roman" w:cs="Times New Roman"/>
                <w:b/>
                <w:sz w:val="24"/>
                <w:highlight w:val="none"/>
              </w:rPr>
              <w:t xml:space="preserve">   在不同车速和路面清洁程度的汽车扬尘    单位：kg/km</w:t>
            </w:r>
            <w:r>
              <w:rPr>
                <w:rFonts w:hint="default" w:ascii="Times New Roman" w:hAnsi="Times New Roman" w:cs="Times New Roman"/>
                <w:b/>
                <w:sz w:val="24"/>
                <w:highlight w:val="none"/>
                <w:vertAlign w:val="superscript"/>
              </w:rPr>
              <w:t>.</w:t>
            </w:r>
            <w:r>
              <w:rPr>
                <w:rFonts w:hint="default" w:ascii="Times New Roman" w:hAnsi="Times New Roman" w:cs="Times New Roman"/>
                <w:b/>
                <w:sz w:val="24"/>
                <w:highlight w:val="none"/>
              </w:rPr>
              <w:t>辆</w:t>
            </w:r>
          </w:p>
          <w:tbl>
            <w:tblPr>
              <w:tblStyle w:val="21"/>
              <w:tblW w:w="8056" w:type="dxa"/>
              <w:jc w:val="center"/>
              <w:tblBorders>
                <w:top w:val="single" w:color="auto" w:sz="4" w:space="0"/>
                <w:left w:val="none" w:color="auto" w:sz="0" w:space="0"/>
                <w:bottom w:val="single" w:color="auto" w:sz="4"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136"/>
              <w:gridCol w:w="1153"/>
              <w:gridCol w:w="1153"/>
              <w:gridCol w:w="1153"/>
              <w:gridCol w:w="1153"/>
              <w:gridCol w:w="1154"/>
              <w:gridCol w:w="1154"/>
            </w:tblGrid>
            <w:tr>
              <w:tblPrEx>
                <w:tblBorders>
                  <w:top w:val="single" w:color="auto" w:sz="4" w:space="0"/>
                  <w:left w:val="none" w:color="auto" w:sz="0" w:space="0"/>
                  <w:bottom w:val="single" w:color="auto" w:sz="4"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787" w:hRule="atLeast"/>
                <w:jc w:val="center"/>
              </w:trPr>
              <w:tc>
                <w:tcPr>
                  <w:tcW w:w="1136" w:type="dxa"/>
                  <w:tcBorders>
                    <w:left w:val="single" w:color="auto" w:sz="6" w:space="0"/>
                    <w:bottom w:val="single" w:color="auto" w:sz="6" w:space="0"/>
                    <w:right w:val="single" w:color="auto" w:sz="6" w:space="0"/>
                    <w:tl2br w:val="single" w:color="auto" w:sz="4"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P</w:t>
                  </w:r>
                </w:p>
                <w:p>
                  <w:pPr>
                    <w:pStyle w:val="12"/>
                    <w:spacing w:line="400" w:lineRule="exact"/>
                    <w:ind w:left="0" w:leftChars="0" w:firstLine="0" w:firstLineChars="0"/>
                    <w:jc w:val="left"/>
                    <w:rPr>
                      <w:rFonts w:hint="eastAsia" w:ascii="Times New Roman" w:hAnsi="Times New Roman" w:eastAsia="宋体" w:cs="Times New Roman"/>
                      <w:sz w:val="21"/>
                      <w:szCs w:val="21"/>
                      <w:highlight w:val="none"/>
                      <w:lang w:eastAsia="zh-CN"/>
                    </w:rPr>
                  </w:pPr>
                  <w:r>
                    <w:rPr>
                      <w:rFonts w:hint="eastAsia" w:ascii="Times New Roman" w:hAnsi="Times New Roman" w:cs="Times New Roman"/>
                      <w:sz w:val="21"/>
                      <w:szCs w:val="21"/>
                      <w:highlight w:val="none"/>
                      <w:lang w:eastAsia="zh-CN"/>
                    </w:rPr>
                    <w:t>车速</w:t>
                  </w:r>
                </w:p>
              </w:tc>
              <w:tc>
                <w:tcPr>
                  <w:tcW w:w="1153"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0.1（kg/m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c>
                <w:tcPr>
                  <w:tcW w:w="1153"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0.2（kg/m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c>
                <w:tcPr>
                  <w:tcW w:w="1153"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0.3（kg/m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c>
                <w:tcPr>
                  <w:tcW w:w="1153"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0.4（kg/m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c>
                <w:tcPr>
                  <w:tcW w:w="1154"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0.5（kg/m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c>
                <w:tcPr>
                  <w:tcW w:w="1154" w:type="dxa"/>
                  <w:tcBorders>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1.0（kg/m</w:t>
                  </w:r>
                  <w:r>
                    <w:rPr>
                      <w:rFonts w:hint="default" w:ascii="Times New Roman" w:hAnsi="Times New Roman" w:cs="Times New Roman"/>
                      <w:sz w:val="21"/>
                      <w:szCs w:val="21"/>
                      <w:highlight w:val="none"/>
                      <w:vertAlign w:val="superscript"/>
                    </w:rPr>
                    <w:t>2</w:t>
                  </w:r>
                  <w:r>
                    <w:rPr>
                      <w:rFonts w:hint="default" w:ascii="Times New Roman" w:hAnsi="Times New Roman" w:cs="Times New Roman"/>
                      <w:sz w:val="21"/>
                      <w:szCs w:val="21"/>
                      <w:highlight w:val="none"/>
                    </w:rPr>
                    <w:t>）</w:t>
                  </w:r>
                </w:p>
              </w:tc>
            </w:tr>
            <w:tr>
              <w:tblPrEx>
                <w:tblBorders>
                  <w:top w:val="single" w:color="auto" w:sz="4" w:space="0"/>
                  <w:left w:val="none" w:color="auto" w:sz="0" w:space="0"/>
                  <w:bottom w:val="single" w:color="auto" w:sz="4"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136" w:type="dxa"/>
                  <w:tcBorders>
                    <w:top w:val="single" w:color="auto" w:sz="6" w:space="0"/>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5</w:t>
                  </w:r>
                  <w:r>
                    <w:rPr>
                      <w:rFonts w:hint="default" w:ascii="Times New Roman" w:hAnsi="Times New Roman" w:eastAsia="仿宋_GB2312" w:cs="Times New Roman"/>
                      <w:sz w:val="21"/>
                      <w:szCs w:val="21"/>
                      <w:highlight w:val="none"/>
                    </w:rPr>
                    <w:t>（km/h）</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0.051056</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0.085865</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0.116382</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0.144408</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0.170715</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0.287108</w:t>
                  </w:r>
                </w:p>
              </w:tc>
            </w:tr>
            <w:tr>
              <w:tblPrEx>
                <w:tblBorders>
                  <w:top w:val="single" w:color="auto" w:sz="4" w:space="0"/>
                  <w:left w:val="none" w:color="auto" w:sz="0" w:space="0"/>
                  <w:bottom w:val="single" w:color="auto" w:sz="4"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136" w:type="dxa"/>
                  <w:tcBorders>
                    <w:top w:val="single" w:color="auto" w:sz="6" w:space="0"/>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10</w:t>
                  </w:r>
                  <w:r>
                    <w:rPr>
                      <w:rFonts w:hint="default" w:ascii="Times New Roman" w:hAnsi="Times New Roman" w:eastAsia="仿宋_GB2312" w:cs="Times New Roman"/>
                      <w:sz w:val="21"/>
                      <w:szCs w:val="21"/>
                      <w:highlight w:val="none"/>
                    </w:rPr>
                    <w:t>（km/h）</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0.102112</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0.171731</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0.232764</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0.288815</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0.341431</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0.574216</w:t>
                  </w:r>
                </w:p>
              </w:tc>
            </w:tr>
            <w:tr>
              <w:tblPrEx>
                <w:tblBorders>
                  <w:top w:val="single" w:color="auto" w:sz="4" w:space="0"/>
                  <w:left w:val="none" w:color="auto" w:sz="0" w:space="0"/>
                  <w:bottom w:val="single" w:color="auto" w:sz="4"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136" w:type="dxa"/>
                  <w:tcBorders>
                    <w:top w:val="single" w:color="auto" w:sz="6" w:space="0"/>
                    <w:left w:val="single" w:color="auto" w:sz="6" w:space="0"/>
                    <w:bottom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15</w:t>
                  </w:r>
                  <w:r>
                    <w:rPr>
                      <w:rFonts w:hint="default" w:ascii="Times New Roman" w:hAnsi="Times New Roman" w:eastAsia="仿宋_GB2312" w:cs="Times New Roman"/>
                      <w:sz w:val="21"/>
                      <w:szCs w:val="21"/>
                      <w:highlight w:val="none"/>
                    </w:rPr>
                    <w:t>（km/h）</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0.153167</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0.257596</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0.349146</w:t>
                  </w:r>
                </w:p>
              </w:tc>
              <w:tc>
                <w:tcPr>
                  <w:tcW w:w="1153"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0.433223</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0.512146</w:t>
                  </w:r>
                </w:p>
              </w:tc>
              <w:tc>
                <w:tcPr>
                  <w:tcW w:w="1154" w:type="dxa"/>
                  <w:tcBorders>
                    <w:top w:val="single" w:color="auto" w:sz="6" w:space="0"/>
                    <w:left w:val="single" w:color="auto" w:sz="6" w:space="0"/>
                    <w:bottom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0.861323</w:t>
                  </w:r>
                </w:p>
              </w:tc>
            </w:tr>
            <w:tr>
              <w:tblPrEx>
                <w:tblBorders>
                  <w:top w:val="single" w:color="auto" w:sz="4" w:space="0"/>
                  <w:left w:val="none" w:color="auto" w:sz="0" w:space="0"/>
                  <w:bottom w:val="single" w:color="auto" w:sz="4"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37" w:hRule="atLeast"/>
                <w:jc w:val="center"/>
              </w:trPr>
              <w:tc>
                <w:tcPr>
                  <w:tcW w:w="1136" w:type="dxa"/>
                  <w:tcBorders>
                    <w:top w:val="single" w:color="auto" w:sz="6" w:space="0"/>
                    <w:left w:val="single" w:color="auto" w:sz="6" w:space="0"/>
                    <w:right w:val="single" w:color="auto" w:sz="6" w:space="0"/>
                  </w:tcBorders>
                  <w:noWrap w:val="0"/>
                  <w:vAlign w:val="center"/>
                </w:tcPr>
                <w:p>
                  <w:pPr>
                    <w:pStyle w:val="12"/>
                    <w:spacing w:line="400" w:lineRule="exact"/>
                    <w:ind w:left="-2" w:firstLine="0" w:firstLineChars="0"/>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25</w:t>
                  </w:r>
                  <w:r>
                    <w:rPr>
                      <w:rFonts w:hint="default" w:ascii="Times New Roman" w:hAnsi="Times New Roman" w:eastAsia="仿宋_GB2312" w:cs="Times New Roman"/>
                      <w:sz w:val="21"/>
                      <w:szCs w:val="21"/>
                      <w:highlight w:val="none"/>
                    </w:rPr>
                    <w:t>（km/h）</w:t>
                  </w:r>
                </w:p>
              </w:tc>
              <w:tc>
                <w:tcPr>
                  <w:tcW w:w="1153"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0.255279</w:t>
                  </w:r>
                </w:p>
              </w:tc>
              <w:tc>
                <w:tcPr>
                  <w:tcW w:w="1153"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0.429326</w:t>
                  </w:r>
                </w:p>
              </w:tc>
              <w:tc>
                <w:tcPr>
                  <w:tcW w:w="1153"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0.581910</w:t>
                  </w:r>
                </w:p>
              </w:tc>
              <w:tc>
                <w:tcPr>
                  <w:tcW w:w="1153"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0.722038</w:t>
                  </w:r>
                </w:p>
              </w:tc>
              <w:tc>
                <w:tcPr>
                  <w:tcW w:w="1154"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0.853577</w:t>
                  </w:r>
                </w:p>
              </w:tc>
              <w:tc>
                <w:tcPr>
                  <w:tcW w:w="1154" w:type="dxa"/>
                  <w:tcBorders>
                    <w:top w:val="single" w:color="auto" w:sz="6" w:space="0"/>
                    <w:left w:val="single" w:color="auto" w:sz="6" w:space="0"/>
                    <w:right w:val="single" w:color="auto" w:sz="6" w:space="0"/>
                  </w:tcBorders>
                  <w:noWrap w:val="0"/>
                  <w:vAlign w:val="center"/>
                </w:tcPr>
                <w:p>
                  <w:pPr>
                    <w:spacing w:line="400" w:lineRule="exact"/>
                    <w:jc w:val="center"/>
                    <w:rPr>
                      <w:rFonts w:hint="default" w:ascii="Times New Roman" w:hAnsi="Times New Roman" w:eastAsia="仿宋_GB2312" w:cs="Times New Roman"/>
                      <w:sz w:val="21"/>
                      <w:szCs w:val="21"/>
                      <w:highlight w:val="none"/>
                    </w:rPr>
                  </w:pPr>
                  <w:r>
                    <w:rPr>
                      <w:rFonts w:hint="default" w:ascii="Times New Roman" w:hAnsi="Times New Roman" w:eastAsia="仿宋_GB2312" w:cs="Times New Roman"/>
                      <w:sz w:val="21"/>
                      <w:szCs w:val="21"/>
                      <w:highlight w:val="none"/>
                    </w:rPr>
                    <w:t>1.435339</w:t>
                  </w:r>
                </w:p>
              </w:tc>
            </w:tr>
          </w:tbl>
          <w:p>
            <w:pPr>
              <w:pStyle w:val="12"/>
              <w:spacing w:before="78" w:beforeLines="25" w:line="480" w:lineRule="exact"/>
              <w:ind w:firstLine="480"/>
              <w:rPr>
                <w:rFonts w:hint="default" w:ascii="Times New Roman" w:hAnsi="Times New Roman" w:cs="Times New Roman"/>
                <w:color w:val="auto"/>
                <w:sz w:val="24"/>
                <w:highlight w:val="none"/>
              </w:rPr>
            </w:pPr>
            <w:r>
              <w:rPr>
                <w:rFonts w:hint="default" w:ascii="Times New Roman" w:hAnsi="Times New Roman" w:cs="Times New Roman"/>
                <w:sz w:val="24"/>
                <w:highlight w:val="none"/>
              </w:rPr>
              <w:t>本项目车辆在厂区内行驶距离按</w:t>
            </w:r>
            <w:r>
              <w:rPr>
                <w:rFonts w:hint="default" w:ascii="Times New Roman" w:hAnsi="Times New Roman" w:cs="Times New Roman"/>
                <w:sz w:val="24"/>
                <w:highlight w:val="none"/>
                <w:lang w:val="en-US" w:eastAsia="zh-CN"/>
              </w:rPr>
              <w:t>50</w:t>
            </w:r>
            <w:r>
              <w:rPr>
                <w:rFonts w:hint="default" w:ascii="Times New Roman" w:hAnsi="Times New Roman" w:cs="Times New Roman"/>
                <w:sz w:val="24"/>
                <w:highlight w:val="none"/>
              </w:rPr>
              <w:t>m计，平均每天发车空、重载各</w:t>
            </w:r>
            <w:r>
              <w:rPr>
                <w:rFonts w:hint="default" w:ascii="Times New Roman" w:hAnsi="Times New Roman" w:cs="Times New Roman"/>
                <w:sz w:val="24"/>
                <w:highlight w:val="none"/>
                <w:lang w:val="en-US" w:eastAsia="zh-CN"/>
              </w:rPr>
              <w:t>1</w:t>
            </w:r>
            <w:r>
              <w:rPr>
                <w:rFonts w:hint="default" w:ascii="Times New Roman" w:hAnsi="Times New Roman" w:cs="Times New Roman"/>
                <w:sz w:val="24"/>
                <w:highlight w:val="none"/>
              </w:rPr>
              <w:t>次，空车重约10t，均以速度</w:t>
            </w:r>
            <w:r>
              <w:rPr>
                <w:rFonts w:hint="default" w:ascii="Times New Roman" w:hAnsi="Times New Roman" w:cs="Times New Roman"/>
                <w:sz w:val="24"/>
                <w:highlight w:val="none"/>
                <w:lang w:val="en-US" w:eastAsia="zh-CN"/>
              </w:rPr>
              <w:t>10</w:t>
            </w:r>
            <w:r>
              <w:rPr>
                <w:rFonts w:hint="default" w:ascii="Times New Roman" w:hAnsi="Times New Roman" w:cs="Times New Roman"/>
                <w:sz w:val="24"/>
                <w:highlight w:val="none"/>
              </w:rPr>
              <w:t>km/h行驶，道路路况以0.</w:t>
            </w:r>
            <w:r>
              <w:rPr>
                <w:rFonts w:hint="default" w:ascii="Times New Roman" w:hAnsi="Times New Roman" w:cs="Times New Roman"/>
                <w:sz w:val="24"/>
                <w:highlight w:val="none"/>
                <w:lang w:val="en-US" w:eastAsia="zh-CN"/>
              </w:rPr>
              <w:t>3</w:t>
            </w:r>
            <w:r>
              <w:rPr>
                <w:rFonts w:hint="default" w:ascii="Times New Roman" w:hAnsi="Times New Roman" w:cs="Times New Roman"/>
                <w:sz w:val="24"/>
                <w:highlight w:val="none"/>
              </w:rPr>
              <w:t>kg/m</w:t>
            </w:r>
            <w:r>
              <w:rPr>
                <w:rFonts w:hint="default" w:ascii="Times New Roman" w:hAnsi="Times New Roman" w:cs="Times New Roman"/>
                <w:sz w:val="24"/>
                <w:highlight w:val="none"/>
                <w:vertAlign w:val="superscript"/>
              </w:rPr>
              <w:t>2</w:t>
            </w:r>
            <w:r>
              <w:rPr>
                <w:rFonts w:hint="default" w:ascii="Times New Roman" w:hAnsi="Times New Roman" w:cs="Times New Roman"/>
                <w:sz w:val="24"/>
                <w:highlight w:val="none"/>
              </w:rPr>
              <w:t>计，则经计算，项目汽车动力起尘量为0.</w:t>
            </w:r>
            <w:r>
              <w:rPr>
                <w:rFonts w:hint="default" w:ascii="Times New Roman" w:hAnsi="Times New Roman" w:cs="Times New Roman"/>
                <w:sz w:val="24"/>
                <w:highlight w:val="none"/>
                <w:lang w:val="en-US" w:eastAsia="zh-CN"/>
              </w:rPr>
              <w:t>0001</w:t>
            </w:r>
            <w:r>
              <w:rPr>
                <w:rFonts w:hint="eastAsia" w:ascii="Times New Roman" w:hAnsi="Times New Roman" w:cs="Times New Roman"/>
                <w:sz w:val="24"/>
                <w:highlight w:val="none"/>
                <w:lang w:val="en-US" w:eastAsia="zh-CN"/>
              </w:rPr>
              <w:t>7</w:t>
            </w:r>
            <w:r>
              <w:rPr>
                <w:rFonts w:hint="default" w:ascii="Times New Roman" w:hAnsi="Times New Roman" w:cs="Times New Roman"/>
                <w:sz w:val="24"/>
                <w:highlight w:val="none"/>
              </w:rPr>
              <w:t>t/a</w:t>
            </w:r>
            <w:r>
              <w:rPr>
                <w:rFonts w:hint="default" w:ascii="Times New Roman" w:hAnsi="Times New Roman" w:cs="Times New Roman"/>
                <w:sz w:val="24"/>
                <w:highlight w:val="none"/>
                <w:lang w:eastAsia="zh-CN"/>
              </w:rPr>
              <w:t>，</w:t>
            </w:r>
            <w:r>
              <w:rPr>
                <w:rFonts w:hint="default" w:ascii="Times New Roman" w:hAnsi="Times New Roman" w:cs="Times New Roman"/>
                <w:color w:val="auto"/>
                <w:sz w:val="24"/>
                <w:highlight w:val="none"/>
                <w:lang w:val="en-US" w:eastAsia="zh-CN"/>
              </w:rPr>
              <w:t>最大落地浓度为</w:t>
            </w:r>
            <w:r>
              <w:rPr>
                <w:rFonts w:hint="eastAsia" w:ascii="Times New Roman" w:hAnsi="Times New Roman" w:cs="Times New Roman"/>
                <w:color w:val="auto"/>
                <w:sz w:val="24"/>
                <w:szCs w:val="24"/>
                <w:highlight w:val="none"/>
                <w:lang w:val="en-US" w:eastAsia="zh-CN"/>
              </w:rPr>
              <w:t>2.6834</w:t>
            </w:r>
            <w:r>
              <w:rPr>
                <w:rFonts w:hint="default" w:ascii="Times New Roman" w:hAnsi="Times New Roman" w:cs="Times New Roman"/>
                <w:color w:val="auto"/>
                <w:sz w:val="24"/>
                <w:szCs w:val="24"/>
                <w:highlight w:val="none"/>
              </w:rPr>
              <w:t>μg/m</w:t>
            </w:r>
            <w:r>
              <w:rPr>
                <w:rFonts w:hint="default" w:ascii="Times New Roman" w:hAnsi="Times New Roman" w:cs="Times New Roman"/>
                <w:color w:val="auto"/>
                <w:sz w:val="24"/>
                <w:szCs w:val="24"/>
                <w:highlight w:val="none"/>
                <w:vertAlign w:val="superscript"/>
              </w:rPr>
              <w:t>3</w:t>
            </w:r>
            <w:r>
              <w:rPr>
                <w:rFonts w:hint="default" w:ascii="Times New Roman" w:hAnsi="Times New Roman" w:cs="Times New Roman"/>
                <w:color w:val="auto"/>
                <w:sz w:val="24"/>
                <w:highlight w:val="none"/>
                <w:lang w:val="en-US" w:eastAsia="zh-CN"/>
              </w:rPr>
              <w:t>，出现在厂界内，则厂界</w:t>
            </w:r>
            <w:r>
              <w:rPr>
                <w:rFonts w:hint="default" w:ascii="Times New Roman" w:hAnsi="Times New Roman" w:cs="Times New Roman"/>
                <w:bCs/>
                <w:color w:val="auto"/>
                <w:sz w:val="24"/>
                <w:highlight w:val="none"/>
              </w:rPr>
              <w:t>放浓度能够满足</w:t>
            </w:r>
            <w:r>
              <w:rPr>
                <w:rFonts w:hint="default" w:ascii="Times New Roman" w:hAnsi="Times New Roman" w:cs="Times New Roman"/>
                <w:color w:val="auto"/>
                <w:sz w:val="24"/>
                <w:highlight w:val="none"/>
              </w:rPr>
              <w:t>《大气污染物综合排放标准》（GB16297-1996）表2中无组织排放标准限值要求。</w:t>
            </w:r>
          </w:p>
          <w:p>
            <w:pPr>
              <w:pStyle w:val="12"/>
              <w:spacing w:before="78" w:beforeLines="25" w:line="480" w:lineRule="exact"/>
              <w:ind w:firstLine="480"/>
              <w:rPr>
                <w:rFonts w:hint="default" w:ascii="Times New Roman" w:hAnsi="Times New Roman" w:eastAsia="宋体" w:cs="Times New Roman"/>
                <w:sz w:val="24"/>
                <w:highlight w:val="none"/>
                <w:lang w:val="en-US" w:eastAsia="zh-CN"/>
              </w:rPr>
            </w:pPr>
            <w:r>
              <w:rPr>
                <w:rFonts w:hint="default" w:ascii="Times New Roman" w:hAnsi="Times New Roman" w:cs="Times New Roman"/>
                <w:sz w:val="24"/>
                <w:highlight w:val="none"/>
                <w:lang w:eastAsia="zh-CN"/>
              </w:rPr>
              <w:t>（</w:t>
            </w:r>
            <w:r>
              <w:rPr>
                <w:rFonts w:hint="default" w:ascii="Times New Roman" w:hAnsi="Times New Roman" w:cs="Times New Roman"/>
                <w:sz w:val="24"/>
                <w:highlight w:val="none"/>
                <w:lang w:val="en-US" w:eastAsia="zh-CN"/>
              </w:rPr>
              <w:t>2</w:t>
            </w:r>
            <w:r>
              <w:rPr>
                <w:rFonts w:hint="default" w:ascii="Times New Roman" w:hAnsi="Times New Roman" w:cs="Times New Roman"/>
                <w:sz w:val="24"/>
                <w:highlight w:val="none"/>
                <w:lang w:eastAsia="zh-CN"/>
              </w:rPr>
              <w:t>）</w:t>
            </w:r>
            <w:r>
              <w:rPr>
                <w:rFonts w:hint="default" w:ascii="Times New Roman" w:hAnsi="Times New Roman" w:cs="Times New Roman"/>
                <w:sz w:val="24"/>
                <w:highlight w:val="none"/>
                <w:lang w:val="en-US" w:eastAsia="zh-CN"/>
              </w:rPr>
              <w:t>粘合过程的有机废气</w:t>
            </w:r>
          </w:p>
          <w:p>
            <w:pPr>
              <w:pStyle w:val="12"/>
              <w:spacing w:before="78" w:beforeLines="25" w:line="480" w:lineRule="exact"/>
              <w:ind w:firstLine="480"/>
              <w:rPr>
                <w:rFonts w:hint="eastAsia" w:ascii="Times New Roman" w:hAnsi="Times New Roman" w:cs="Times New Roman"/>
                <w:bCs/>
                <w:color w:val="auto"/>
                <w:sz w:val="24"/>
                <w:szCs w:val="24"/>
                <w:highlight w:val="none"/>
                <w:lang w:val="en-US" w:eastAsia="zh-CN"/>
              </w:rPr>
            </w:pPr>
            <w:r>
              <w:rPr>
                <w:rFonts w:hint="default" w:ascii="Times New Roman" w:hAnsi="Times New Roman" w:cs="Times New Roman"/>
                <w:bCs/>
                <w:sz w:val="24"/>
                <w:szCs w:val="24"/>
                <w:highlight w:val="none"/>
                <w:lang w:eastAsia="zh-CN"/>
              </w:rPr>
              <w:t>项目彩钢复合板生产过程使用彩钢夹芯板粘合剂，在使用过程中会发出少量的有机废气，以</w:t>
            </w:r>
            <w:r>
              <w:rPr>
                <w:rFonts w:hint="eastAsia" w:ascii="Times New Roman" w:hAnsi="Times New Roman" w:cs="Times New Roman"/>
                <w:bCs/>
                <w:sz w:val="24"/>
                <w:szCs w:val="24"/>
                <w:highlight w:val="none"/>
                <w:lang w:eastAsia="zh-CN"/>
              </w:rPr>
              <w:t>挥发性有机物</w:t>
            </w:r>
            <w:r>
              <w:rPr>
                <w:rFonts w:hint="default" w:ascii="Times New Roman" w:hAnsi="Times New Roman" w:cs="Times New Roman"/>
                <w:bCs/>
                <w:sz w:val="24"/>
                <w:szCs w:val="24"/>
                <w:highlight w:val="none"/>
                <w:lang w:eastAsia="zh-CN"/>
              </w:rPr>
              <w:t>计。有机废气产生量按彩钢夹芯板粘合剂用量的</w:t>
            </w:r>
            <w:r>
              <w:rPr>
                <w:rFonts w:hint="eastAsia" w:ascii="Times New Roman" w:hAnsi="Times New Roman" w:cs="Times New Roman"/>
                <w:bCs/>
                <w:sz w:val="24"/>
                <w:szCs w:val="24"/>
                <w:highlight w:val="none"/>
                <w:lang w:val="en-US" w:eastAsia="zh-CN"/>
              </w:rPr>
              <w:t>0.1</w:t>
            </w:r>
            <w:r>
              <w:rPr>
                <w:rFonts w:hint="default" w:ascii="Times New Roman" w:hAnsi="Times New Roman" w:cs="Times New Roman"/>
                <w:bCs/>
                <w:sz w:val="24"/>
                <w:szCs w:val="24"/>
                <w:highlight w:val="none"/>
                <w:lang w:val="en-US" w:eastAsia="zh-CN"/>
              </w:rPr>
              <w:t>%计。本项目彩钢夹芯板粘合剂用量为1.</w:t>
            </w:r>
            <w:r>
              <w:rPr>
                <w:rFonts w:hint="eastAsia" w:ascii="Times New Roman" w:hAnsi="Times New Roman" w:cs="Times New Roman"/>
                <w:bCs/>
                <w:sz w:val="24"/>
                <w:szCs w:val="24"/>
                <w:highlight w:val="none"/>
                <w:lang w:val="en-US" w:eastAsia="zh-CN"/>
              </w:rPr>
              <w:t>4</w:t>
            </w:r>
            <w:r>
              <w:rPr>
                <w:rFonts w:hint="default" w:ascii="Times New Roman" w:hAnsi="Times New Roman" w:cs="Times New Roman"/>
                <w:bCs/>
                <w:sz w:val="24"/>
                <w:szCs w:val="24"/>
                <w:highlight w:val="none"/>
                <w:lang w:val="en-US" w:eastAsia="zh-CN"/>
              </w:rPr>
              <w:t>t/a，则</w:t>
            </w:r>
            <w:r>
              <w:rPr>
                <w:rFonts w:hint="eastAsia" w:ascii="Times New Roman" w:hAnsi="Times New Roman" w:cs="Times New Roman"/>
                <w:bCs/>
                <w:sz w:val="24"/>
                <w:szCs w:val="24"/>
                <w:highlight w:val="none"/>
                <w:lang w:val="en-US" w:eastAsia="zh-CN"/>
              </w:rPr>
              <w:t>挥发性有机物</w:t>
            </w:r>
            <w:r>
              <w:rPr>
                <w:rFonts w:hint="default" w:ascii="Times New Roman" w:hAnsi="Times New Roman" w:cs="Times New Roman"/>
                <w:bCs/>
                <w:sz w:val="24"/>
                <w:szCs w:val="24"/>
                <w:highlight w:val="none"/>
                <w:lang w:val="en-US" w:eastAsia="zh-CN"/>
              </w:rPr>
              <w:t>产生量约为</w:t>
            </w:r>
            <w:r>
              <w:rPr>
                <w:rFonts w:hint="eastAsia" w:ascii="Times New Roman" w:hAnsi="Times New Roman" w:cs="Times New Roman"/>
                <w:bCs/>
                <w:sz w:val="24"/>
                <w:szCs w:val="24"/>
                <w:highlight w:val="none"/>
                <w:lang w:val="en-US" w:eastAsia="zh-CN"/>
              </w:rPr>
              <w:t>1.4</w:t>
            </w:r>
            <w:r>
              <w:rPr>
                <w:rFonts w:hint="default" w:ascii="Times New Roman" w:hAnsi="Times New Roman" w:cs="Times New Roman"/>
                <w:bCs/>
                <w:sz w:val="24"/>
                <w:szCs w:val="24"/>
                <w:highlight w:val="none"/>
                <w:lang w:val="en-US" w:eastAsia="zh-CN"/>
              </w:rPr>
              <w:t>kg/a，胶粘工序以每</w:t>
            </w:r>
            <w:r>
              <w:rPr>
                <w:rFonts w:hint="default" w:ascii="Times New Roman" w:hAnsi="Times New Roman" w:cs="Times New Roman"/>
                <w:bCs/>
                <w:color w:val="auto"/>
                <w:sz w:val="24"/>
                <w:szCs w:val="24"/>
                <w:highlight w:val="none"/>
                <w:lang w:val="en-US" w:eastAsia="zh-CN"/>
              </w:rPr>
              <w:t>天4h计，产生速率为0.0</w:t>
            </w:r>
            <w:r>
              <w:rPr>
                <w:rFonts w:hint="eastAsia" w:ascii="Times New Roman" w:hAnsi="Times New Roman" w:cs="Times New Roman"/>
                <w:bCs/>
                <w:color w:val="auto"/>
                <w:sz w:val="24"/>
                <w:szCs w:val="24"/>
                <w:highlight w:val="none"/>
                <w:lang w:val="en-US" w:eastAsia="zh-CN"/>
              </w:rPr>
              <w:t>017</w:t>
            </w:r>
            <w:r>
              <w:rPr>
                <w:rFonts w:hint="default" w:ascii="Times New Roman" w:hAnsi="Times New Roman" w:cs="Times New Roman"/>
                <w:bCs/>
                <w:color w:val="auto"/>
                <w:sz w:val="24"/>
                <w:szCs w:val="24"/>
                <w:highlight w:val="none"/>
                <w:lang w:val="en-US" w:eastAsia="zh-CN"/>
              </w:rPr>
              <w:t>kg/h。</w:t>
            </w:r>
          </w:p>
          <w:p>
            <w:pPr>
              <w:pStyle w:val="12"/>
              <w:spacing w:before="78" w:beforeLines="25" w:line="480" w:lineRule="exact"/>
              <w:ind w:firstLine="480"/>
              <w:rPr>
                <w:rFonts w:hint="default" w:ascii="Times New Roman" w:hAnsi="Times New Roman" w:cs="Times New Roman"/>
                <w:bCs/>
                <w:sz w:val="24"/>
                <w:szCs w:val="24"/>
                <w:highlight w:val="none"/>
                <w:lang w:val="en-US" w:eastAsia="zh-CN"/>
              </w:rPr>
            </w:pPr>
            <w:r>
              <w:rPr>
                <w:rFonts w:hint="eastAsia" w:ascii="Times New Roman" w:hAnsi="Times New Roman" w:cs="Times New Roman"/>
                <w:bCs/>
                <w:sz w:val="24"/>
                <w:szCs w:val="24"/>
                <w:highlight w:val="none"/>
                <w:lang w:val="en-US" w:eastAsia="zh-CN"/>
              </w:rPr>
              <w:t>挥发性有机物为</w:t>
            </w:r>
            <w:r>
              <w:rPr>
                <w:rFonts w:hint="default" w:ascii="Times New Roman" w:hAnsi="Times New Roman" w:cs="Times New Roman"/>
                <w:bCs/>
                <w:sz w:val="24"/>
                <w:szCs w:val="24"/>
                <w:highlight w:val="none"/>
                <w:lang w:val="en-US" w:eastAsia="zh-CN"/>
              </w:rPr>
              <w:t>无组织排放，无组织排放量为</w:t>
            </w:r>
            <w:r>
              <w:rPr>
                <w:rFonts w:hint="eastAsia" w:ascii="Times New Roman" w:hAnsi="Times New Roman" w:cs="Times New Roman"/>
                <w:bCs/>
                <w:sz w:val="24"/>
                <w:szCs w:val="24"/>
                <w:highlight w:val="none"/>
                <w:lang w:val="en-US" w:eastAsia="zh-CN"/>
              </w:rPr>
              <w:t>1.4</w:t>
            </w:r>
            <w:r>
              <w:rPr>
                <w:rFonts w:hint="default" w:ascii="Times New Roman" w:hAnsi="Times New Roman" w:cs="Times New Roman"/>
                <w:bCs/>
                <w:sz w:val="24"/>
                <w:szCs w:val="24"/>
                <w:highlight w:val="none"/>
                <w:lang w:val="en-US" w:eastAsia="zh-CN"/>
              </w:rPr>
              <w:t>kg/a，则无组织排放速率为0.00</w:t>
            </w:r>
            <w:r>
              <w:rPr>
                <w:rFonts w:hint="eastAsia" w:ascii="Times New Roman" w:hAnsi="Times New Roman" w:cs="Times New Roman"/>
                <w:bCs/>
                <w:sz w:val="24"/>
                <w:szCs w:val="24"/>
                <w:highlight w:val="none"/>
                <w:lang w:val="en-US" w:eastAsia="zh-CN"/>
              </w:rPr>
              <w:t>17k</w:t>
            </w:r>
            <w:r>
              <w:rPr>
                <w:rFonts w:hint="default" w:ascii="Times New Roman" w:hAnsi="Times New Roman" w:cs="Times New Roman"/>
                <w:bCs/>
                <w:sz w:val="24"/>
                <w:szCs w:val="24"/>
                <w:highlight w:val="none"/>
                <w:lang w:val="en-US" w:eastAsia="zh-CN"/>
              </w:rPr>
              <w:t>g/h，</w:t>
            </w:r>
            <w:r>
              <w:rPr>
                <w:rFonts w:hint="eastAsia" w:ascii="Times New Roman" w:hAnsi="Times New Roman" w:cs="Times New Roman"/>
                <w:bCs/>
                <w:sz w:val="24"/>
                <w:szCs w:val="24"/>
                <w:highlight w:val="none"/>
                <w:lang w:val="en-US" w:eastAsia="zh-CN"/>
              </w:rPr>
              <w:t>经预测，最大落地</w:t>
            </w:r>
            <w:r>
              <w:rPr>
                <w:rFonts w:hint="default" w:ascii="Times New Roman" w:hAnsi="Times New Roman" w:cs="Times New Roman"/>
                <w:bCs/>
                <w:sz w:val="24"/>
                <w:szCs w:val="24"/>
                <w:highlight w:val="none"/>
                <w:lang w:val="en-US" w:eastAsia="zh-CN"/>
              </w:rPr>
              <w:t>浓度为</w:t>
            </w:r>
            <w:r>
              <w:rPr>
                <w:rFonts w:hint="eastAsia" w:ascii="Times New Roman" w:hAnsi="Times New Roman" w:cs="Times New Roman"/>
                <w:bCs/>
                <w:sz w:val="24"/>
                <w:szCs w:val="24"/>
                <w:highlight w:val="none"/>
                <w:lang w:val="en-US" w:eastAsia="zh-CN"/>
              </w:rPr>
              <w:t>11.383</w:t>
            </w:r>
            <w:r>
              <w:rPr>
                <w:rFonts w:hint="default" w:ascii="Times New Roman" w:hAnsi="Times New Roman" w:cs="Times New Roman"/>
                <w:bCs/>
                <w:sz w:val="24"/>
                <w:szCs w:val="24"/>
                <w:highlight w:val="none"/>
                <w:lang w:val="en-US" w:eastAsia="zh-CN"/>
              </w:rPr>
              <w:t>μ</w:t>
            </w:r>
            <w:r>
              <w:rPr>
                <w:rFonts w:hint="eastAsia" w:ascii="Times New Roman" w:hAnsi="Times New Roman" w:cs="Times New Roman"/>
                <w:bCs/>
                <w:sz w:val="24"/>
                <w:szCs w:val="24"/>
                <w:highlight w:val="none"/>
                <w:lang w:val="en-US" w:eastAsia="zh-CN"/>
              </w:rPr>
              <w:t>g</w:t>
            </w:r>
            <w:r>
              <w:rPr>
                <w:rFonts w:hint="default" w:ascii="Times New Roman" w:hAnsi="Times New Roman" w:cs="Times New Roman"/>
                <w:bCs/>
                <w:sz w:val="24"/>
                <w:szCs w:val="24"/>
                <w:highlight w:val="none"/>
                <w:lang w:val="en-US" w:eastAsia="zh-CN"/>
              </w:rPr>
              <w:t>/m</w:t>
            </w:r>
            <w:r>
              <w:rPr>
                <w:rFonts w:hint="default" w:ascii="Times New Roman" w:hAnsi="Times New Roman" w:cs="Times New Roman"/>
                <w:bCs/>
                <w:sz w:val="24"/>
                <w:szCs w:val="24"/>
                <w:highlight w:val="none"/>
                <w:vertAlign w:val="superscript"/>
                <w:lang w:val="en-US" w:eastAsia="zh-CN"/>
              </w:rPr>
              <w:t>3</w:t>
            </w:r>
            <w:r>
              <w:rPr>
                <w:rFonts w:hint="default" w:ascii="Times New Roman" w:hAnsi="Times New Roman" w:cs="Times New Roman"/>
                <w:bCs/>
                <w:sz w:val="24"/>
                <w:szCs w:val="24"/>
                <w:highlight w:val="none"/>
                <w:vertAlign w:val="baseline"/>
                <w:lang w:val="en-US" w:eastAsia="zh-CN"/>
              </w:rPr>
              <w:t>，</w:t>
            </w:r>
            <w:r>
              <w:rPr>
                <w:rFonts w:hint="eastAsia" w:ascii="Times New Roman" w:hAnsi="Times New Roman" w:cs="Times New Roman"/>
                <w:bCs/>
                <w:sz w:val="24"/>
                <w:szCs w:val="24"/>
                <w:highlight w:val="none"/>
                <w:vertAlign w:val="baseline"/>
                <w:lang w:val="en-US" w:eastAsia="zh-CN"/>
              </w:rPr>
              <w:t>且位于厂区内</w:t>
            </w:r>
            <w:r>
              <w:rPr>
                <w:rFonts w:hint="default" w:ascii="Times New Roman" w:hAnsi="Times New Roman" w:cs="Times New Roman"/>
                <w:bCs/>
                <w:sz w:val="24"/>
                <w:szCs w:val="24"/>
                <w:highlight w:val="none"/>
                <w:vertAlign w:val="baseline"/>
                <w:lang w:val="en-US" w:eastAsia="zh-CN"/>
              </w:rPr>
              <w:t>，</w:t>
            </w:r>
            <w:r>
              <w:rPr>
                <w:rFonts w:hint="default" w:ascii="Times New Roman" w:hAnsi="Times New Roman" w:cs="Times New Roman"/>
                <w:bCs/>
                <w:sz w:val="24"/>
                <w:highlight w:val="none"/>
              </w:rPr>
              <w:t>排放浓度能够满足</w:t>
            </w:r>
            <w:r>
              <w:rPr>
                <w:rFonts w:hint="default" w:ascii="Times New Roman" w:hAnsi="Times New Roman" w:cs="Times New Roman"/>
                <w:bCs/>
                <w:sz w:val="24"/>
                <w:highlight w:val="none"/>
                <w:lang w:val="en-US" w:eastAsia="zh-CN"/>
              </w:rPr>
              <w:t>《挥发性有机物无组织排放控制标准》（GB37822-2019）中表A.1的标准</w:t>
            </w:r>
            <w:r>
              <w:rPr>
                <w:rFonts w:hint="eastAsia" w:ascii="Times New Roman" w:hAnsi="Times New Roman" w:cs="Times New Roman"/>
                <w:sz w:val="24"/>
                <w:highlight w:val="none"/>
                <w:lang w:eastAsia="zh-CN"/>
              </w:rPr>
              <w:t>挥发性有机物无</w:t>
            </w:r>
            <w:r>
              <w:rPr>
                <w:rFonts w:hint="default" w:ascii="Times New Roman" w:hAnsi="Times New Roman" w:cs="Times New Roman"/>
                <w:sz w:val="24"/>
                <w:highlight w:val="none"/>
              </w:rPr>
              <w:t>组织</w:t>
            </w:r>
            <w:r>
              <w:rPr>
                <w:rFonts w:hint="eastAsia" w:ascii="Times New Roman" w:hAnsi="Times New Roman" w:cs="Times New Roman"/>
                <w:sz w:val="24"/>
                <w:highlight w:val="none"/>
                <w:lang w:eastAsia="zh-CN"/>
              </w:rPr>
              <w:t>排放监控浓度</w:t>
            </w:r>
            <w:r>
              <w:rPr>
                <w:rFonts w:hint="default" w:ascii="Times New Roman" w:hAnsi="Times New Roman" w:cs="Times New Roman"/>
                <w:sz w:val="24"/>
                <w:highlight w:val="none"/>
              </w:rPr>
              <w:t>限值要求</w:t>
            </w:r>
            <w:r>
              <w:rPr>
                <w:rFonts w:hint="default" w:ascii="Times New Roman" w:hAnsi="Times New Roman" w:cs="Times New Roman"/>
                <w:bCs/>
                <w:sz w:val="24"/>
                <w:szCs w:val="24"/>
                <w:highlight w:val="none"/>
              </w:rPr>
              <w:t>。</w:t>
            </w:r>
          </w:p>
          <w:p>
            <w:pPr>
              <w:pStyle w:val="12"/>
              <w:spacing w:before="78" w:beforeLines="25" w:line="480" w:lineRule="exact"/>
              <w:ind w:firstLine="480"/>
              <w:rPr>
                <w:rFonts w:hint="default" w:ascii="Times New Roman" w:hAnsi="Times New Roman" w:eastAsia="宋体" w:cs="Times New Roman"/>
                <w:bCs/>
                <w:sz w:val="24"/>
                <w:szCs w:val="24"/>
                <w:highlight w:val="none"/>
                <w:lang w:val="en-US" w:eastAsia="zh-CN"/>
              </w:rPr>
            </w:pPr>
            <w:r>
              <w:rPr>
                <w:rFonts w:hint="default" w:ascii="Times New Roman" w:hAnsi="Times New Roman" w:eastAsia="宋体" w:cs="Times New Roman"/>
                <w:bCs/>
                <w:sz w:val="24"/>
                <w:szCs w:val="24"/>
                <w:highlight w:val="none"/>
                <w:lang w:val="en-US" w:eastAsia="zh-CN"/>
              </w:rPr>
              <w:t>（3）剪切过程的金属粉尘</w:t>
            </w:r>
          </w:p>
          <w:p>
            <w:pPr>
              <w:pStyle w:val="12"/>
              <w:spacing w:before="78" w:beforeLines="25" w:line="480" w:lineRule="exact"/>
              <w:ind w:firstLine="480"/>
              <w:rPr>
                <w:rFonts w:hint="default" w:ascii="Times New Roman" w:hAnsi="Times New Roman" w:eastAsia="宋体" w:cs="Times New Roman"/>
                <w:bCs/>
                <w:sz w:val="24"/>
                <w:szCs w:val="24"/>
                <w:highlight w:val="none"/>
                <w:lang w:val="en-US" w:eastAsia="zh-CN"/>
              </w:rPr>
            </w:pPr>
            <w:r>
              <w:rPr>
                <w:rFonts w:hint="default" w:ascii="Times New Roman" w:hAnsi="Times New Roman" w:eastAsia="宋体" w:cs="Times New Roman"/>
                <w:bCs/>
                <w:sz w:val="24"/>
                <w:szCs w:val="24"/>
                <w:highlight w:val="none"/>
                <w:lang w:val="en-US" w:eastAsia="zh-CN"/>
              </w:rPr>
              <w:t>项目在剪切过程中会产生少量金属粉尘</w:t>
            </w:r>
            <w:r>
              <w:rPr>
                <w:rFonts w:hint="eastAsia" w:ascii="Times New Roman" w:hAnsi="Times New Roman" w:eastAsia="宋体" w:cs="Times New Roman"/>
                <w:bCs/>
                <w:sz w:val="24"/>
                <w:szCs w:val="24"/>
                <w:highlight w:val="none"/>
                <w:lang w:val="en-US" w:eastAsia="zh-CN"/>
              </w:rPr>
              <w:t>，约0.3</w:t>
            </w:r>
            <w:r>
              <w:rPr>
                <w:rFonts w:hint="eastAsia" w:ascii="Times New Roman" w:hAnsi="Times New Roman" w:cs="Times New Roman"/>
                <w:bCs/>
                <w:sz w:val="24"/>
                <w:szCs w:val="24"/>
                <w:highlight w:val="none"/>
                <w:lang w:val="en-US" w:eastAsia="zh-CN"/>
              </w:rPr>
              <w:t>5</w:t>
            </w:r>
            <w:r>
              <w:rPr>
                <w:rFonts w:hint="eastAsia" w:ascii="Times New Roman" w:hAnsi="Times New Roman" w:eastAsia="宋体" w:cs="Times New Roman"/>
                <w:bCs/>
                <w:sz w:val="24"/>
                <w:szCs w:val="24"/>
                <w:highlight w:val="none"/>
                <w:lang w:val="en-US" w:eastAsia="zh-CN"/>
              </w:rPr>
              <w:t>kg/a</w:t>
            </w:r>
            <w:r>
              <w:rPr>
                <w:rFonts w:hint="default" w:ascii="Times New Roman" w:hAnsi="Times New Roman" w:eastAsia="宋体" w:cs="Times New Roman"/>
                <w:bCs/>
                <w:sz w:val="24"/>
                <w:szCs w:val="24"/>
                <w:highlight w:val="none"/>
                <w:lang w:val="en-US" w:eastAsia="zh-CN"/>
              </w:rPr>
              <w:t>，金属粉尘比重较大，粒径较大，</w:t>
            </w:r>
            <w:r>
              <w:rPr>
                <w:rFonts w:hint="eastAsia" w:ascii="Times New Roman" w:hAnsi="Times New Roman" w:eastAsia="宋体" w:cs="Times New Roman"/>
                <w:bCs/>
                <w:sz w:val="24"/>
                <w:szCs w:val="24"/>
                <w:highlight w:val="none"/>
                <w:lang w:val="en-US" w:eastAsia="zh-CN"/>
              </w:rPr>
              <w:t>经预测最大落地浓度为0.00067</w:t>
            </w:r>
            <w:r>
              <w:rPr>
                <w:rFonts w:hint="default" w:ascii="Times New Roman" w:hAnsi="Times New Roman" w:eastAsia="宋体" w:cs="Times New Roman"/>
                <w:bCs/>
                <w:sz w:val="24"/>
                <w:szCs w:val="24"/>
                <w:highlight w:val="none"/>
                <w:lang w:val="en-US" w:eastAsia="zh-CN"/>
              </w:rPr>
              <w:t>μ</w:t>
            </w:r>
            <w:r>
              <w:rPr>
                <w:rFonts w:hint="eastAsia" w:ascii="Times New Roman" w:hAnsi="Times New Roman" w:eastAsia="宋体" w:cs="Times New Roman"/>
                <w:bCs/>
                <w:sz w:val="24"/>
                <w:szCs w:val="24"/>
                <w:highlight w:val="none"/>
                <w:lang w:val="en-US" w:eastAsia="zh-CN"/>
              </w:rPr>
              <w:t>g</w:t>
            </w:r>
            <w:r>
              <w:rPr>
                <w:rFonts w:hint="default" w:ascii="Times New Roman" w:hAnsi="Times New Roman" w:eastAsia="宋体" w:cs="Times New Roman"/>
                <w:bCs/>
                <w:sz w:val="24"/>
                <w:szCs w:val="24"/>
                <w:highlight w:val="none"/>
                <w:lang w:val="en-US" w:eastAsia="zh-CN"/>
              </w:rPr>
              <w:t>/m</w:t>
            </w:r>
            <w:r>
              <w:rPr>
                <w:rFonts w:hint="default" w:ascii="Times New Roman" w:hAnsi="Times New Roman" w:eastAsia="宋体" w:cs="Times New Roman"/>
                <w:bCs/>
                <w:sz w:val="24"/>
                <w:szCs w:val="24"/>
                <w:highlight w:val="none"/>
                <w:vertAlign w:val="superscript"/>
                <w:lang w:val="en-US" w:eastAsia="zh-CN"/>
              </w:rPr>
              <w:t>3</w:t>
            </w:r>
            <w:r>
              <w:rPr>
                <w:rFonts w:hint="eastAsia" w:ascii="Times New Roman" w:hAnsi="Times New Roman" w:eastAsia="宋体" w:cs="Times New Roman"/>
                <w:bCs/>
                <w:sz w:val="24"/>
                <w:szCs w:val="24"/>
                <w:highlight w:val="none"/>
                <w:lang w:val="en-US" w:eastAsia="zh-CN"/>
              </w:rPr>
              <w:t>，</w:t>
            </w:r>
            <w:r>
              <w:rPr>
                <w:rFonts w:hint="default" w:ascii="Times New Roman" w:hAnsi="Times New Roman" w:eastAsia="宋体" w:cs="Times New Roman"/>
                <w:bCs/>
                <w:sz w:val="24"/>
                <w:szCs w:val="24"/>
                <w:highlight w:val="none"/>
                <w:lang w:val="en-US" w:eastAsia="zh-CN"/>
              </w:rPr>
              <w:t>可达标排放。满足《大气污染物综合排放标准》（GB16297-1996）表2无组织排放监控浓度限值，即无组织排放粉尘颗粒物≤1.0mg/m</w:t>
            </w:r>
            <w:r>
              <w:rPr>
                <w:rFonts w:hint="default" w:ascii="Times New Roman" w:hAnsi="Times New Roman" w:eastAsia="宋体" w:cs="Times New Roman"/>
                <w:bCs/>
                <w:sz w:val="24"/>
                <w:szCs w:val="24"/>
                <w:highlight w:val="none"/>
                <w:vertAlign w:val="superscript"/>
                <w:lang w:val="en-US" w:eastAsia="zh-CN"/>
              </w:rPr>
              <w:t>3</w:t>
            </w:r>
            <w:r>
              <w:rPr>
                <w:rFonts w:hint="default" w:ascii="Times New Roman" w:hAnsi="Times New Roman" w:eastAsia="宋体" w:cs="Times New Roman"/>
                <w:bCs/>
                <w:sz w:val="24"/>
                <w:szCs w:val="24"/>
                <w:highlight w:val="none"/>
                <w:lang w:val="en-US" w:eastAsia="zh-CN"/>
              </w:rPr>
              <w:t>。</w:t>
            </w:r>
          </w:p>
          <w:p>
            <w:pPr>
              <w:tabs>
                <w:tab w:val="left" w:pos="7545"/>
              </w:tabs>
              <w:spacing w:before="78" w:beforeLines="25" w:line="480" w:lineRule="exact"/>
              <w:ind w:firstLine="482" w:firstLineChars="200"/>
              <w:rPr>
                <w:rFonts w:hint="eastAsia" w:ascii="宋体" w:hAnsi="宋体" w:eastAsia="宋体" w:cs="宋体"/>
                <w:b/>
                <w:bCs w:val="0"/>
                <w:sz w:val="24"/>
                <w:highlight w:val="none"/>
              </w:rPr>
            </w:pPr>
            <w:r>
              <w:rPr>
                <w:rFonts w:hint="eastAsia" w:ascii="宋体" w:hAnsi="宋体" w:eastAsia="宋体" w:cs="宋体"/>
                <w:b/>
                <w:bCs w:val="0"/>
                <w:sz w:val="24"/>
                <w:highlight w:val="none"/>
              </w:rPr>
              <w:t>2、声环境影响</w:t>
            </w:r>
          </w:p>
          <w:p>
            <w:pPr>
              <w:spacing w:before="78" w:beforeLines="25" w:line="480" w:lineRule="exact"/>
              <w:ind w:firstLine="480" w:firstLineChars="200"/>
              <w:rPr>
                <w:rFonts w:hint="default" w:ascii="Times New Roman" w:hAnsi="Times New Roman" w:cs="Times New Roman"/>
                <w:sz w:val="24"/>
                <w:highlight w:val="yellow"/>
              </w:rPr>
            </w:pPr>
            <w:r>
              <w:rPr>
                <w:rFonts w:hint="default" w:ascii="Times New Roman" w:hAnsi="Times New Roman" w:cs="Times New Roman"/>
                <w:sz w:val="24"/>
                <w:highlight w:val="none"/>
              </w:rPr>
              <w:t>本项目</w:t>
            </w:r>
            <w:r>
              <w:rPr>
                <w:rFonts w:hint="default" w:ascii="Times New Roman" w:hAnsi="Times New Roman" w:cs="Times New Roman"/>
                <w:sz w:val="24"/>
                <w:highlight w:val="none"/>
                <w:lang w:eastAsia="zh-CN"/>
              </w:rPr>
              <w:t>运营期</w:t>
            </w:r>
            <w:r>
              <w:rPr>
                <w:rFonts w:hint="default" w:ascii="Times New Roman" w:hAnsi="Times New Roman" w:cs="Times New Roman"/>
                <w:sz w:val="24"/>
                <w:highlight w:val="none"/>
              </w:rPr>
              <w:t>噪声主要来源于</w:t>
            </w:r>
            <w:r>
              <w:rPr>
                <w:rFonts w:hint="default" w:ascii="Times New Roman" w:hAnsi="Times New Roman" w:cs="Times New Roman"/>
                <w:sz w:val="24"/>
                <w:highlight w:val="none"/>
                <w:lang w:val="en-US" w:eastAsia="zh-CN"/>
              </w:rPr>
              <w:t>单板压瓦机、</w:t>
            </w:r>
            <w:r>
              <w:rPr>
                <w:rFonts w:hint="eastAsia" w:ascii="Times New Roman" w:hAnsi="Times New Roman" w:cs="Times New Roman"/>
                <w:sz w:val="24"/>
                <w:highlight w:val="none"/>
                <w:lang w:val="en-US" w:eastAsia="zh-CN"/>
              </w:rPr>
              <w:t>复合夹芯板</w:t>
            </w:r>
            <w:r>
              <w:rPr>
                <w:rFonts w:hint="default" w:ascii="Times New Roman" w:hAnsi="Times New Roman" w:cs="Times New Roman"/>
                <w:sz w:val="24"/>
                <w:highlight w:val="none"/>
                <w:lang w:val="en-US" w:eastAsia="zh-CN"/>
              </w:rPr>
              <w:t>机等设备</w:t>
            </w:r>
            <w:r>
              <w:rPr>
                <w:rFonts w:hint="default" w:ascii="Times New Roman" w:hAnsi="Times New Roman" w:cs="Times New Roman"/>
                <w:sz w:val="24"/>
                <w:highlight w:val="none"/>
              </w:rPr>
              <w:t>运行过程中产生的机械噪声以及运输车辆行驶过程中产生的交通噪声</w:t>
            </w:r>
            <w:r>
              <w:rPr>
                <w:rFonts w:hint="default" w:ascii="Times New Roman" w:hAnsi="Times New Roman" w:cs="Times New Roman"/>
                <w:sz w:val="24"/>
                <w:szCs w:val="24"/>
                <w:highlight w:val="none"/>
              </w:rPr>
              <w:t>，噪声声压级在</w:t>
            </w:r>
            <w:r>
              <w:rPr>
                <w:rFonts w:hint="default" w:ascii="Times New Roman" w:hAnsi="Times New Roman" w:cs="Times New Roman"/>
                <w:sz w:val="24"/>
                <w:highlight w:val="none"/>
                <w:lang w:val="en-US" w:eastAsia="zh-CN"/>
              </w:rPr>
              <w:t>6</w:t>
            </w:r>
            <w:r>
              <w:rPr>
                <w:rFonts w:hint="default" w:ascii="Times New Roman" w:hAnsi="Times New Roman" w:cs="Times New Roman"/>
                <w:sz w:val="24"/>
                <w:highlight w:val="none"/>
              </w:rPr>
              <w:t>5~95dB（A）</w:t>
            </w:r>
            <w:r>
              <w:rPr>
                <w:rFonts w:hint="default" w:ascii="Times New Roman" w:hAnsi="Times New Roman" w:cs="Times New Roman"/>
                <w:sz w:val="24"/>
                <w:szCs w:val="24"/>
                <w:highlight w:val="none"/>
              </w:rPr>
              <w:t>之间。</w:t>
            </w:r>
            <w:r>
              <w:rPr>
                <w:rFonts w:hint="default" w:ascii="Times New Roman" w:hAnsi="Times New Roman" w:cs="Times New Roman"/>
                <w:sz w:val="24"/>
                <w:highlight w:val="none"/>
              </w:rPr>
              <w:t>本项目噪声控制主要从控制声源和阻隔声音传播两方面考虑。对噪声的控制首先从声源上着手，选择低噪声设备并对产生机械噪声的设备加装</w:t>
            </w:r>
            <w:r>
              <w:rPr>
                <w:rFonts w:hint="default" w:ascii="Times New Roman" w:hAnsi="Times New Roman" w:cs="Times New Roman"/>
                <w:sz w:val="24"/>
                <w:highlight w:val="none"/>
                <w:lang w:eastAsia="zh-CN"/>
              </w:rPr>
              <w:t>底座等</w:t>
            </w:r>
            <w:r>
              <w:rPr>
                <w:rFonts w:hint="default" w:ascii="Times New Roman" w:hAnsi="Times New Roman" w:cs="Times New Roman"/>
                <w:sz w:val="24"/>
                <w:highlight w:val="none"/>
              </w:rPr>
              <w:t>减振隔声装置，可消声20~25dB</w:t>
            </w:r>
            <w:r>
              <w:rPr>
                <w:rFonts w:hint="eastAsia" w:ascii="宋体" w:hAnsi="宋体" w:eastAsia="宋体" w:cs="宋体"/>
                <w:sz w:val="24"/>
                <w:highlight w:val="none"/>
              </w:rPr>
              <w:t>(</w:t>
            </w:r>
            <w:r>
              <w:rPr>
                <w:rFonts w:hint="default" w:ascii="Times New Roman" w:hAnsi="Times New Roman" w:cs="Times New Roman"/>
                <w:sz w:val="24"/>
                <w:highlight w:val="none"/>
              </w:rPr>
              <w:t>A</w:t>
            </w:r>
            <w:r>
              <w:rPr>
                <w:rFonts w:hint="eastAsia" w:ascii="宋体" w:hAnsi="宋体" w:eastAsia="宋体" w:cs="宋体"/>
                <w:sz w:val="24"/>
                <w:highlight w:val="none"/>
              </w:rPr>
              <w:t>)</w:t>
            </w:r>
            <w:r>
              <w:rPr>
                <w:rFonts w:hint="default" w:ascii="Times New Roman" w:hAnsi="Times New Roman" w:cs="Times New Roman"/>
                <w:sz w:val="24"/>
                <w:highlight w:val="none"/>
              </w:rPr>
              <w:t>；其次是在噪声传播途径上采取措施加以控制，提高各个车间的封闭降噪性能，完全可以使噪声下降25~30dB（A）左右，再经距离衰减及植被吸附后，完全可以满足《工业企业厂界环境噪声排放标准》</w:t>
            </w:r>
            <w:r>
              <w:rPr>
                <w:rFonts w:hint="default" w:ascii="Times New Roman" w:hAnsi="Times New Roman" w:cs="Times New Roman"/>
                <w:color w:val="FF0000"/>
                <w:sz w:val="24"/>
                <w:highlight w:val="none"/>
              </w:rPr>
              <w:t>（GB12348-2008）</w:t>
            </w:r>
            <w:r>
              <w:rPr>
                <w:rFonts w:hint="eastAsia" w:ascii="Times New Roman" w:hAnsi="Times New Roman" w:cs="Times New Roman"/>
                <w:color w:val="FF0000"/>
                <w:sz w:val="24"/>
                <w:highlight w:val="none"/>
                <w:lang w:val="en-US" w:eastAsia="zh-CN"/>
              </w:rPr>
              <w:t>2</w:t>
            </w:r>
            <w:r>
              <w:rPr>
                <w:rFonts w:hint="default" w:ascii="Times New Roman" w:hAnsi="Times New Roman" w:cs="Times New Roman"/>
                <w:color w:val="FF0000"/>
                <w:sz w:val="24"/>
                <w:highlight w:val="none"/>
              </w:rPr>
              <w:t>类标准的要求</w:t>
            </w:r>
            <w:r>
              <w:rPr>
                <w:rFonts w:hint="default" w:ascii="Times New Roman" w:hAnsi="Times New Roman" w:cs="Times New Roman"/>
                <w:sz w:val="24"/>
                <w:highlight w:val="none"/>
              </w:rPr>
              <w:t>。对于交通噪声，厂区内运输距离较短，而且区域内全面禁鸣，所以对周围环境不会产生很大影响。</w:t>
            </w:r>
          </w:p>
          <w:p>
            <w:pPr>
              <w:spacing w:before="78" w:beforeLines="25" w:line="480" w:lineRule="exact"/>
              <w:ind w:firstLine="482" w:firstLineChars="200"/>
              <w:rPr>
                <w:rFonts w:hint="eastAsia" w:ascii="宋体" w:hAnsi="宋体" w:eastAsia="宋体" w:cs="宋体"/>
                <w:b/>
                <w:bCs/>
                <w:sz w:val="24"/>
                <w:highlight w:val="none"/>
              </w:rPr>
            </w:pPr>
            <w:r>
              <w:rPr>
                <w:rFonts w:hint="eastAsia" w:ascii="宋体" w:hAnsi="宋体" w:eastAsia="宋体" w:cs="宋体"/>
                <w:b/>
                <w:bCs/>
                <w:sz w:val="24"/>
                <w:highlight w:val="none"/>
              </w:rPr>
              <w:t>3、废水</w:t>
            </w:r>
          </w:p>
          <w:p>
            <w:pPr>
              <w:spacing w:line="360" w:lineRule="auto"/>
              <w:ind w:firstLine="480" w:firstLineChars="200"/>
              <w:rPr>
                <w:rFonts w:hint="eastAsia"/>
                <w:lang w:val="en-US" w:eastAsia="zh-CN"/>
              </w:rPr>
            </w:pPr>
            <w:r>
              <w:rPr>
                <w:rFonts w:hint="eastAsia" w:ascii="Times New Roman" w:hAnsi="Times New Roman" w:cs="Times New Roman"/>
                <w:color w:val="auto"/>
                <w:sz w:val="24"/>
                <w:highlight w:val="none"/>
                <w:lang w:eastAsia="zh-CN"/>
              </w:rPr>
              <w:t>本</w:t>
            </w:r>
            <w:r>
              <w:rPr>
                <w:rFonts w:hint="default" w:ascii="Times New Roman" w:hAnsi="Times New Roman" w:cs="Times New Roman"/>
                <w:color w:val="auto"/>
                <w:sz w:val="24"/>
                <w:highlight w:val="none"/>
                <w:lang w:eastAsia="zh-CN"/>
              </w:rPr>
              <w:t>项目生产过程不用水，无生产废水产生</w:t>
            </w:r>
            <w:r>
              <w:rPr>
                <w:rFonts w:hint="eastAsia"/>
                <w:lang w:val="en-US" w:eastAsia="zh-CN"/>
              </w:rPr>
              <w:t>，职工人数较少，职工生活废水产生量按用水</w:t>
            </w:r>
            <w:r>
              <w:rPr>
                <w:rFonts w:hint="default" w:ascii="Times New Roman" w:hAnsi="Times New Roman" w:cs="Times New Roman"/>
                <w:lang w:val="en-US" w:eastAsia="zh-CN"/>
              </w:rPr>
              <w:t>量的80%计算，职工生活废水产生量为30.24m</w:t>
            </w:r>
            <w:r>
              <w:rPr>
                <w:rFonts w:hint="default" w:ascii="Times New Roman" w:hAnsi="Times New Roman" w:cs="Times New Roman"/>
                <w:vertAlign w:val="superscript"/>
                <w:lang w:val="en-US" w:eastAsia="zh-CN"/>
              </w:rPr>
              <w:t>3</w:t>
            </w:r>
            <w:r>
              <w:rPr>
                <w:rFonts w:hint="default" w:ascii="Times New Roman" w:hAnsi="Times New Roman" w:cs="Times New Roman"/>
                <w:lang w:val="en-US" w:eastAsia="zh-CN"/>
              </w:rPr>
              <w:t>/a，职工生活污水依托厂区外旱厕，废水主要为职工盥洗废水，盥洗废水产生量按用水量的90%计算，则盥洗废水产生量为22.68m</w:t>
            </w:r>
            <w:r>
              <w:rPr>
                <w:rFonts w:hint="default" w:ascii="Times New Roman" w:hAnsi="Times New Roman" w:cs="Times New Roman"/>
                <w:vertAlign w:val="superscript"/>
                <w:lang w:val="en-US" w:eastAsia="zh-CN"/>
              </w:rPr>
              <w:t>3</w:t>
            </w:r>
            <w:r>
              <w:rPr>
                <w:rFonts w:hint="default" w:ascii="Times New Roman" w:hAnsi="Times New Roman" w:cs="Times New Roman"/>
                <w:lang w:val="en-US" w:eastAsia="zh-CN"/>
              </w:rPr>
              <w:t>/a，盥洗废水</w:t>
            </w:r>
            <w:r>
              <w:rPr>
                <w:rFonts w:hint="eastAsia"/>
                <w:lang w:val="en-US" w:eastAsia="zh-CN"/>
              </w:rPr>
              <w:t>产生量较小，全部用于厂区泼洒抑尘，不外排。</w:t>
            </w:r>
          </w:p>
          <w:p>
            <w:pPr>
              <w:spacing w:line="360" w:lineRule="auto"/>
              <w:ind w:firstLine="482" w:firstLineChars="200"/>
              <w:rPr>
                <w:rFonts w:hint="eastAsia" w:ascii="宋体" w:hAnsi="宋体" w:eastAsia="宋体" w:cs="宋体"/>
                <w:b/>
                <w:bCs/>
                <w:sz w:val="24"/>
                <w:highlight w:val="none"/>
              </w:rPr>
            </w:pPr>
            <w:r>
              <w:rPr>
                <w:rFonts w:hint="eastAsia" w:ascii="宋体" w:hAnsi="宋体" w:eastAsia="宋体" w:cs="宋体"/>
                <w:b/>
                <w:bCs/>
                <w:sz w:val="24"/>
                <w:highlight w:val="none"/>
              </w:rPr>
              <w:t>4、固体废物</w:t>
            </w:r>
          </w:p>
          <w:p>
            <w:pPr>
              <w:tabs>
                <w:tab w:val="left" w:pos="495"/>
              </w:tabs>
              <w:spacing w:line="360" w:lineRule="auto"/>
              <w:ind w:firstLine="480" w:firstLineChars="200"/>
              <w:rPr>
                <w:rFonts w:hint="default" w:ascii="Times New Roman" w:hAnsi="Times New Roman" w:cs="Times New Roman"/>
                <w:sz w:val="24"/>
                <w:highlight w:val="none"/>
                <w:lang w:eastAsia="zh-CN"/>
              </w:rPr>
            </w:pPr>
            <w:r>
              <w:rPr>
                <w:rFonts w:hint="default" w:ascii="Times New Roman" w:hAnsi="Times New Roman" w:cs="Times New Roman"/>
                <w:sz w:val="24"/>
                <w:highlight w:val="none"/>
              </w:rPr>
              <w:t>项目</w:t>
            </w:r>
            <w:r>
              <w:rPr>
                <w:rFonts w:hint="default" w:ascii="Times New Roman" w:hAnsi="Times New Roman" w:cs="Times New Roman"/>
                <w:sz w:val="24"/>
                <w:highlight w:val="none"/>
                <w:lang w:val="en-US" w:eastAsia="zh-CN"/>
              </w:rPr>
              <w:t>运营期</w:t>
            </w:r>
            <w:r>
              <w:rPr>
                <w:rFonts w:hint="default" w:ascii="Times New Roman" w:hAnsi="Times New Roman" w:cs="Times New Roman"/>
                <w:sz w:val="24"/>
                <w:highlight w:val="none"/>
              </w:rPr>
              <w:t>固体废物</w:t>
            </w:r>
            <w:r>
              <w:rPr>
                <w:rFonts w:hint="default" w:ascii="Times New Roman" w:hAnsi="Times New Roman" w:cs="Times New Roman"/>
                <w:sz w:val="24"/>
                <w:highlight w:val="none"/>
                <w:lang w:val="en-US" w:eastAsia="zh-CN"/>
              </w:rPr>
              <w:t>主要</w:t>
            </w:r>
            <w:r>
              <w:rPr>
                <w:rFonts w:hint="default" w:ascii="Times New Roman" w:hAnsi="Times New Roman" w:cs="Times New Roman"/>
                <w:sz w:val="24"/>
                <w:highlight w:val="none"/>
              </w:rPr>
              <w:t>为</w:t>
            </w:r>
            <w:r>
              <w:rPr>
                <w:rFonts w:hint="eastAsia" w:ascii="Times New Roman" w:hAnsi="Times New Roman" w:cs="Times New Roman"/>
                <w:sz w:val="24"/>
                <w:highlight w:val="none"/>
                <w:lang w:eastAsia="zh-CN"/>
              </w:rPr>
              <w:t>废</w:t>
            </w:r>
            <w:r>
              <w:rPr>
                <w:rFonts w:hint="default" w:ascii="Times New Roman" w:hAnsi="Times New Roman" w:cs="Times New Roman"/>
                <w:sz w:val="24"/>
                <w:highlight w:val="none"/>
                <w:lang w:val="en-US" w:eastAsia="zh-CN"/>
              </w:rPr>
              <w:t>金属边角料</w:t>
            </w:r>
            <w:r>
              <w:rPr>
                <w:rFonts w:hint="eastAsia" w:ascii="Times New Roman" w:hAnsi="Times New Roman" w:cs="Times New Roman"/>
                <w:sz w:val="24"/>
                <w:highlight w:val="none"/>
                <w:lang w:val="en-US" w:eastAsia="zh-CN"/>
              </w:rPr>
              <w:t>、废泡沫、</w:t>
            </w:r>
            <w:r>
              <w:rPr>
                <w:rFonts w:hint="default" w:ascii="Times New Roman" w:hAnsi="Times New Roman" w:cs="Times New Roman"/>
                <w:color w:val="auto"/>
                <w:sz w:val="24"/>
                <w:highlight w:val="none"/>
              </w:rPr>
              <w:t>员工</w:t>
            </w:r>
            <w:r>
              <w:rPr>
                <w:rFonts w:hint="default" w:ascii="Times New Roman" w:hAnsi="Times New Roman" w:cs="Times New Roman"/>
                <w:sz w:val="24"/>
                <w:highlight w:val="none"/>
              </w:rPr>
              <w:t>生活垃圾</w:t>
            </w:r>
            <w:r>
              <w:rPr>
                <w:rFonts w:hint="eastAsia" w:ascii="Times New Roman" w:hAnsi="Times New Roman" w:cs="Times New Roman"/>
                <w:sz w:val="24"/>
                <w:highlight w:val="none"/>
                <w:lang w:eastAsia="zh-CN"/>
              </w:rPr>
              <w:t>和</w:t>
            </w:r>
            <w:r>
              <w:rPr>
                <w:rFonts w:hint="eastAsia" w:ascii="Times New Roman" w:hAnsi="Times New Roman" w:cs="Times New Roman"/>
                <w:sz w:val="24"/>
                <w:highlight w:val="none"/>
                <w:lang w:val="en-US" w:eastAsia="zh-CN"/>
              </w:rPr>
              <w:t>盛装彩钢夹芯板粘合剂的废桶</w:t>
            </w:r>
            <w:r>
              <w:rPr>
                <w:rFonts w:hint="default" w:ascii="Times New Roman" w:hAnsi="Times New Roman" w:cs="Times New Roman"/>
                <w:sz w:val="24"/>
                <w:highlight w:val="none"/>
                <w:lang w:eastAsia="zh-CN"/>
              </w:rPr>
              <w:t>。</w:t>
            </w:r>
          </w:p>
          <w:p>
            <w:pPr>
              <w:tabs>
                <w:tab w:val="left" w:pos="495"/>
              </w:tabs>
              <w:spacing w:line="360" w:lineRule="auto"/>
              <w:ind w:firstLine="480" w:firstLineChars="200"/>
              <w:rPr>
                <w:rFonts w:hint="default" w:ascii="Times New Roman" w:hAnsi="Times New Roman" w:eastAsia="宋体" w:cs="Times New Roman"/>
                <w:color w:val="auto"/>
                <w:sz w:val="24"/>
                <w:szCs w:val="24"/>
                <w:lang w:val="en-US" w:eastAsia="zh-CN"/>
              </w:rPr>
            </w:pP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1</w:t>
            </w:r>
            <w:r>
              <w:rPr>
                <w:rFonts w:hint="eastAsia" w:ascii="Times New Roman" w:hAnsi="Times New Roman" w:cs="Times New Roman"/>
                <w:color w:val="auto"/>
                <w:sz w:val="24"/>
                <w:szCs w:val="24"/>
                <w:lang w:eastAsia="zh-CN"/>
              </w:rPr>
              <w:t>）</w:t>
            </w:r>
            <w:r>
              <w:rPr>
                <w:rFonts w:hint="eastAsia" w:ascii="Times New Roman" w:hAnsi="Times New Roman" w:eastAsia="宋体" w:cs="Times New Roman"/>
                <w:color w:val="auto"/>
                <w:sz w:val="24"/>
                <w:szCs w:val="24"/>
                <w:lang w:eastAsia="zh-CN"/>
              </w:rPr>
              <w:t>废</w:t>
            </w:r>
            <w:r>
              <w:rPr>
                <w:rFonts w:hint="default" w:ascii="Times New Roman" w:hAnsi="Times New Roman" w:eastAsia="宋体" w:cs="Times New Roman"/>
                <w:color w:val="auto"/>
                <w:sz w:val="24"/>
                <w:szCs w:val="24"/>
                <w:lang w:val="en-US" w:eastAsia="zh-CN"/>
              </w:rPr>
              <w:t>金属边角料</w:t>
            </w:r>
            <w:r>
              <w:rPr>
                <w:rFonts w:hint="eastAsia" w:ascii="Times New Roman" w:hAnsi="Times New Roman" w:eastAsia="宋体" w:cs="Times New Roman"/>
                <w:color w:val="auto"/>
                <w:sz w:val="24"/>
                <w:szCs w:val="24"/>
                <w:lang w:val="en-US" w:eastAsia="zh-CN"/>
              </w:rPr>
              <w:t>和废泡沫</w:t>
            </w:r>
          </w:p>
          <w:p>
            <w:pPr>
              <w:tabs>
                <w:tab w:val="left" w:pos="495"/>
              </w:tabs>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本项目产生的</w:t>
            </w:r>
            <w:r>
              <w:rPr>
                <w:rFonts w:hint="eastAsia" w:ascii="Times New Roman" w:hAnsi="Times New Roman" w:eastAsia="宋体" w:cs="Times New Roman"/>
                <w:color w:val="auto"/>
                <w:sz w:val="24"/>
                <w:szCs w:val="24"/>
                <w:lang w:eastAsia="zh-CN"/>
              </w:rPr>
              <w:t>废</w:t>
            </w:r>
            <w:r>
              <w:rPr>
                <w:rFonts w:hint="default" w:ascii="Times New Roman" w:hAnsi="Times New Roman" w:eastAsia="宋体" w:cs="Times New Roman"/>
                <w:color w:val="auto"/>
                <w:sz w:val="24"/>
                <w:szCs w:val="24"/>
                <w:lang w:val="en-US" w:eastAsia="zh-CN"/>
              </w:rPr>
              <w:t>金属边角料</w:t>
            </w:r>
            <w:r>
              <w:rPr>
                <w:rFonts w:hint="eastAsia" w:ascii="Times New Roman" w:hAnsi="Times New Roman" w:eastAsia="宋体" w:cs="Times New Roman"/>
                <w:color w:val="auto"/>
                <w:sz w:val="24"/>
                <w:szCs w:val="24"/>
                <w:lang w:val="en-US" w:eastAsia="zh-CN"/>
              </w:rPr>
              <w:t>和废泡沫</w:t>
            </w:r>
            <w:r>
              <w:rPr>
                <w:rFonts w:hint="default" w:ascii="Times New Roman" w:hAnsi="Times New Roman" w:eastAsia="宋体" w:cs="Times New Roman"/>
                <w:color w:val="auto"/>
                <w:sz w:val="24"/>
                <w:szCs w:val="24"/>
                <w:lang w:val="en-US" w:eastAsia="zh-CN"/>
              </w:rPr>
              <w:t>约为0.</w:t>
            </w:r>
            <w:r>
              <w:rPr>
                <w:rFonts w:hint="eastAsia"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val="en-US" w:eastAsia="zh-CN"/>
              </w:rPr>
              <w:t>t/a，集中收集后，出售给废品收购站。</w:t>
            </w:r>
          </w:p>
          <w:p>
            <w:pPr>
              <w:tabs>
                <w:tab w:val="left" w:pos="495"/>
              </w:tabs>
              <w:spacing w:line="360" w:lineRule="auto"/>
              <w:ind w:firstLine="480" w:firstLineChars="200"/>
              <w:rPr>
                <w:rFonts w:hint="default" w:ascii="Times New Roman" w:hAnsi="Times New Roman" w:eastAsia="宋体" w:cs="Times New Roman"/>
                <w:color w:val="auto"/>
                <w:sz w:val="24"/>
                <w:szCs w:val="24"/>
                <w:lang w:val="en-US" w:eastAsia="zh-CN"/>
              </w:rPr>
            </w:pPr>
            <w:r>
              <w:rPr>
                <w:rFonts w:hint="eastAsia" w:ascii="Times New Roman" w:hAnsi="Times New Roman" w:cs="Times New Roman"/>
                <w:color w:val="auto"/>
                <w:sz w:val="24"/>
                <w:szCs w:val="24"/>
                <w:lang w:val="en-US" w:eastAsia="zh-CN"/>
              </w:rPr>
              <w:t>（2）</w:t>
            </w:r>
            <w:r>
              <w:rPr>
                <w:rFonts w:hint="default" w:ascii="Times New Roman" w:hAnsi="Times New Roman" w:eastAsia="宋体" w:cs="Times New Roman"/>
                <w:color w:val="auto"/>
                <w:sz w:val="24"/>
                <w:szCs w:val="24"/>
                <w:lang w:val="en-US" w:eastAsia="zh-CN"/>
              </w:rPr>
              <w:t>生活垃圾</w:t>
            </w:r>
          </w:p>
          <w:p>
            <w:pPr>
              <w:tabs>
                <w:tab w:val="left" w:pos="495"/>
              </w:tabs>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eastAsia="zh-CN"/>
              </w:rPr>
              <w:t>项目劳动定员</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lang w:eastAsia="zh-CN"/>
              </w:rPr>
              <w:t>人，年工作时间</w:t>
            </w:r>
            <w:r>
              <w:rPr>
                <w:rFonts w:hint="eastAsia" w:ascii="Times New Roman" w:hAnsi="Times New Roman" w:cs="Times New Roman"/>
                <w:color w:val="auto"/>
                <w:sz w:val="24"/>
                <w:szCs w:val="24"/>
                <w:lang w:val="en-US" w:eastAsia="zh-CN"/>
              </w:rPr>
              <w:t>210</w:t>
            </w:r>
            <w:r>
              <w:rPr>
                <w:rFonts w:hint="default" w:ascii="Times New Roman" w:hAnsi="Times New Roman" w:eastAsia="宋体" w:cs="Times New Roman"/>
                <w:color w:val="auto"/>
                <w:sz w:val="24"/>
                <w:szCs w:val="24"/>
                <w:lang w:eastAsia="zh-CN"/>
              </w:rPr>
              <w:t>天，排放垃圾量按</w:t>
            </w:r>
            <w:r>
              <w:rPr>
                <w:rFonts w:hint="default" w:ascii="Times New Roman" w:hAnsi="Times New Roman" w:eastAsia="宋体" w:cs="Times New Roman"/>
                <w:color w:val="auto"/>
                <w:sz w:val="24"/>
                <w:szCs w:val="24"/>
                <w:lang w:val="en-US" w:eastAsia="zh-CN"/>
              </w:rPr>
              <w:t>0.5</w:t>
            </w:r>
            <w:r>
              <w:rPr>
                <w:rFonts w:hint="default" w:ascii="Times New Roman" w:hAnsi="Times New Roman" w:eastAsia="宋体" w:cs="Times New Roman"/>
                <w:color w:val="auto"/>
                <w:sz w:val="24"/>
                <w:szCs w:val="24"/>
                <w:lang w:eastAsia="zh-CN"/>
              </w:rPr>
              <w:t>kg/人·d计，则排放生活垃圾的量约为</w:t>
            </w:r>
            <w:r>
              <w:rPr>
                <w:rFonts w:hint="eastAsia" w:ascii="Times New Roman" w:hAnsi="Times New Roman" w:cs="Times New Roman"/>
                <w:color w:val="auto"/>
                <w:sz w:val="24"/>
                <w:szCs w:val="24"/>
                <w:lang w:val="en-US" w:eastAsia="zh-CN"/>
              </w:rPr>
              <w:t>0.525</w:t>
            </w:r>
            <w:r>
              <w:rPr>
                <w:rFonts w:hint="default" w:ascii="Times New Roman" w:hAnsi="Times New Roman" w:eastAsia="宋体" w:cs="Times New Roman"/>
                <w:color w:val="auto"/>
                <w:sz w:val="24"/>
                <w:szCs w:val="24"/>
                <w:lang w:eastAsia="zh-CN"/>
              </w:rPr>
              <w:t>t/a。生活垃圾集中收集后由环卫部门统一清运，不外排，对周边环境影响较小。</w:t>
            </w:r>
          </w:p>
          <w:p>
            <w:pPr>
              <w:tabs>
                <w:tab w:val="left" w:pos="495"/>
              </w:tabs>
              <w:spacing w:line="360" w:lineRule="auto"/>
              <w:ind w:firstLine="480" w:firstLineChars="200"/>
              <w:rPr>
                <w:rFonts w:hint="eastAsia" w:ascii="Times New Roman" w:hAnsi="Times New Roman" w:eastAsia="宋体" w:cs="Times New Roman"/>
                <w:color w:val="auto"/>
                <w:sz w:val="24"/>
                <w:szCs w:val="24"/>
                <w:lang w:eastAsia="zh-CN"/>
              </w:rPr>
            </w:pPr>
            <w:r>
              <w:rPr>
                <w:rFonts w:hint="eastAsia" w:ascii="Times New Roman" w:hAnsi="Times New Roman" w:cs="Times New Roman"/>
                <w:color w:val="auto"/>
                <w:sz w:val="24"/>
                <w:szCs w:val="24"/>
                <w:lang w:eastAsia="zh-CN"/>
              </w:rPr>
              <w:t>（</w:t>
            </w:r>
            <w:r>
              <w:rPr>
                <w:rFonts w:hint="eastAsia" w:ascii="Times New Roman" w:hAnsi="Times New Roman" w:cs="Times New Roman"/>
                <w:color w:val="auto"/>
                <w:sz w:val="24"/>
                <w:szCs w:val="24"/>
                <w:lang w:val="en-US" w:eastAsia="zh-CN"/>
              </w:rPr>
              <w:t>3</w:t>
            </w:r>
            <w:r>
              <w:rPr>
                <w:rFonts w:hint="eastAsia" w:ascii="Times New Roman" w:hAnsi="Times New Roman" w:cs="Times New Roman"/>
                <w:color w:val="auto"/>
                <w:sz w:val="24"/>
                <w:szCs w:val="24"/>
                <w:lang w:eastAsia="zh-CN"/>
              </w:rPr>
              <w:t>）</w:t>
            </w:r>
            <w:r>
              <w:rPr>
                <w:rFonts w:hint="eastAsia" w:ascii="Times New Roman" w:hAnsi="Times New Roman" w:eastAsia="宋体" w:cs="Times New Roman"/>
                <w:color w:val="auto"/>
                <w:sz w:val="24"/>
                <w:szCs w:val="24"/>
                <w:lang w:eastAsia="zh-CN"/>
              </w:rPr>
              <w:t>盛装粘合剂的废桶</w:t>
            </w:r>
          </w:p>
          <w:p>
            <w:pPr>
              <w:tabs>
                <w:tab w:val="left" w:pos="495"/>
              </w:tabs>
              <w:spacing w:line="360" w:lineRule="auto"/>
              <w:ind w:firstLine="480" w:firstLineChars="200"/>
              <w:rPr>
                <w:rFonts w:hint="default"/>
                <w:lang w:eastAsia="zh-CN"/>
              </w:rPr>
            </w:pPr>
            <w:r>
              <w:rPr>
                <w:rFonts w:hint="default" w:ascii="Times New Roman" w:hAnsi="Times New Roman" w:eastAsia="宋体" w:cs="Times New Roman"/>
                <w:color w:val="auto"/>
                <w:sz w:val="24"/>
                <w:szCs w:val="24"/>
                <w:lang w:eastAsia="zh-CN"/>
              </w:rPr>
              <w:t>本项目中的夹芯板粘合剂</w:t>
            </w:r>
            <w:r>
              <w:rPr>
                <w:rFonts w:hint="eastAsia" w:ascii="Times New Roman" w:hAnsi="Times New Roman" w:eastAsia="宋体" w:cs="Times New Roman"/>
                <w:color w:val="auto"/>
                <w:sz w:val="24"/>
                <w:szCs w:val="24"/>
                <w:lang w:eastAsia="zh-CN"/>
              </w:rPr>
              <w:t>主要的成分为</w:t>
            </w:r>
            <w:r>
              <w:rPr>
                <w:rFonts w:hint="eastAsia" w:ascii="Times New Roman" w:hAnsi="Times New Roman" w:eastAsia="宋体" w:cs="Times New Roman"/>
                <w:color w:val="auto"/>
                <w:sz w:val="24"/>
                <w:szCs w:val="24"/>
                <w:lang w:val="en-US" w:eastAsia="zh-CN"/>
              </w:rPr>
              <w:t>聚亚基聚苯基异氰酸酯和聚醚混合物，详细成分比见表3，经核实其</w:t>
            </w:r>
            <w:r>
              <w:rPr>
                <w:rFonts w:hint="default" w:ascii="Times New Roman" w:hAnsi="Times New Roman" w:eastAsia="宋体" w:cs="Times New Roman"/>
                <w:color w:val="auto"/>
                <w:sz w:val="24"/>
                <w:szCs w:val="24"/>
                <w:lang w:eastAsia="zh-CN"/>
              </w:rPr>
              <w:t>不属于危险废物，则盛装粘合剂的废桶则认定为一般固体废物，产生量为</w:t>
            </w:r>
            <w:r>
              <w:rPr>
                <w:rFonts w:hint="default" w:ascii="Times New Roman" w:hAnsi="Times New Roman" w:eastAsia="宋体" w:cs="Times New Roman"/>
                <w:color w:val="auto"/>
                <w:sz w:val="24"/>
                <w:szCs w:val="24"/>
                <w:lang w:val="en-US" w:eastAsia="zh-CN"/>
              </w:rPr>
              <w:t>0.1t/a，</w:t>
            </w:r>
            <w:r>
              <w:rPr>
                <w:rFonts w:hint="default" w:ascii="Times New Roman" w:hAnsi="Times New Roman" w:eastAsia="宋体" w:cs="Times New Roman"/>
                <w:color w:val="auto"/>
                <w:sz w:val="24"/>
                <w:szCs w:val="24"/>
                <w:highlight w:val="none"/>
                <w:lang w:val="en-US" w:eastAsia="zh-CN"/>
              </w:rPr>
              <w:t>集中收集后，出售给废品收购站。</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lang w:val="en-US" w:eastAsia="zh-CN"/>
              </w:rPr>
              <w:t>5、环境风险分析</w:t>
            </w:r>
          </w:p>
          <w:p>
            <w:pPr>
              <w:keepNext w:val="0"/>
              <w:keepLines w:val="0"/>
              <w:suppressLineNumbers w:val="0"/>
              <w:shd w:val="clear" w:color="auto" w:fill="auto"/>
              <w:bidi w:val="0"/>
              <w:spacing w:before="60" w:beforeLines="25" w:beforeAutospacing="0" w:after="0" w:afterAutospacing="0" w:line="480" w:lineRule="exact"/>
              <w:ind w:right="0" w:firstLine="482" w:firstLineChars="200"/>
              <w:jc w:val="both"/>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5.1危险物质及工艺系统危险性（P）的分级确定</w:t>
            </w:r>
          </w:p>
          <w:p>
            <w:pPr>
              <w:spacing w:line="360" w:lineRule="auto"/>
              <w:ind w:firstLine="480"/>
              <w:rPr>
                <w:rFonts w:hint="eastAsia" w:ascii="Times New Roman" w:hAnsi="Times New Roman" w:eastAsia="宋体" w:cs="Times New Roman"/>
                <w:color w:val="000000"/>
                <w:sz w:val="24"/>
                <w:szCs w:val="24"/>
                <w:highlight w:val="none"/>
              </w:rPr>
            </w:pPr>
            <w:bookmarkStart w:id="2" w:name="_Toc8051147"/>
            <w:bookmarkStart w:id="3" w:name="_Toc29169"/>
            <w:r>
              <w:rPr>
                <w:rFonts w:hint="eastAsia" w:ascii="Times New Roman" w:hAnsi="Times New Roman" w:eastAsia="宋体" w:cs="Times New Roman"/>
                <w:color w:val="000000"/>
                <w:sz w:val="24"/>
                <w:szCs w:val="24"/>
                <w:highlight w:val="none"/>
              </w:rPr>
              <w:t>分析本项目生产、使用、储存过程中涉及的有毒有害、易燃易爆物质，参照《建设项目环境风险评价技术导则》（HJ169-2018）附录B确定危险物质的临界量。定量分析危险物质数量与临界量的比值（Q）和所属行业及生产工艺特点（M），按照附录C对危险物质及工艺系统危险性（P）等级进行判断。</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危险物质数量与临界量的比值（Q）：计算所涉及的每种危险物质在厂界内的最大存在总量与其在附录B中对应临界量的比值Q。在不同厂区的同一种物质，按其在厂界内的最大存在总量计算。</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当只涉及一种危险物质时，计算该物质的总量与其临界值比值，即为Q；</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当存在多种危险物质时，则按下式计算物质总量与其临界值比值Q；</w:t>
            </w:r>
          </w:p>
          <w:p>
            <w:pPr>
              <w:spacing w:line="360" w:lineRule="auto"/>
              <w:ind w:firstLine="480"/>
              <w:rPr>
                <w:rFonts w:hint="eastAsia" w:ascii="Times New Roman" w:hAnsi="Times New Roman" w:eastAsia="宋体" w:cs="Times New Roman"/>
                <w:color w:val="000000"/>
                <w:sz w:val="24"/>
                <w:szCs w:val="24"/>
                <w:highlight w:val="none"/>
              </w:rPr>
            </w:pPr>
            <m:oMathPara>
              <m:oMath>
                <m:r>
                  <m:rPr>
                    <m:sty m:val="p"/>
                  </m:rPr>
                  <w:rPr>
                    <w:rFonts w:hint="eastAsia" w:ascii="Cambria Math" w:hAnsi="Cambria Math" w:eastAsia="宋体" w:cs="Times New Roman"/>
                    <w:color w:val="auto"/>
                    <w:highlight w:val="none"/>
                  </w:rPr>
                  <m:t>Q=</m:t>
                </m:r>
                <m:f>
                  <m:fPr>
                    <m:ctrlPr>
                      <w:rPr>
                        <w:rFonts w:hint="eastAsia" w:ascii="Cambria Math" w:hAnsi="Cambria Math" w:eastAsia="宋体" w:cs="Times New Roman"/>
                        <w:color w:val="auto"/>
                        <w:highlight w:val="none"/>
                      </w:rPr>
                    </m:ctrlPr>
                  </m:fPr>
                  <m:num>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1</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num>
                  <m:den>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1</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den>
                </m:f>
                <m:r>
                  <m:rPr>
                    <m:sty m:val="p"/>
                  </m:rPr>
                  <w:rPr>
                    <w:rFonts w:hint="eastAsia" w:ascii="Cambria Math" w:hAnsi="Cambria Math" w:eastAsia="宋体" w:cs="Times New Roman"/>
                    <w:color w:val="auto"/>
                    <w:highlight w:val="none"/>
                  </w:rPr>
                  <m:t>+</m:t>
                </m:r>
                <m:f>
                  <m:fPr>
                    <m:ctrlPr>
                      <w:rPr>
                        <w:rFonts w:hint="eastAsia" w:ascii="Cambria Math" w:hAnsi="Cambria Math" w:eastAsia="宋体" w:cs="Times New Roman"/>
                        <w:color w:val="auto"/>
                        <w:highlight w:val="none"/>
                      </w:rPr>
                    </m:ctrlPr>
                  </m:fPr>
                  <m:num>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2</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num>
                  <m:den>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2</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den>
                </m:f>
                <m:r>
                  <m:rPr>
                    <m:sty m:val="p"/>
                  </m:rPr>
                  <w:rPr>
                    <w:rFonts w:hint="eastAsia" w:ascii="Cambria Math" w:hAnsi="Cambria Math" w:eastAsia="宋体" w:cs="Times New Roman"/>
                    <w:color w:val="auto"/>
                    <w:highlight w:val="none"/>
                  </w:rPr>
                  <m:t>+⋯+</m:t>
                </m:r>
                <m:f>
                  <m:fPr>
                    <m:ctrlPr>
                      <w:rPr>
                        <w:rFonts w:hint="eastAsia" w:ascii="Cambria Math" w:hAnsi="Cambria Math" w:eastAsia="宋体" w:cs="Times New Roman"/>
                        <w:color w:val="auto"/>
                        <w:highlight w:val="none"/>
                      </w:rPr>
                    </m:ctrlPr>
                  </m:fPr>
                  <m:num>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n</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num>
                  <m:den>
                    <m:sSub>
                      <m:sSubPr>
                        <m:ctrlPr>
                          <w:rPr>
                            <w:rFonts w:hint="eastAsia" w:ascii="Cambria Math" w:hAnsi="Cambria Math" w:eastAsia="宋体" w:cs="Times New Roman"/>
                            <w:color w:val="auto"/>
                            <w:highlight w:val="none"/>
                          </w:rPr>
                        </m:ctrlPr>
                      </m:sSubPr>
                      <m:e>
                        <m:r>
                          <m:rPr>
                            <m:sty m:val="p"/>
                          </m:rPr>
                          <w:rPr>
                            <w:rFonts w:hint="eastAsia" w:ascii="Cambria Math" w:hAnsi="Cambria Math" w:eastAsia="宋体" w:cs="Times New Roman"/>
                            <w:color w:val="auto"/>
                            <w:highlight w:val="none"/>
                          </w:rPr>
                          <m:t>Q</m:t>
                        </m:r>
                        <m:ctrlPr>
                          <w:rPr>
                            <w:rFonts w:hint="eastAsia" w:ascii="Cambria Math" w:hAnsi="Cambria Math" w:eastAsia="宋体" w:cs="Times New Roman"/>
                            <w:color w:val="auto"/>
                            <w:highlight w:val="none"/>
                          </w:rPr>
                        </m:ctrlPr>
                      </m:e>
                      <m:sub>
                        <m:r>
                          <m:rPr>
                            <m:sty m:val="p"/>
                          </m:rPr>
                          <w:rPr>
                            <w:rFonts w:hint="eastAsia" w:ascii="Cambria Math" w:hAnsi="Cambria Math" w:eastAsia="宋体" w:cs="Times New Roman"/>
                            <w:color w:val="auto"/>
                            <w:highlight w:val="none"/>
                          </w:rPr>
                          <m:t>n</m:t>
                        </m:r>
                        <m:ctrlPr>
                          <w:rPr>
                            <w:rFonts w:hint="eastAsia" w:ascii="Cambria Math" w:hAnsi="Cambria Math" w:eastAsia="宋体" w:cs="Times New Roman"/>
                            <w:color w:val="auto"/>
                            <w:highlight w:val="none"/>
                          </w:rPr>
                        </m:ctrlPr>
                      </m:sub>
                    </m:sSub>
                    <m:ctrlPr>
                      <w:rPr>
                        <w:rFonts w:hint="eastAsia" w:ascii="Cambria Math" w:hAnsi="Cambria Math" w:eastAsia="宋体" w:cs="Times New Roman"/>
                        <w:color w:val="auto"/>
                        <w:highlight w:val="none"/>
                      </w:rPr>
                    </m:ctrlPr>
                  </m:den>
                </m:f>
              </m:oMath>
            </m:oMathPara>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式中：q</w:t>
            </w:r>
            <w:r>
              <w:rPr>
                <w:rFonts w:hint="eastAsia" w:ascii="Times New Roman" w:hAnsi="Times New Roman" w:eastAsia="宋体" w:cs="Times New Roman"/>
                <w:color w:val="000000"/>
                <w:sz w:val="24"/>
                <w:szCs w:val="24"/>
                <w:highlight w:val="none"/>
                <w:vertAlign w:val="subscript"/>
              </w:rPr>
              <w:t>1</w:t>
            </w:r>
            <w:r>
              <w:rPr>
                <w:rFonts w:hint="eastAsia" w:ascii="Times New Roman" w:hAnsi="Times New Roman" w:eastAsia="宋体" w:cs="Times New Roman"/>
                <w:color w:val="000000"/>
                <w:sz w:val="24"/>
                <w:szCs w:val="24"/>
                <w:highlight w:val="none"/>
              </w:rPr>
              <w:t>，q</w:t>
            </w:r>
            <w:r>
              <w:rPr>
                <w:rFonts w:hint="eastAsia" w:ascii="Times New Roman" w:hAnsi="Times New Roman" w:eastAsia="宋体" w:cs="Times New Roman"/>
                <w:color w:val="000000"/>
                <w:sz w:val="24"/>
                <w:szCs w:val="24"/>
                <w:highlight w:val="none"/>
                <w:vertAlign w:val="subscript"/>
              </w:rPr>
              <w:t>2</w:t>
            </w:r>
            <w:r>
              <w:rPr>
                <w:rFonts w:hint="eastAsia" w:ascii="Times New Roman" w:hAnsi="Times New Roman" w:eastAsia="宋体" w:cs="Times New Roman"/>
                <w:color w:val="000000"/>
                <w:sz w:val="24"/>
                <w:szCs w:val="24"/>
                <w:highlight w:val="none"/>
              </w:rPr>
              <w:t>，…，qn——每种危险物质的最大存在总量，t；</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Q</w:t>
            </w:r>
            <w:r>
              <w:rPr>
                <w:rFonts w:hint="eastAsia" w:ascii="Times New Roman" w:hAnsi="Times New Roman" w:eastAsia="宋体" w:cs="Times New Roman"/>
                <w:color w:val="000000"/>
                <w:sz w:val="24"/>
                <w:szCs w:val="24"/>
                <w:highlight w:val="none"/>
                <w:vertAlign w:val="subscript"/>
              </w:rPr>
              <w:t>1</w:t>
            </w:r>
            <w:r>
              <w:rPr>
                <w:rFonts w:hint="eastAsia" w:ascii="Times New Roman" w:hAnsi="Times New Roman" w:eastAsia="宋体" w:cs="Times New Roman"/>
                <w:color w:val="000000"/>
                <w:sz w:val="24"/>
                <w:szCs w:val="24"/>
                <w:highlight w:val="none"/>
              </w:rPr>
              <w:t>，Q</w:t>
            </w:r>
            <w:r>
              <w:rPr>
                <w:rFonts w:hint="eastAsia" w:ascii="Times New Roman" w:hAnsi="Times New Roman" w:eastAsia="宋体" w:cs="Times New Roman"/>
                <w:color w:val="000000"/>
                <w:sz w:val="24"/>
                <w:szCs w:val="24"/>
                <w:highlight w:val="none"/>
                <w:vertAlign w:val="subscript"/>
              </w:rPr>
              <w:t>2</w:t>
            </w:r>
            <w:r>
              <w:rPr>
                <w:rFonts w:hint="eastAsia" w:ascii="Times New Roman" w:hAnsi="Times New Roman" w:eastAsia="宋体" w:cs="Times New Roman"/>
                <w:color w:val="000000"/>
                <w:sz w:val="24"/>
                <w:szCs w:val="24"/>
                <w:highlight w:val="none"/>
              </w:rPr>
              <w:t>，…，Qn——每种危险物质的临界量，t；</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当Q&lt;1时，该项目环境风险潜势为Ⅰ。</w:t>
            </w:r>
          </w:p>
          <w:p>
            <w:pPr>
              <w:spacing w:line="360" w:lineRule="auto"/>
              <w:ind w:firstLine="480"/>
              <w:rPr>
                <w:rFonts w:hint="eastAsia" w:ascii="Times New Roman" w:hAnsi="Times New Roman" w:eastAsia="宋体" w:cs="Times New Roman"/>
                <w:color w:val="000000"/>
                <w:sz w:val="24"/>
                <w:szCs w:val="24"/>
                <w:highlight w:val="none"/>
              </w:rPr>
            </w:pPr>
            <w:r>
              <w:rPr>
                <w:rFonts w:hint="eastAsia" w:ascii="Times New Roman" w:hAnsi="Times New Roman" w:eastAsia="宋体" w:cs="Times New Roman"/>
                <w:color w:val="000000"/>
                <w:sz w:val="24"/>
                <w:szCs w:val="24"/>
                <w:highlight w:val="none"/>
              </w:rPr>
              <w:t>当Q≥1时，将Q值划分为：（1）1≤Q&lt;10；（2）10≤Q&lt;100（3）Q≥100</w:t>
            </w:r>
          </w:p>
          <w:p>
            <w:pPr>
              <w:pageBreakBefore w:val="0"/>
              <w:widowControl w:val="0"/>
              <w:kinsoku/>
              <w:wordWrap/>
              <w:overflowPunct/>
              <w:topLinePunct w:val="0"/>
              <w:autoSpaceDE/>
              <w:autoSpaceDN/>
              <w:bidi w:val="0"/>
              <w:adjustRightInd/>
              <w:snapToGrid/>
              <w:spacing w:line="360" w:lineRule="auto"/>
              <w:ind w:firstLine="480"/>
              <w:textAlignment w:val="auto"/>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rPr>
              <w:t>根据《建设项目环境风险评价技术导则》（HJ169-20</w:t>
            </w:r>
            <w:r>
              <w:rPr>
                <w:rFonts w:hint="eastAsia" w:ascii="Times New Roman" w:hAnsi="Times New Roman" w:eastAsia="宋体" w:cs="Times New Roman"/>
                <w:color w:val="000000"/>
                <w:sz w:val="24"/>
                <w:szCs w:val="24"/>
                <w:highlight w:val="none"/>
                <w:lang w:val="en-US" w:eastAsia="zh-CN"/>
              </w:rPr>
              <w:t>18</w:t>
            </w:r>
            <w:r>
              <w:rPr>
                <w:rFonts w:hint="eastAsia" w:ascii="Times New Roman" w:hAnsi="Times New Roman" w:eastAsia="宋体" w:cs="Times New Roman"/>
                <w:color w:val="000000"/>
                <w:sz w:val="24"/>
                <w:szCs w:val="24"/>
                <w:highlight w:val="none"/>
              </w:rPr>
              <w:t>）附录</w:t>
            </w:r>
            <w:r>
              <w:rPr>
                <w:rFonts w:hint="eastAsia" w:ascii="Times New Roman" w:hAnsi="Times New Roman" w:eastAsia="宋体" w:cs="Times New Roman"/>
                <w:color w:val="000000"/>
                <w:sz w:val="24"/>
                <w:szCs w:val="24"/>
                <w:highlight w:val="none"/>
                <w:lang w:val="en-US" w:eastAsia="zh-CN"/>
              </w:rPr>
              <w:t>B</w:t>
            </w:r>
            <w:r>
              <w:rPr>
                <w:rFonts w:hint="eastAsia" w:ascii="Times New Roman" w:hAnsi="Times New Roman" w:eastAsia="宋体" w:cs="Times New Roman"/>
                <w:color w:val="000000"/>
                <w:sz w:val="24"/>
                <w:szCs w:val="24"/>
                <w:highlight w:val="none"/>
              </w:rPr>
              <w:t>中</w:t>
            </w:r>
            <w:r>
              <w:rPr>
                <w:rFonts w:hint="eastAsia" w:ascii="Times New Roman" w:hAnsi="Times New Roman" w:eastAsia="宋体" w:cs="Times New Roman"/>
                <w:color w:val="000000"/>
                <w:sz w:val="24"/>
                <w:szCs w:val="24"/>
                <w:highlight w:val="none"/>
                <w:lang w:eastAsia="zh-CN"/>
              </w:rPr>
              <w:t>突发环境事件风险物质及临界量表</w:t>
            </w:r>
            <w:r>
              <w:rPr>
                <w:rFonts w:hint="eastAsia" w:ascii="Times New Roman" w:hAnsi="Times New Roman" w:eastAsia="宋体" w:cs="Times New Roman"/>
                <w:color w:val="000000"/>
                <w:sz w:val="24"/>
                <w:szCs w:val="24"/>
                <w:highlight w:val="none"/>
              </w:rPr>
              <w:t>，对项目涉及的危险化学品进行识别，本项目</w:t>
            </w:r>
            <w:r>
              <w:rPr>
                <w:rFonts w:hint="eastAsia" w:ascii="Times New Roman" w:hAnsi="Times New Roman" w:eastAsia="宋体" w:cs="Times New Roman"/>
                <w:color w:val="000000"/>
                <w:sz w:val="24"/>
                <w:szCs w:val="24"/>
                <w:highlight w:val="none"/>
                <w:lang w:val="en-US" w:eastAsia="zh-CN"/>
              </w:rPr>
              <w:t>不涉及</w:t>
            </w:r>
            <w:r>
              <w:rPr>
                <w:rFonts w:hint="eastAsia" w:ascii="Times New Roman" w:hAnsi="Times New Roman" w:eastAsia="宋体" w:cs="Times New Roman"/>
                <w:color w:val="000000"/>
                <w:sz w:val="24"/>
                <w:szCs w:val="24"/>
                <w:highlight w:val="none"/>
              </w:rPr>
              <w:t>《建设项目环境风险评价技术导则》（HJ169-20</w:t>
            </w:r>
            <w:r>
              <w:rPr>
                <w:rFonts w:hint="eastAsia" w:ascii="Times New Roman" w:hAnsi="Times New Roman" w:eastAsia="宋体" w:cs="Times New Roman"/>
                <w:color w:val="000000"/>
                <w:sz w:val="24"/>
                <w:szCs w:val="24"/>
                <w:highlight w:val="none"/>
                <w:lang w:val="en-US" w:eastAsia="zh-CN"/>
              </w:rPr>
              <w:t>18</w:t>
            </w:r>
            <w:r>
              <w:rPr>
                <w:rFonts w:hint="eastAsia" w:ascii="Times New Roman" w:hAnsi="Times New Roman" w:eastAsia="宋体" w:cs="Times New Roman"/>
                <w:color w:val="000000"/>
                <w:sz w:val="24"/>
                <w:szCs w:val="24"/>
                <w:highlight w:val="none"/>
              </w:rPr>
              <w:t>）附录</w:t>
            </w:r>
            <w:r>
              <w:rPr>
                <w:rFonts w:hint="eastAsia" w:ascii="Times New Roman" w:hAnsi="Times New Roman" w:eastAsia="宋体" w:cs="Times New Roman"/>
                <w:color w:val="000000"/>
                <w:sz w:val="24"/>
                <w:szCs w:val="24"/>
                <w:highlight w:val="none"/>
                <w:lang w:val="en-US" w:eastAsia="zh-CN"/>
              </w:rPr>
              <w:t>B</w:t>
            </w:r>
            <w:r>
              <w:rPr>
                <w:rFonts w:hint="eastAsia" w:ascii="Times New Roman" w:hAnsi="Times New Roman" w:eastAsia="宋体" w:cs="Times New Roman"/>
                <w:color w:val="000000"/>
                <w:sz w:val="24"/>
                <w:szCs w:val="24"/>
                <w:highlight w:val="none"/>
              </w:rPr>
              <w:t>中</w:t>
            </w:r>
            <w:r>
              <w:rPr>
                <w:rFonts w:hint="eastAsia" w:ascii="Times New Roman" w:hAnsi="Times New Roman" w:eastAsia="宋体" w:cs="Times New Roman"/>
                <w:color w:val="000000"/>
                <w:sz w:val="24"/>
                <w:szCs w:val="24"/>
                <w:highlight w:val="none"/>
                <w:lang w:eastAsia="zh-CN"/>
              </w:rPr>
              <w:t>突发环境事件风险物质。本项目环境风险潜势为Ⅰ。</w:t>
            </w:r>
          </w:p>
          <w:p>
            <w:pPr>
              <w:pageBreakBefore w:val="0"/>
              <w:widowControl w:val="0"/>
              <w:kinsoku/>
              <w:wordWrap/>
              <w:overflowPunct/>
              <w:topLinePunct w:val="0"/>
              <w:autoSpaceDE/>
              <w:autoSpaceDN/>
              <w:bidi w:val="0"/>
              <w:adjustRightInd/>
              <w:snapToGrid/>
              <w:spacing w:line="360" w:lineRule="auto"/>
              <w:ind w:firstLine="480"/>
              <w:textAlignment w:val="auto"/>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eastAsia="zh-CN"/>
              </w:rPr>
              <w:t>依据《建设项目环境风险评价技术导则》（HJ169-2018）环境风险评价工作等级分为一级、二级、三级。根据建设项目涉及的物质及工艺系统危险性和所在地的环境敏感性确定环境风险潜势，风险潜势为Ⅳ及以上，进行一级评价；风险潜势为Ⅲ，进行二级评价；风险潜势为Ⅱ，进行三级评价；风险潜势为Ⅰ可开展简单分析。</w:t>
            </w:r>
          </w:p>
          <w:p>
            <w:pPr>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bCs/>
                <w:color w:val="000000"/>
                <w:sz w:val="24"/>
                <w:szCs w:val="24"/>
                <w:highlight w:val="none"/>
                <w:lang w:eastAsia="zh-CN"/>
              </w:rPr>
            </w:pPr>
            <w:r>
              <w:rPr>
                <w:rFonts w:hint="eastAsia" w:ascii="Times New Roman" w:hAnsi="Times New Roman" w:cs="Times New Roman"/>
                <w:b/>
                <w:bCs/>
                <w:color w:val="000000"/>
                <w:sz w:val="24"/>
                <w:szCs w:val="24"/>
                <w:highlight w:val="none"/>
                <w:lang w:eastAsia="zh-CN"/>
              </w:rPr>
              <w:t>表1</w:t>
            </w:r>
            <w:r>
              <w:rPr>
                <w:rFonts w:hint="eastAsia" w:ascii="Times New Roman" w:hAnsi="Times New Roman" w:cs="Times New Roman"/>
                <w:b/>
                <w:bCs/>
                <w:color w:val="000000"/>
                <w:sz w:val="24"/>
                <w:szCs w:val="24"/>
                <w:highlight w:val="none"/>
                <w:lang w:val="en-US" w:eastAsia="zh-CN"/>
              </w:rPr>
              <w:t xml:space="preserve">2 </w:t>
            </w:r>
            <w:r>
              <w:rPr>
                <w:rFonts w:hint="eastAsia" w:ascii="Times New Roman" w:hAnsi="Times New Roman" w:eastAsia="宋体" w:cs="Times New Roman"/>
                <w:b/>
                <w:bCs/>
                <w:color w:val="000000"/>
                <w:sz w:val="24"/>
                <w:szCs w:val="24"/>
                <w:highlight w:val="none"/>
                <w:lang w:eastAsia="zh-CN"/>
              </w:rPr>
              <w:t xml:space="preserve">  环境风险评价工作等级划分</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8"/>
              <w:gridCol w:w="1758"/>
              <w:gridCol w:w="820"/>
              <w:gridCol w:w="820"/>
              <w:gridCol w:w="2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8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sz w:val="21"/>
                      <w:szCs w:val="21"/>
                      <w:highlight w:val="none"/>
                      <w:lang w:eastAsia="zh-CN"/>
                    </w:rPr>
                  </w:pPr>
                  <w:r>
                    <w:rPr>
                      <w:rFonts w:hint="eastAsia" w:ascii="Times New Roman" w:hAnsi="Times New Roman" w:eastAsia="宋体" w:cs="Times New Roman"/>
                      <w:color w:val="000000"/>
                      <w:sz w:val="21"/>
                      <w:szCs w:val="21"/>
                      <w:highlight w:val="none"/>
                      <w:lang w:eastAsia="zh-CN"/>
                    </w:rPr>
                    <w:t>环境风险潜势</w:t>
                  </w:r>
                </w:p>
              </w:tc>
              <w:tc>
                <w:tcPr>
                  <w:tcW w:w="110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Ⅳ、Ⅳ+</w:t>
                  </w:r>
                </w:p>
              </w:tc>
              <w:tc>
                <w:tcPr>
                  <w:tcW w:w="51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Ⅲ</w:t>
                  </w:r>
                </w:p>
              </w:tc>
              <w:tc>
                <w:tcPr>
                  <w:tcW w:w="51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Ⅱ</w:t>
                  </w:r>
                </w:p>
              </w:tc>
              <w:tc>
                <w:tcPr>
                  <w:tcW w:w="1274"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8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sz w:val="21"/>
                      <w:szCs w:val="21"/>
                      <w:highlight w:val="none"/>
                      <w:lang w:eastAsia="zh-CN"/>
                    </w:rPr>
                  </w:pPr>
                  <w:r>
                    <w:rPr>
                      <w:rFonts w:hint="eastAsia" w:ascii="Times New Roman" w:hAnsi="Times New Roman" w:eastAsia="宋体" w:cs="Times New Roman"/>
                      <w:color w:val="000000"/>
                      <w:sz w:val="21"/>
                      <w:szCs w:val="21"/>
                      <w:highlight w:val="none"/>
                      <w:lang w:eastAsia="zh-CN"/>
                    </w:rPr>
                    <w:t>评价工作等级</w:t>
                  </w:r>
                </w:p>
              </w:tc>
              <w:tc>
                <w:tcPr>
                  <w:tcW w:w="110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一</w:t>
                  </w:r>
                </w:p>
              </w:tc>
              <w:tc>
                <w:tcPr>
                  <w:tcW w:w="51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二</w:t>
                  </w:r>
                </w:p>
              </w:tc>
              <w:tc>
                <w:tcPr>
                  <w:tcW w:w="516"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三</w:t>
                  </w:r>
                </w:p>
              </w:tc>
              <w:tc>
                <w:tcPr>
                  <w:tcW w:w="1274" w:type="pct"/>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简单分析</w:t>
                  </w:r>
                  <w:r>
                    <w:rPr>
                      <w:rFonts w:hint="default" w:ascii="Times New Roman" w:hAnsi="Times New Roman" w:eastAsia="宋体" w:cs="Times New Roman"/>
                      <w:color w:val="000000"/>
                      <w:sz w:val="21"/>
                      <w:szCs w:val="21"/>
                      <w:highlight w:val="none"/>
                      <w:vertAlign w:val="superscript"/>
                      <w:lang w:eastAsia="zh-CN"/>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tcBorders>
                    <w:tl2br w:val="nil"/>
                    <w:tr2bl w:val="nil"/>
                  </w:tcBorders>
                  <w:noWrap w:val="0"/>
                  <w:vAlign w:val="center"/>
                </w:tcPr>
                <w:p>
                  <w:pPr>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宋体" w:cs="Times New Roman"/>
                      <w:color w:val="000000"/>
                      <w:sz w:val="21"/>
                      <w:szCs w:val="21"/>
                      <w:highlight w:val="none"/>
                      <w:lang w:eastAsia="zh-CN"/>
                    </w:rPr>
                  </w:pPr>
                  <w:r>
                    <w:rPr>
                      <w:rFonts w:hint="eastAsia" w:ascii="Times New Roman" w:hAnsi="Times New Roman" w:eastAsia="宋体" w:cs="Times New Roman"/>
                      <w:color w:val="000000"/>
                      <w:sz w:val="21"/>
                      <w:szCs w:val="21"/>
                      <w:highlight w:val="none"/>
                      <w:lang w:eastAsia="zh-CN"/>
                    </w:rPr>
                    <w:t>a是相对于详细评价工作内容而言，在描述危险物质、环境影响途径、环境危害后果、风险防范措施等方面给出定性说明。</w:t>
                  </w:r>
                </w:p>
              </w:tc>
            </w:tr>
          </w:tbl>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eastAsia="宋体" w:cs="Times New Roman"/>
                <w:color w:val="000000"/>
                <w:sz w:val="24"/>
                <w:szCs w:val="24"/>
                <w:highlight w:val="none"/>
                <w:lang w:eastAsia="zh-CN"/>
              </w:rPr>
            </w:pPr>
            <w:r>
              <w:rPr>
                <w:rFonts w:hint="eastAsia" w:ascii="Times New Roman" w:hAnsi="Times New Roman" w:eastAsia="宋体" w:cs="Times New Roman"/>
                <w:color w:val="000000"/>
                <w:sz w:val="24"/>
                <w:szCs w:val="24"/>
                <w:highlight w:val="none"/>
                <w:lang w:eastAsia="zh-CN"/>
              </w:rPr>
              <w:t>根据</w:t>
            </w:r>
            <w:r>
              <w:rPr>
                <w:rFonts w:hint="eastAsia" w:ascii="Times New Roman" w:hAnsi="Times New Roman" w:cs="Times New Roman"/>
                <w:color w:val="000000"/>
                <w:sz w:val="24"/>
                <w:szCs w:val="24"/>
                <w:highlight w:val="none"/>
                <w:lang w:eastAsia="zh-CN"/>
              </w:rPr>
              <w:t>表1</w:t>
            </w:r>
            <w:r>
              <w:rPr>
                <w:rFonts w:hint="eastAsia" w:ascii="Times New Roman" w:hAnsi="Times New Roman" w:cs="Times New Roman"/>
                <w:color w:val="000000"/>
                <w:sz w:val="24"/>
                <w:szCs w:val="24"/>
                <w:highlight w:val="none"/>
                <w:lang w:val="en-US" w:eastAsia="zh-CN"/>
              </w:rPr>
              <w:t>2</w:t>
            </w:r>
            <w:r>
              <w:rPr>
                <w:rFonts w:hint="eastAsia" w:ascii="Times New Roman" w:hAnsi="Times New Roman" w:eastAsia="宋体" w:cs="Times New Roman"/>
                <w:color w:val="000000"/>
                <w:sz w:val="24"/>
                <w:szCs w:val="24"/>
                <w:highlight w:val="none"/>
                <w:lang w:eastAsia="zh-CN"/>
              </w:rPr>
              <w:t>，本项目的环境风险评价等级为简单分析，按照《建设项目环境风险评价技术导则》（HJ169-2018）附录A要求在描述危险物质、环境影响途径、环境危害后果、风险防范措施等方面给出定性说明。</w:t>
            </w:r>
          </w:p>
          <w:p>
            <w:pPr>
              <w:keepNext w:val="0"/>
              <w:keepLines w:val="0"/>
              <w:suppressLineNumbers w:val="0"/>
              <w:shd w:val="clear" w:color="auto" w:fill="auto"/>
              <w:bidi w:val="0"/>
              <w:spacing w:before="60" w:beforeLines="25" w:beforeAutospacing="0" w:after="0" w:afterAutospacing="0" w:line="480" w:lineRule="exact"/>
              <w:ind w:right="0" w:firstLine="482" w:firstLineChars="200"/>
              <w:jc w:val="both"/>
              <w:rPr>
                <w:rFonts w:hint="eastAsia"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5.2风险防范措施</w:t>
            </w:r>
            <w:bookmarkEnd w:id="2"/>
            <w:bookmarkEnd w:id="3"/>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根据《关于进一步加强环境影响评价管理防范环境风险的通知》（环发【2012】77号），“建设单位及其所属企业是环境风险防范的责任主体”，因此建设单位应严格按照该文中的规定执行，同时“应建立有效的环境风险防范与应急管理体系并不断完善”。</w:t>
            </w:r>
          </w:p>
          <w:p>
            <w:pPr>
              <w:keepNext w:val="0"/>
              <w:keepLines w:val="0"/>
              <w:suppressLineNumbers w:val="0"/>
              <w:shd w:val="clear" w:color="auto" w:fill="auto"/>
              <w:bidi w:val="0"/>
              <w:spacing w:before="60" w:beforeLines="25" w:beforeAutospacing="0" w:after="0" w:afterAutospacing="0" w:line="480" w:lineRule="exact"/>
              <w:ind w:left="0" w:right="0" w:firstLine="482" w:firstLineChars="200"/>
              <w:jc w:val="both"/>
              <w:rPr>
                <w:rFonts w:hint="eastAsia"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5.2.1风险防范措施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（1）总图布置和建筑安全措施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①总图布置根据功能分区布置。各建构筑物均按火灾危险等级进行设计。</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②本期项目通风考虑整体通风与局部排风相结合。</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（2）工艺设计及机械设备安全措施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①以国家、地方相关法律、法规、标准、规范为依据进行项目设计；根据规范对承重的钢框架、支架、管架等采取可靠的耐火保护措施，以提高钢结构的耐火极限。</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②生产装置防爆区内设计静电接地，具有火灾、爆炸危险的场所，以及静电危害人身安全、金属用具等均应接地。高大设备和厂房设防雷装置。</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（3）消防、火灾和爆炸防范措施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①加强设备的管理与维修、切实做好火灾、爆炸和消防等安全措施。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②本项目装置内的设备、管道、建构筑物之间保持一定的防火间距。有火灾爆炸危险场所的建构筑物的结构形式以及选用材料应符合防火防爆要求，具有可燃气体、易燃气体的生产装置设防静电接地系统，具有火灾爆炸危险的生产设备和管道设计安全阀、爆破板、水封、阻火器等防爆阻火设施。</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③生产装置及建构筑物的布置充分利用自然采光。具有火灾、爆炸、毒物危害的作业区设计事故状态时，能延时工作的事故照明，装置内潮湿和高温等危险环境采用安全电压。</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④厂房按规定合理设置走道、安全出口以利发生火灾时人员的紧急疏散。</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5.2.2风险应急预案</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无论预防工作如何周密，风险事故总是难以根本杜绝，针对该建设项目的特性，建设单位应编制事故应急预案。风险应急预案主要是为了针对重大风险事故发生时所设定的紧急补救措施，避免更大的人员伤亡和财产损失，在突发的风险事故中，能够迅速准确地处理事故和控制事态发展，把损失降到最低限度。</w:t>
            </w:r>
          </w:p>
          <w:p>
            <w:pPr>
              <w:keepNext w:val="0"/>
              <w:keepLines w:val="0"/>
              <w:suppressLineNumbers w:val="0"/>
              <w:shd w:val="clear" w:color="auto" w:fill="auto"/>
              <w:bidi w:val="0"/>
              <w:spacing w:before="60" w:beforeLines="25" w:beforeAutospacing="0" w:after="0" w:afterAutospacing="0" w:line="480" w:lineRule="exact"/>
              <w:ind w:left="0" w:right="0" w:firstLine="480" w:firstLineChars="200"/>
              <w:jc w:val="both"/>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根据有关法律法规，坚持“预防为主”的指导思想兼有统一指挥、行之有理、行之有效、行之迅速、将损失降到最低的原则，建设单位应按照相关部门要求编制本项目风险事故应急预案。</w:t>
            </w:r>
          </w:p>
          <w:p>
            <w:pPr>
              <w:suppressLineNumbers w:val="0"/>
              <w:spacing w:beforeAutospacing="0" w:afterAutospacing="0" w:line="480" w:lineRule="exact"/>
              <w:jc w:val="center"/>
              <w:rPr>
                <w:rFonts w:hint="eastAsia" w:ascii="Times New Roman" w:hAnsi="Times New Roman" w:eastAsia="宋体" w:cs="宋体"/>
                <w:b/>
                <w:bCs/>
                <w:color w:val="auto"/>
                <w:sz w:val="24"/>
                <w:highlight w:val="none"/>
                <w:lang w:val="en-US" w:eastAsia="zh-CN"/>
              </w:rPr>
            </w:pPr>
            <w:r>
              <w:rPr>
                <w:rFonts w:hint="eastAsia" w:ascii="Times New Roman" w:hAnsi="Times New Roman" w:cs="宋体"/>
                <w:b/>
                <w:bCs/>
                <w:color w:val="auto"/>
                <w:sz w:val="24"/>
                <w:highlight w:val="none"/>
                <w:lang w:val="en-US" w:eastAsia="zh-CN"/>
              </w:rPr>
              <w:t xml:space="preserve">表13  </w:t>
            </w:r>
            <w:r>
              <w:rPr>
                <w:rFonts w:hint="eastAsia" w:ascii="Times New Roman" w:hAnsi="Times New Roman" w:eastAsia="宋体" w:cs="宋体"/>
                <w:b/>
                <w:bCs/>
                <w:color w:val="auto"/>
                <w:sz w:val="24"/>
                <w:highlight w:val="none"/>
                <w:lang w:val="en-US" w:eastAsia="zh-CN"/>
              </w:rPr>
              <w:t xml:space="preserve"> 环境风险突发事故应急预案</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
              <w:gridCol w:w="1809"/>
              <w:gridCol w:w="5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序号</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项目</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内容及要求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危险源情况</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详细说明危险源类型、数量、分布及其对环境的风险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应急计划区</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default" w:ascii="Times New Roman" w:hAnsi="Times New Roman" w:eastAsia="宋体" w:cs="宋体"/>
                      <w:color w:val="auto"/>
                      <w:sz w:val="21"/>
                      <w:szCs w:val="21"/>
                      <w:highlight w:val="none"/>
                      <w:lang w:val="en-US" w:eastAsia="zh-CN"/>
                    </w:rPr>
                  </w:pPr>
                  <w:r>
                    <w:rPr>
                      <w:rFonts w:hint="eastAsia" w:ascii="Times New Roman" w:hAnsi="Times New Roman" w:cs="宋体"/>
                      <w:color w:val="auto"/>
                      <w:sz w:val="21"/>
                      <w:szCs w:val="21"/>
                      <w:highlight w:val="none"/>
                      <w:lang w:val="en-US" w:eastAsia="zh-CN"/>
                    </w:rPr>
                    <w:t>生产区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应急组织</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企业：成立公司应急指挥小组，由公司最高领导层担任小组长，负责现场全面指挥，专业救援队伍负责事故控制、救援和善后处理；临近地区：地区指挥部—负责企业附近地区全面指挥，救援，管制和疏散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应急状态分类应急响应程序</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规定环境风险事故的级别及相应的应急状态分类，以此制定相应的应急响应程序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default" w:ascii="Times New Roman" w:hAnsi="Times New Roman" w:eastAsia="宋体" w:cs="宋体"/>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应急通讯</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通告与交通</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规定应急状态下的通讯、通告方式和交通保障、管理等事项。可充分利用现代化的通信设施，如手机、固定电话、广播、电视等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6</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应急环境监测及事故后评价</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由专业人员对环境分析事故现场进行应急监测，对事故性质、严重程度均所造成的环境危害后果进行评估，吸取经验教训避免再次发生事故，为指挥部门提供决策依据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7</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应急防护措施消除泄漏措施及需使用器材</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事故现场：控制事故发展，防止扩大、蔓延及连锁反应；清除现场泄泥物，降低危害；相应的设施器材配备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8</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应急剂量控制撤离组织计划医疗救护与保护公众健康</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事故现场：事故处理人员制定毒物的应急剂量、现场及临近装置人员的撤离组织计划和紧急救护方案；</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cs="宋体"/>
                      <w:color w:val="auto"/>
                      <w:sz w:val="21"/>
                      <w:szCs w:val="21"/>
                      <w:highlight w:val="none"/>
                      <w:lang w:val="en-US" w:eastAsia="zh-CN"/>
                    </w:rPr>
                    <w:t>邻近地区</w:t>
                  </w:r>
                  <w:r>
                    <w:rPr>
                      <w:rFonts w:hint="eastAsia" w:ascii="Times New Roman" w:hAnsi="Times New Roman" w:eastAsia="宋体" w:cs="宋体"/>
                      <w:color w:val="auto"/>
                      <w:sz w:val="21"/>
                      <w:szCs w:val="21"/>
                      <w:highlight w:val="none"/>
                      <w:lang w:val="en-US" w:eastAsia="zh-CN"/>
                    </w:rPr>
                    <w:t>：制定受事故影响的临近地区内人员对毒物的应急剂量、公众的疏散组织计划和紧急救护方案。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9</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应急状态中止恢复措施</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事故现场：规定应急状态终止秩序；事故现场善后处理，</w:t>
                  </w:r>
                  <w:r>
                    <w:rPr>
                      <w:rFonts w:hint="eastAsia" w:cs="宋体"/>
                      <w:color w:val="auto"/>
                      <w:sz w:val="21"/>
                      <w:szCs w:val="21"/>
                      <w:highlight w:val="none"/>
                      <w:lang w:val="en-US" w:eastAsia="zh-CN"/>
                    </w:rPr>
                    <w:t>恢复生产</w:t>
                  </w:r>
                  <w:r>
                    <w:rPr>
                      <w:rFonts w:hint="eastAsia" w:ascii="Times New Roman" w:hAnsi="Times New Roman" w:eastAsia="宋体" w:cs="宋体"/>
                      <w:color w:val="auto"/>
                      <w:sz w:val="21"/>
                      <w:szCs w:val="21"/>
                      <w:highlight w:val="none"/>
                      <w:lang w:val="en-US" w:eastAsia="zh-CN"/>
                    </w:rPr>
                    <w:t>措施；</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cs="宋体"/>
                      <w:color w:val="auto"/>
                      <w:sz w:val="21"/>
                      <w:szCs w:val="21"/>
                      <w:highlight w:val="none"/>
                      <w:lang w:val="en-US" w:eastAsia="zh-CN"/>
                    </w:rPr>
                    <w:t>邻近地区</w:t>
                  </w:r>
                  <w:r>
                    <w:rPr>
                      <w:rFonts w:hint="eastAsia" w:ascii="Times New Roman" w:hAnsi="Times New Roman" w:eastAsia="宋体" w:cs="宋体"/>
                      <w:color w:val="auto"/>
                      <w:sz w:val="21"/>
                      <w:szCs w:val="21"/>
                      <w:highlight w:val="none"/>
                      <w:lang w:val="en-US" w:eastAsia="zh-CN"/>
                    </w:rPr>
                    <w:t>：解除事故警戒，公众返回和善后回复措施。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10</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人员培训</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与演习</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应急计划制定后，平时安排事故出路人员进行相关知识培训并进行事故应急处理演习；对工厂工人进行安全卫生教育。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11</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公众教育</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信息发布</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对工厂临近地区公众开展环境风险事故预防教育、应急知识培训并定期发布相关信息。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12</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记录和报告</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设应急事故专门记录，建立档案和报告制度，设专门部门负责管理。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trPr>
              <w:tc>
                <w:tcPr>
                  <w:tcW w:w="28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13</w:t>
                  </w:r>
                </w:p>
              </w:tc>
              <w:tc>
                <w:tcPr>
                  <w:tcW w:w="1138"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附件</w:t>
                  </w:r>
                </w:p>
              </w:tc>
              <w:tc>
                <w:tcPr>
                  <w:tcW w:w="3575" w:type="pct"/>
                  <w:tcBorders>
                    <w:tl2br w:val="nil"/>
                    <w:tr2bl w:val="nil"/>
                  </w:tcBorders>
                  <w:noWrap w:val="0"/>
                  <w:vAlign w:val="center"/>
                </w:tcPr>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Autospacing="0" w:afterAutospacing="0" w:line="240" w:lineRule="auto"/>
                    <w:ind w:firstLine="0" w:firstLineChars="0"/>
                    <w:jc w:val="center"/>
                    <w:textAlignment w:val="auto"/>
                    <w:rPr>
                      <w:rFonts w:hint="eastAsia" w:ascii="Times New Roman" w:hAnsi="Times New Roman" w:eastAsia="宋体" w:cs="宋体"/>
                      <w:color w:val="auto"/>
                      <w:sz w:val="21"/>
                      <w:szCs w:val="21"/>
                      <w:highlight w:val="none"/>
                      <w:lang w:val="en-US" w:eastAsia="zh-CN"/>
                    </w:rPr>
                  </w:pPr>
                  <w:r>
                    <w:rPr>
                      <w:rFonts w:hint="eastAsia" w:ascii="Times New Roman" w:hAnsi="Times New Roman" w:eastAsia="宋体" w:cs="宋体"/>
                      <w:color w:val="auto"/>
                      <w:sz w:val="21"/>
                      <w:szCs w:val="21"/>
                      <w:highlight w:val="none"/>
                      <w:lang w:val="en-US" w:eastAsia="zh-CN"/>
                    </w:rPr>
                    <w:t>准备并形成环境风险事故应急处理有关的附件材料。</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黑体" w:cs="Times New Roman"/>
                <w:b/>
                <w:bCs/>
                <w:color w:val="auto"/>
                <w:highlight w:val="none"/>
                <w:lang w:val="en-US" w:eastAsia="zh-CN"/>
              </w:rPr>
            </w:pPr>
            <w:r>
              <w:rPr>
                <w:rFonts w:hint="eastAsia" w:ascii="Times New Roman" w:hAnsi="Times New Roman" w:eastAsia="黑体" w:cs="Times New Roman"/>
                <w:b/>
                <w:bCs/>
                <w:color w:val="auto"/>
                <w:highlight w:val="none"/>
                <w:lang w:val="en-US" w:eastAsia="zh-CN"/>
              </w:rPr>
              <w:t>6、</w:t>
            </w:r>
            <w:r>
              <w:rPr>
                <w:rFonts w:hint="default" w:ascii="Times New Roman" w:hAnsi="Times New Roman" w:eastAsia="黑体" w:cs="Times New Roman"/>
                <w:b/>
                <w:bCs/>
                <w:color w:val="auto"/>
                <w:highlight w:val="none"/>
                <w:lang w:val="en-US" w:eastAsia="zh-CN"/>
              </w:rPr>
              <w:t>环境监测计划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rPr>
            </w:pPr>
            <w:r>
              <w:rPr>
                <w:rFonts w:hint="default" w:ascii="Times New Roman" w:hAnsi="Times New Roman" w:cs="Times New Roman"/>
                <w:highlight w:val="none"/>
              </w:rPr>
              <w:t>根据</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排污单位自行监测技术指南总则</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HJ 819-2017</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排污许可证申请与核发技术规范</w:t>
            </w:r>
            <w:r>
              <w:rPr>
                <w:rFonts w:hint="eastAsia" w:ascii="Times New Roman" w:hAnsi="Times New Roman" w:cs="Times New Roman"/>
                <w:highlight w:val="none"/>
                <w:lang w:val="en-US" w:eastAsia="zh-CN"/>
              </w:rPr>
              <w:t xml:space="preserve"> 总则</w:t>
            </w:r>
            <w:r>
              <w:rPr>
                <w:rFonts w:hint="default" w:ascii="Times New Roman" w:hAnsi="Times New Roman" w:cs="Times New Roman"/>
                <w:highlight w:val="none"/>
                <w:lang w:eastAsia="zh-CN"/>
              </w:rPr>
              <w:t>》</w:t>
            </w:r>
            <w:r>
              <w:rPr>
                <w:rFonts w:hint="eastAsia" w:ascii="Times New Roman" w:hAnsi="Times New Roman" w:cs="Times New Roman"/>
                <w:highlight w:val="none"/>
                <w:lang w:eastAsia="zh-CN"/>
              </w:rPr>
              <w:t>（</w:t>
            </w:r>
            <w:r>
              <w:rPr>
                <w:rFonts w:hint="eastAsia" w:ascii="Times New Roman" w:hAnsi="Times New Roman" w:cs="Times New Roman"/>
                <w:highlight w:val="none"/>
                <w:lang w:val="en-US" w:eastAsia="zh-CN"/>
              </w:rPr>
              <w:t>HJ942-2018</w:t>
            </w:r>
            <w:r>
              <w:rPr>
                <w:rFonts w:hint="eastAsia" w:ascii="Times New Roman" w:hAnsi="Times New Roman" w:cs="Times New Roman"/>
                <w:highlight w:val="none"/>
                <w:lang w:eastAsia="zh-CN"/>
              </w:rPr>
              <w:t>）以及本项目</w:t>
            </w:r>
            <w:r>
              <w:rPr>
                <w:rFonts w:hint="default" w:ascii="Times New Roman" w:hAnsi="Times New Roman" w:cs="Times New Roman"/>
                <w:highlight w:val="none"/>
              </w:rPr>
              <w:t>工程特点，污染源及污染物排放情况，提出如下监测要求：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rPr>
            </w:pPr>
            <w:r>
              <w:rPr>
                <w:rFonts w:hint="default" w:ascii="Times New Roman" w:hAnsi="Times New Roman" w:cs="Times New Roman"/>
                <w:highlight w:val="none"/>
                <w:lang w:val="en-US" w:eastAsia="zh-CN"/>
              </w:rPr>
              <w:t>1、</w:t>
            </w:r>
            <w:r>
              <w:rPr>
                <w:rFonts w:hint="default" w:ascii="Times New Roman" w:hAnsi="Times New Roman" w:cs="Times New Roman"/>
                <w:highlight w:val="none"/>
              </w:rPr>
              <w:t>建设方应定期对厂界产生的噪声进行监测。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rPr>
            </w:pPr>
            <w:r>
              <w:rPr>
                <w:rFonts w:hint="default" w:ascii="Times New Roman" w:hAnsi="Times New Roman" w:cs="Times New Roman"/>
                <w:highlight w:val="none"/>
                <w:lang w:val="en-US" w:eastAsia="zh-CN"/>
              </w:rPr>
              <w:t>2、</w:t>
            </w:r>
            <w:r>
              <w:rPr>
                <w:rFonts w:hint="default" w:ascii="Times New Roman" w:hAnsi="Times New Roman" w:cs="Times New Roman"/>
                <w:highlight w:val="none"/>
              </w:rPr>
              <w:t>定期向当地环保局上报监测结果。</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3、</w:t>
            </w:r>
            <w:r>
              <w:rPr>
                <w:rFonts w:hint="default" w:ascii="Times New Roman" w:hAnsi="Times New Roman" w:cs="Times New Roman"/>
                <w:highlight w:val="none"/>
              </w:rPr>
              <w:t>监测中发现超标排放或其他异常情况，及时报告企业管理部门查找原因、解决处理，预测特殊情况应随时监测。</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b/>
                <w:color w:val="auto"/>
                <w:sz w:val="24"/>
                <w:highlight w:val="none"/>
                <w:lang w:eastAsia="zh-CN"/>
              </w:rPr>
            </w:pPr>
            <w:r>
              <w:rPr>
                <w:rFonts w:hint="eastAsia" w:ascii="Times New Roman" w:hAnsi="Times New Roman" w:cs="Times New Roman"/>
                <w:b/>
                <w:color w:val="auto"/>
                <w:sz w:val="24"/>
                <w:highlight w:val="none"/>
                <w:lang w:eastAsia="zh-CN"/>
              </w:rPr>
              <w:t>表15</w:t>
            </w:r>
            <w:r>
              <w:rPr>
                <w:rFonts w:hint="eastAsia" w:ascii="Times New Roman" w:hAnsi="Times New Roman" w:cs="Times New Roman"/>
                <w:b/>
                <w:color w:val="auto"/>
                <w:sz w:val="24"/>
                <w:highlight w:val="none"/>
                <w:lang w:val="en-US" w:eastAsia="zh-CN"/>
              </w:rPr>
              <w:t xml:space="preserve"> </w:t>
            </w:r>
            <w:r>
              <w:rPr>
                <w:rFonts w:hint="default" w:ascii="Times New Roman" w:hAnsi="Times New Roman" w:cs="Times New Roman"/>
                <w:b/>
                <w:color w:val="auto"/>
                <w:sz w:val="24"/>
                <w:highlight w:val="none"/>
                <w:lang w:eastAsia="zh-CN"/>
              </w:rPr>
              <w:t xml:space="preserve">  环境监测工作计划</w:t>
            </w:r>
          </w:p>
          <w:tbl>
            <w:tblPr>
              <w:tblStyle w:val="2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4"/>
              <w:gridCol w:w="3939"/>
              <w:gridCol w:w="1334"/>
              <w:gridCol w:w="1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0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b/>
                      <w:bCs/>
                      <w:color w:val="auto"/>
                      <w:sz w:val="21"/>
                      <w:szCs w:val="21"/>
                      <w:highlight w:val="none"/>
                      <w:vertAlign w:val="baseline"/>
                      <w:lang w:val="en-US" w:eastAsia="zh-CN"/>
                    </w:rPr>
                  </w:pPr>
                  <w:r>
                    <w:rPr>
                      <w:rFonts w:hint="eastAsia" w:ascii="Times New Roman" w:hAnsi="Times New Roman"/>
                      <w:b/>
                      <w:bCs/>
                      <w:color w:val="auto"/>
                      <w:sz w:val="21"/>
                      <w:szCs w:val="21"/>
                      <w:highlight w:val="none"/>
                      <w:lang w:val="en-US" w:eastAsia="zh-CN"/>
                    </w:rPr>
                    <w:t>监测内容</w:t>
                  </w:r>
                </w:p>
              </w:tc>
              <w:tc>
                <w:tcPr>
                  <w:tcW w:w="2479"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b/>
                      <w:bCs/>
                      <w:color w:val="auto"/>
                      <w:sz w:val="21"/>
                      <w:szCs w:val="21"/>
                      <w:highlight w:val="none"/>
                      <w:vertAlign w:val="baseline"/>
                      <w:lang w:val="en-US" w:eastAsia="zh-CN"/>
                    </w:rPr>
                  </w:pPr>
                  <w:r>
                    <w:rPr>
                      <w:rFonts w:hint="eastAsia" w:ascii="Times New Roman" w:hAnsi="Times New Roman"/>
                      <w:b/>
                      <w:bCs/>
                      <w:color w:val="auto"/>
                      <w:sz w:val="21"/>
                      <w:szCs w:val="21"/>
                      <w:highlight w:val="none"/>
                      <w:vertAlign w:val="baseline"/>
                      <w:lang w:val="en-US" w:eastAsia="zh-CN"/>
                    </w:rPr>
                    <w:t>监测点布设</w:t>
                  </w:r>
                </w:p>
              </w:tc>
              <w:tc>
                <w:tcPr>
                  <w:tcW w:w="84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b/>
                      <w:bCs/>
                      <w:color w:val="auto"/>
                      <w:sz w:val="21"/>
                      <w:szCs w:val="21"/>
                      <w:highlight w:val="none"/>
                      <w:vertAlign w:val="baseline"/>
                      <w:lang w:val="en-US" w:eastAsia="zh-CN"/>
                    </w:rPr>
                  </w:pPr>
                  <w:r>
                    <w:rPr>
                      <w:rFonts w:hint="eastAsia" w:ascii="Times New Roman" w:hAnsi="Times New Roman"/>
                      <w:b/>
                      <w:bCs/>
                      <w:color w:val="auto"/>
                      <w:sz w:val="21"/>
                      <w:szCs w:val="21"/>
                      <w:highlight w:val="none"/>
                      <w:vertAlign w:val="baseline"/>
                      <w:lang w:val="en-US" w:eastAsia="zh-CN"/>
                    </w:rPr>
                    <w:t>监测项目</w:t>
                  </w:r>
                </w:p>
              </w:tc>
              <w:tc>
                <w:tcPr>
                  <w:tcW w:w="9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b/>
                      <w:bCs/>
                      <w:color w:val="auto"/>
                      <w:sz w:val="21"/>
                      <w:szCs w:val="21"/>
                      <w:highlight w:val="none"/>
                      <w:vertAlign w:val="baseline"/>
                      <w:lang w:val="en-US" w:eastAsia="zh-CN"/>
                    </w:rPr>
                  </w:pPr>
                  <w:r>
                    <w:rPr>
                      <w:rFonts w:hint="eastAsia" w:ascii="Times New Roman" w:hAnsi="Times New Roman"/>
                      <w:b/>
                      <w:bCs/>
                      <w:color w:val="auto"/>
                      <w:sz w:val="21"/>
                      <w:szCs w:val="21"/>
                      <w:highlight w:val="none"/>
                      <w:vertAlign w:val="baseline"/>
                      <w:lang w:val="en-US" w:eastAsia="zh-CN"/>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0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废气</w:t>
                  </w:r>
                </w:p>
              </w:tc>
              <w:tc>
                <w:tcPr>
                  <w:tcW w:w="2479"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厂界四周</w:t>
                  </w:r>
                </w:p>
              </w:tc>
              <w:tc>
                <w:tcPr>
                  <w:tcW w:w="84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颗粒物</w:t>
                  </w:r>
                </w:p>
              </w:tc>
              <w:tc>
                <w:tcPr>
                  <w:tcW w:w="9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一次/</w:t>
                  </w:r>
                  <w:r>
                    <w:rPr>
                      <w:rFonts w:hint="eastAsia"/>
                      <w:color w:val="auto"/>
                      <w:sz w:val="21"/>
                      <w:szCs w:val="21"/>
                      <w:highlight w:val="none"/>
                      <w:vertAlign w:val="baseline"/>
                      <w:lang w:val="en-US" w:eastAsia="zh-CN"/>
                    </w:rPr>
                    <w:t>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0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p>
              </w:tc>
              <w:tc>
                <w:tcPr>
                  <w:tcW w:w="2479"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vertAlign w:val="baseline"/>
                      <w:lang w:val="en-US" w:eastAsia="zh-CN"/>
                    </w:rPr>
                  </w:pPr>
                </w:p>
              </w:tc>
              <w:tc>
                <w:tcPr>
                  <w:tcW w:w="84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挥发性有机物</w:t>
                  </w:r>
                </w:p>
              </w:tc>
              <w:tc>
                <w:tcPr>
                  <w:tcW w:w="9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一次/</w:t>
                  </w:r>
                  <w:r>
                    <w:rPr>
                      <w:rFonts w:hint="eastAsia"/>
                      <w:color w:val="auto"/>
                      <w:sz w:val="21"/>
                      <w:szCs w:val="21"/>
                      <w:highlight w:val="none"/>
                      <w:vertAlign w:val="baseline"/>
                      <w:lang w:val="en-US" w:eastAsia="zh-CN"/>
                    </w:rPr>
                    <w:t>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0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噪声</w:t>
                  </w:r>
                </w:p>
              </w:tc>
              <w:tc>
                <w:tcPr>
                  <w:tcW w:w="2479"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厂界外1m东南西北各设置一个监测点</w:t>
                  </w:r>
                </w:p>
              </w:tc>
              <w:tc>
                <w:tcPr>
                  <w:tcW w:w="84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厂界噪声</w:t>
                  </w:r>
                </w:p>
              </w:tc>
              <w:tc>
                <w:tcPr>
                  <w:tcW w:w="9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一次/</w:t>
                  </w:r>
                  <w:r>
                    <w:rPr>
                      <w:rFonts w:hint="eastAsia"/>
                      <w:color w:val="auto"/>
                      <w:sz w:val="21"/>
                      <w:szCs w:val="21"/>
                      <w:highlight w:val="none"/>
                      <w:vertAlign w:val="baseline"/>
                      <w:lang w:val="en-US" w:eastAsia="zh-CN"/>
                    </w:rPr>
                    <w:t>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0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固废</w:t>
                  </w:r>
                </w:p>
              </w:tc>
              <w:tc>
                <w:tcPr>
                  <w:tcW w:w="3319"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统计种类、产生量、处理方式、去向</w:t>
                  </w:r>
                </w:p>
              </w:tc>
              <w:tc>
                <w:tcPr>
                  <w:tcW w:w="9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olor w:val="auto"/>
                      <w:sz w:val="21"/>
                      <w:szCs w:val="21"/>
                      <w:highlight w:val="none"/>
                      <w:vertAlign w:val="baseline"/>
                      <w:lang w:val="en-US" w:eastAsia="zh-CN"/>
                    </w:rPr>
                  </w:pPr>
                  <w:r>
                    <w:rPr>
                      <w:rFonts w:hint="eastAsia" w:ascii="Times New Roman" w:hAnsi="Times New Roman"/>
                      <w:color w:val="auto"/>
                      <w:sz w:val="21"/>
                      <w:szCs w:val="21"/>
                      <w:highlight w:val="none"/>
                      <w:vertAlign w:val="baseline"/>
                      <w:lang w:val="en-US" w:eastAsia="zh-CN"/>
                    </w:rPr>
                    <w:t>每月统计一次</w:t>
                  </w:r>
                </w:p>
              </w:tc>
            </w:tr>
          </w:tbl>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黑体" w:cs="Times New Roman"/>
                <w:b/>
                <w:bCs/>
                <w:color w:val="auto"/>
                <w:highlight w:val="none"/>
                <w:lang w:val="en-US" w:eastAsia="zh-CN"/>
              </w:rPr>
            </w:pPr>
            <w:r>
              <w:rPr>
                <w:rFonts w:hint="eastAsia" w:ascii="Times New Roman" w:hAnsi="Times New Roman" w:eastAsia="黑体" w:cs="Times New Roman"/>
                <w:b/>
                <w:bCs/>
                <w:color w:val="auto"/>
                <w:highlight w:val="none"/>
                <w:lang w:val="en-US" w:eastAsia="zh-CN"/>
              </w:rPr>
              <w:t>7、环保投资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highlight w:val="none"/>
              </w:rPr>
            </w:pPr>
            <w:r>
              <w:rPr>
                <w:rFonts w:hint="default" w:ascii="Times New Roman" w:hAnsi="Times New Roman" w:cs="Times New Roman"/>
                <w:highlight w:val="none"/>
              </w:rPr>
              <w:t>本项目总投资为</w:t>
            </w:r>
            <w:r>
              <w:rPr>
                <w:rFonts w:hint="eastAsia" w:ascii="Times New Roman" w:hAnsi="Times New Roman" w:cs="Times New Roman"/>
                <w:highlight w:val="none"/>
                <w:lang w:val="en-US" w:eastAsia="zh-CN"/>
              </w:rPr>
              <w:t>30万元</w:t>
            </w:r>
            <w:r>
              <w:rPr>
                <w:rFonts w:hint="default" w:ascii="Times New Roman" w:hAnsi="Times New Roman" w:cs="Times New Roman"/>
                <w:highlight w:val="none"/>
              </w:rPr>
              <w:t>，其中</w:t>
            </w:r>
            <w:r>
              <w:rPr>
                <w:rFonts w:hint="eastAsia" w:ascii="Times New Roman" w:hAnsi="Times New Roman" w:cs="Times New Roman"/>
                <w:highlight w:val="none"/>
                <w:lang w:eastAsia="zh-CN"/>
              </w:rPr>
              <w:t>环保投资为2万元</w:t>
            </w:r>
            <w:r>
              <w:rPr>
                <w:rFonts w:hint="eastAsia"/>
                <w:highlight w:val="none"/>
                <w:lang w:eastAsia="zh-CN"/>
              </w:rPr>
              <w:t>，</w:t>
            </w:r>
            <w:r>
              <w:rPr>
                <w:rFonts w:hint="default" w:ascii="Times New Roman" w:hAnsi="Times New Roman" w:cs="Times New Roman"/>
                <w:highlight w:val="none"/>
              </w:rPr>
              <w:t>环保投资占总投资</w:t>
            </w:r>
            <w:r>
              <w:rPr>
                <w:rFonts w:hint="eastAsia" w:ascii="Times New Roman" w:hAnsi="Times New Roman" w:cs="Times New Roman"/>
                <w:highlight w:val="none"/>
                <w:lang w:eastAsia="zh-CN"/>
              </w:rPr>
              <w:t>比例为6.67%</w:t>
            </w:r>
            <w:r>
              <w:rPr>
                <w:rFonts w:hint="default" w:ascii="Times New Roman" w:hAnsi="Times New Roman" w:cs="Times New Roman"/>
                <w:highlight w:val="none"/>
              </w:rPr>
              <w:t>。</w:t>
            </w:r>
            <w:r>
              <w:rPr>
                <w:rFonts w:hint="eastAsia" w:ascii="Times New Roman" w:hAnsi="Times New Roman" w:cs="Times New Roman"/>
                <w:highlight w:val="none"/>
                <w:lang w:val="en-US" w:eastAsia="zh-CN"/>
              </w:rPr>
              <w:t>环保投资以及</w:t>
            </w:r>
            <w:r>
              <w:rPr>
                <w:rFonts w:hint="default" w:ascii="Times New Roman" w:hAnsi="Times New Roman" w:cs="Times New Roman"/>
                <w:highlight w:val="none"/>
              </w:rPr>
              <w:t>环保设施</w:t>
            </w:r>
            <w:r>
              <w:rPr>
                <w:rFonts w:hint="eastAsia" w:ascii="Times New Roman" w:hAnsi="Times New Roman" w:cs="Times New Roman"/>
                <w:highlight w:val="none"/>
                <w:lang w:eastAsia="zh-CN"/>
              </w:rPr>
              <w:t>“</w:t>
            </w:r>
            <w:r>
              <w:rPr>
                <w:rFonts w:hint="default" w:ascii="Times New Roman" w:hAnsi="Times New Roman" w:cs="Times New Roman"/>
                <w:highlight w:val="none"/>
              </w:rPr>
              <w:t>三同时</w:t>
            </w:r>
            <w:r>
              <w:rPr>
                <w:rFonts w:hint="eastAsia" w:ascii="Times New Roman" w:hAnsi="Times New Roman" w:cs="Times New Roman"/>
                <w:highlight w:val="none"/>
                <w:lang w:eastAsia="zh-CN"/>
              </w:rPr>
              <w:t>”</w:t>
            </w:r>
            <w:r>
              <w:rPr>
                <w:rFonts w:hint="default" w:ascii="Times New Roman" w:hAnsi="Times New Roman" w:cs="Times New Roman"/>
                <w:highlight w:val="none"/>
              </w:rPr>
              <w:t>验收一览表见</w:t>
            </w:r>
            <w:r>
              <w:rPr>
                <w:rFonts w:hint="default" w:ascii="Times New Roman" w:hAnsi="Times New Roman" w:cs="Times New Roman"/>
                <w:highlight w:val="none"/>
                <w:lang w:eastAsia="zh-CN"/>
              </w:rPr>
              <w:t>下表</w:t>
            </w:r>
            <w:r>
              <w:rPr>
                <w:rFonts w:hint="default" w:ascii="Times New Roman" w:hAnsi="Times New Roman" w:cs="Times New Roman"/>
                <w:highlight w:val="none"/>
              </w:rPr>
              <w:t>。</w:t>
            </w:r>
          </w:p>
          <w:p>
            <w:pPr>
              <w:pStyle w:val="2"/>
              <w:rPr>
                <w:rFonts w:hint="default"/>
              </w:rPr>
            </w:pPr>
          </w:p>
          <w:tbl>
            <w:tblPr>
              <w:tblStyle w:val="21"/>
              <w:tblpPr w:leftFromText="180" w:rightFromText="180" w:vertAnchor="text" w:horzAnchor="page" w:tblpX="23" w:tblpY="461"/>
              <w:tblOverlap w:val="never"/>
              <w:tblW w:w="82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123"/>
              <w:gridCol w:w="5146"/>
              <w:gridCol w:w="1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650" w:type="dxa"/>
                  <w:tcBorders>
                    <w:tl2br w:val="nil"/>
                    <w:tr2bl w:val="nil"/>
                  </w:tcBorders>
                  <w:noWrap w:val="0"/>
                  <w:vAlign w:val="center"/>
                </w:tcPr>
                <w:p>
                  <w:pPr>
                    <w:spacing w:line="0" w:lineRule="atLeast"/>
                    <w:jc w:val="center"/>
                    <w:rPr>
                      <w:rFonts w:hint="default" w:ascii="Times New Roman" w:hAnsi="Times New Roman" w:cs="Times New Roman"/>
                      <w:b/>
                      <w:bCs/>
                      <w:kern w:val="0"/>
                      <w:sz w:val="21"/>
                      <w:szCs w:val="21"/>
                      <w:highlight w:val="none"/>
                    </w:rPr>
                  </w:pPr>
                  <w:r>
                    <w:rPr>
                      <w:rFonts w:hint="default" w:ascii="Times New Roman" w:hAnsi="Times New Roman" w:cs="Times New Roman"/>
                      <w:b/>
                      <w:bCs/>
                      <w:kern w:val="0"/>
                      <w:sz w:val="21"/>
                      <w:szCs w:val="21"/>
                      <w:highlight w:val="none"/>
                    </w:rPr>
                    <w:t>序号</w:t>
                  </w:r>
                </w:p>
              </w:tc>
              <w:tc>
                <w:tcPr>
                  <w:tcW w:w="1123" w:type="dxa"/>
                  <w:tcBorders>
                    <w:tl2br w:val="nil"/>
                    <w:tr2bl w:val="nil"/>
                  </w:tcBorders>
                  <w:noWrap w:val="0"/>
                  <w:vAlign w:val="center"/>
                </w:tcPr>
                <w:p>
                  <w:pPr>
                    <w:spacing w:line="0" w:lineRule="atLeast"/>
                    <w:jc w:val="center"/>
                    <w:rPr>
                      <w:rFonts w:hint="default" w:ascii="Times New Roman" w:hAnsi="Times New Roman" w:cs="Times New Roman"/>
                      <w:b/>
                      <w:bCs/>
                      <w:kern w:val="0"/>
                      <w:sz w:val="21"/>
                      <w:szCs w:val="21"/>
                      <w:highlight w:val="none"/>
                    </w:rPr>
                  </w:pPr>
                  <w:r>
                    <w:rPr>
                      <w:rFonts w:hint="default" w:ascii="Times New Roman" w:hAnsi="Times New Roman" w:cs="Times New Roman"/>
                      <w:b/>
                      <w:bCs/>
                      <w:kern w:val="0"/>
                      <w:sz w:val="21"/>
                      <w:szCs w:val="21"/>
                      <w:highlight w:val="none"/>
                    </w:rPr>
                    <w:t>项目</w:t>
                  </w:r>
                </w:p>
              </w:tc>
              <w:tc>
                <w:tcPr>
                  <w:tcW w:w="5146" w:type="dxa"/>
                  <w:tcBorders>
                    <w:tl2br w:val="nil"/>
                    <w:tr2bl w:val="nil"/>
                  </w:tcBorders>
                  <w:noWrap w:val="0"/>
                  <w:vAlign w:val="center"/>
                </w:tcPr>
                <w:p>
                  <w:pPr>
                    <w:spacing w:line="0" w:lineRule="atLeast"/>
                    <w:jc w:val="center"/>
                    <w:rPr>
                      <w:rFonts w:hint="default" w:ascii="Times New Roman" w:hAnsi="Times New Roman" w:cs="Times New Roman"/>
                      <w:b/>
                      <w:bCs/>
                      <w:kern w:val="0"/>
                      <w:sz w:val="21"/>
                      <w:szCs w:val="21"/>
                      <w:highlight w:val="none"/>
                    </w:rPr>
                  </w:pPr>
                  <w:r>
                    <w:rPr>
                      <w:rFonts w:hint="default" w:ascii="Times New Roman" w:hAnsi="Times New Roman" w:cs="Times New Roman"/>
                      <w:b/>
                      <w:bCs/>
                      <w:kern w:val="0"/>
                      <w:sz w:val="21"/>
                      <w:szCs w:val="21"/>
                      <w:highlight w:val="none"/>
                    </w:rPr>
                    <w:t>环保措施</w:t>
                  </w:r>
                </w:p>
              </w:tc>
              <w:tc>
                <w:tcPr>
                  <w:tcW w:w="1379" w:type="dxa"/>
                  <w:tcBorders>
                    <w:tl2br w:val="nil"/>
                    <w:tr2bl w:val="nil"/>
                  </w:tcBorders>
                  <w:noWrap w:val="0"/>
                  <w:vAlign w:val="center"/>
                </w:tcPr>
                <w:p>
                  <w:pPr>
                    <w:spacing w:line="0" w:lineRule="atLeast"/>
                    <w:jc w:val="center"/>
                    <w:rPr>
                      <w:rFonts w:hint="default" w:ascii="Times New Roman" w:hAnsi="Times New Roman" w:cs="Times New Roman"/>
                      <w:b/>
                      <w:bCs/>
                      <w:kern w:val="0"/>
                      <w:sz w:val="21"/>
                      <w:szCs w:val="21"/>
                      <w:highlight w:val="none"/>
                    </w:rPr>
                  </w:pPr>
                  <w:r>
                    <w:rPr>
                      <w:rFonts w:hint="default" w:ascii="Times New Roman" w:hAnsi="Times New Roman" w:cs="Times New Roman"/>
                      <w:b/>
                      <w:bCs/>
                      <w:kern w:val="0"/>
                      <w:sz w:val="21"/>
                      <w:szCs w:val="21"/>
                      <w:highlight w:val="none"/>
                    </w:rPr>
                    <w:t>投资（万元）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156" w:hRule="atLeast"/>
              </w:trPr>
              <w:tc>
                <w:tcPr>
                  <w:tcW w:w="650" w:type="dxa"/>
                  <w:tcBorders>
                    <w:tl2br w:val="nil"/>
                    <w:tr2bl w:val="nil"/>
                  </w:tcBorders>
                  <w:noWrap w:val="0"/>
                  <w:vAlign w:val="center"/>
                </w:tcPr>
                <w:p>
                  <w:pPr>
                    <w:spacing w:line="0" w:lineRule="atLeast"/>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w:t>
                  </w:r>
                </w:p>
              </w:tc>
              <w:tc>
                <w:tcPr>
                  <w:tcW w:w="1123" w:type="dxa"/>
                  <w:tcBorders>
                    <w:tl2br w:val="nil"/>
                    <w:tr2bl w:val="nil"/>
                  </w:tcBorders>
                  <w:noWrap w:val="0"/>
                  <w:vAlign w:val="center"/>
                </w:tcPr>
                <w:p>
                  <w:pPr>
                    <w:spacing w:line="0" w:lineRule="atLeast"/>
                    <w:jc w:val="center"/>
                    <w:rPr>
                      <w:rFonts w:hint="default" w:ascii="Times New Roman" w:hAnsi="Times New Roman" w:cs="Times New Roman"/>
                      <w:kern w:val="0"/>
                      <w:sz w:val="21"/>
                      <w:szCs w:val="21"/>
                      <w:highlight w:val="none"/>
                    </w:rPr>
                  </w:pPr>
                  <w:r>
                    <w:rPr>
                      <w:rFonts w:hint="default" w:ascii="Times New Roman" w:hAnsi="Times New Roman" w:cs="Times New Roman"/>
                      <w:kern w:val="0"/>
                      <w:sz w:val="21"/>
                      <w:szCs w:val="21"/>
                      <w:highlight w:val="none"/>
                    </w:rPr>
                    <w:t>废气</w:t>
                  </w:r>
                </w:p>
              </w:tc>
              <w:tc>
                <w:tcPr>
                  <w:tcW w:w="5146" w:type="dxa"/>
                  <w:tcBorders>
                    <w:tl2br w:val="nil"/>
                    <w:tr2bl w:val="nil"/>
                  </w:tcBorders>
                  <w:noWrap w:val="0"/>
                  <w:vAlign w:val="center"/>
                </w:tcPr>
                <w:p>
                  <w:pPr>
                    <w:jc w:val="both"/>
                    <w:rPr>
                      <w:rFonts w:hint="default" w:ascii="Times New Roman" w:hAnsi="Times New Roman" w:cs="Times New Roman"/>
                      <w:kern w:val="0"/>
                      <w:sz w:val="21"/>
                      <w:szCs w:val="21"/>
                      <w:highlight w:val="none"/>
                    </w:rPr>
                  </w:pPr>
                  <w:r>
                    <w:rPr>
                      <w:rFonts w:hint="default" w:ascii="Times New Roman" w:hAnsi="Times New Roman" w:cs="Times New Roman"/>
                      <w:color w:val="auto"/>
                      <w:sz w:val="21"/>
                      <w:szCs w:val="21"/>
                      <w:highlight w:val="none"/>
                      <w:lang w:val="en-US" w:eastAsia="zh-CN"/>
                    </w:rPr>
                    <w:t>生产车间为</w:t>
                  </w:r>
                  <w:r>
                    <w:rPr>
                      <w:rFonts w:hint="default" w:ascii="Times New Roman" w:hAnsi="Times New Roman" w:cs="Times New Roman"/>
                      <w:color w:val="auto"/>
                      <w:sz w:val="21"/>
                      <w:szCs w:val="21"/>
                      <w:highlight w:val="none"/>
                    </w:rPr>
                    <w:t>封闭</w:t>
                  </w:r>
                  <w:r>
                    <w:rPr>
                      <w:rFonts w:hint="default" w:ascii="Times New Roman" w:hAnsi="Times New Roman" w:cs="Times New Roman"/>
                      <w:color w:val="auto"/>
                      <w:sz w:val="21"/>
                      <w:szCs w:val="21"/>
                      <w:highlight w:val="none"/>
                      <w:lang w:val="en-US" w:eastAsia="zh-CN"/>
                    </w:rPr>
                    <w:t>式</w:t>
                  </w:r>
                  <w:r>
                    <w:rPr>
                      <w:rFonts w:hint="default" w:ascii="Times New Roman" w:hAnsi="Times New Roman" w:cs="Times New Roman"/>
                      <w:color w:val="auto"/>
                      <w:kern w:val="0"/>
                      <w:sz w:val="21"/>
                      <w:szCs w:val="21"/>
                      <w:highlight w:val="none"/>
                    </w:rPr>
                    <w:t>，</w:t>
                  </w:r>
                  <w:r>
                    <w:rPr>
                      <w:rFonts w:hint="default" w:ascii="Times New Roman" w:hAnsi="Times New Roman" w:cs="Times New Roman"/>
                      <w:color w:val="auto"/>
                      <w:kern w:val="0"/>
                      <w:sz w:val="21"/>
                      <w:szCs w:val="21"/>
                      <w:highlight w:val="none"/>
                      <w:lang w:val="en-US" w:eastAsia="zh-CN"/>
                    </w:rPr>
                    <w:t>无组织排放</w:t>
                  </w:r>
                  <w:r>
                    <w:rPr>
                      <w:rFonts w:hint="eastAsia" w:ascii="Times New Roman" w:hAnsi="Times New Roman" w:cs="Times New Roman"/>
                      <w:color w:val="auto"/>
                      <w:kern w:val="0"/>
                      <w:sz w:val="21"/>
                      <w:szCs w:val="21"/>
                      <w:highlight w:val="none"/>
                      <w:lang w:val="en-US" w:eastAsia="zh-CN"/>
                    </w:rPr>
                    <w:t>的金属</w:t>
                  </w:r>
                  <w:r>
                    <w:rPr>
                      <w:rFonts w:hint="default" w:ascii="Times New Roman" w:hAnsi="Times New Roman" w:cs="Times New Roman"/>
                      <w:color w:val="auto"/>
                      <w:kern w:val="0"/>
                      <w:sz w:val="21"/>
                      <w:szCs w:val="21"/>
                      <w:highlight w:val="none"/>
                      <w:lang w:val="en-US" w:eastAsia="zh-CN"/>
                    </w:rPr>
                    <w:t>粉尘颗粒物</w:t>
                  </w:r>
                  <w:r>
                    <w:rPr>
                      <w:rFonts w:hint="eastAsia" w:ascii="Times New Roman" w:hAnsi="Times New Roman" w:cs="Times New Roman"/>
                      <w:color w:val="auto"/>
                      <w:kern w:val="0"/>
                      <w:sz w:val="21"/>
                      <w:szCs w:val="21"/>
                      <w:highlight w:val="none"/>
                      <w:lang w:val="en-US" w:eastAsia="zh-CN"/>
                    </w:rPr>
                    <w:t>满足</w:t>
                  </w:r>
                  <w:r>
                    <w:rPr>
                      <w:rFonts w:hint="default" w:ascii="Times New Roman" w:hAnsi="Times New Roman" w:cs="Times New Roman"/>
                      <w:color w:val="auto"/>
                      <w:kern w:val="0"/>
                      <w:sz w:val="21"/>
                      <w:szCs w:val="21"/>
                      <w:highlight w:val="none"/>
                      <w:lang w:val="en-US" w:eastAsia="zh-CN"/>
                    </w:rPr>
                    <w:t>《大气污染物综合排放标准》（GB16297-1996）中表2的标准</w:t>
                  </w:r>
                  <w:r>
                    <w:rPr>
                      <w:rFonts w:hint="eastAsia" w:ascii="Times New Roman" w:hAnsi="Times New Roman" w:cs="Times New Roman"/>
                      <w:color w:val="auto"/>
                      <w:kern w:val="0"/>
                      <w:sz w:val="21"/>
                      <w:szCs w:val="21"/>
                      <w:highlight w:val="none"/>
                      <w:lang w:val="en-US" w:eastAsia="zh-CN"/>
                    </w:rPr>
                    <w:t>即</w:t>
                  </w:r>
                  <w:r>
                    <w:rPr>
                      <w:rFonts w:hint="default" w:ascii="Times New Roman" w:hAnsi="Times New Roman" w:cs="Times New Roman"/>
                      <w:color w:val="auto"/>
                      <w:kern w:val="0"/>
                      <w:sz w:val="21"/>
                      <w:szCs w:val="21"/>
                      <w:highlight w:val="none"/>
                      <w:lang w:val="en-US" w:eastAsia="zh-CN"/>
                    </w:rPr>
                    <w:t>≤1.0mg/m</w:t>
                  </w:r>
                  <w:r>
                    <w:rPr>
                      <w:rFonts w:hint="eastAsia" w:ascii="Times New Roman" w:hAnsi="Times New Roman" w:cs="Times New Roman"/>
                      <w:color w:val="auto"/>
                      <w:kern w:val="0"/>
                      <w:sz w:val="21"/>
                      <w:szCs w:val="21"/>
                      <w:highlight w:val="none"/>
                      <w:vertAlign w:val="superscript"/>
                      <w:lang w:val="en-US" w:eastAsia="zh-CN"/>
                    </w:rPr>
                    <w:t>3</w:t>
                  </w:r>
                  <w:r>
                    <w:rPr>
                      <w:rFonts w:hint="eastAsia" w:ascii="Times New Roman" w:hAnsi="Times New Roman" w:cs="Times New Roman"/>
                      <w:color w:val="auto"/>
                      <w:kern w:val="0"/>
                      <w:sz w:val="21"/>
                      <w:szCs w:val="21"/>
                      <w:highlight w:val="none"/>
                      <w:vertAlign w:val="baseline"/>
                      <w:lang w:val="en-US" w:eastAsia="zh-CN"/>
                    </w:rPr>
                    <w:t>；</w:t>
                  </w:r>
                  <w:r>
                    <w:rPr>
                      <w:rFonts w:hint="eastAsia" w:ascii="Times New Roman" w:hAnsi="Times New Roman" w:cs="Times New Roman"/>
                      <w:color w:val="auto"/>
                      <w:kern w:val="0"/>
                      <w:sz w:val="21"/>
                      <w:szCs w:val="21"/>
                      <w:highlight w:val="none"/>
                      <w:lang w:eastAsia="zh-CN"/>
                    </w:rPr>
                    <w:t>无组织逸散的</w:t>
                  </w:r>
                  <w:r>
                    <w:rPr>
                      <w:rFonts w:hint="eastAsia"/>
                      <w:color w:val="auto"/>
                      <w:sz w:val="21"/>
                      <w:szCs w:val="21"/>
                      <w:highlight w:val="none"/>
                      <w:vertAlign w:val="baseline"/>
                      <w:lang w:val="en-US" w:eastAsia="zh-CN"/>
                    </w:rPr>
                    <w:t>挥发性有机物排放浓度满足《挥发性有机物无组织排放控制标准》（</w:t>
                  </w:r>
                  <w:r>
                    <w:rPr>
                      <w:rFonts w:hint="eastAsia" w:ascii="Times New Roman" w:hAnsi="Times New Roman"/>
                      <w:color w:val="auto"/>
                      <w:sz w:val="21"/>
                      <w:szCs w:val="21"/>
                      <w:highlight w:val="none"/>
                      <w:vertAlign w:val="baseline"/>
                      <w:lang w:val="en-US" w:eastAsia="zh-CN"/>
                    </w:rPr>
                    <w:t>GB</w:t>
                  </w:r>
                  <w:r>
                    <w:rPr>
                      <w:rFonts w:hint="eastAsia"/>
                      <w:color w:val="auto"/>
                      <w:sz w:val="21"/>
                      <w:szCs w:val="21"/>
                      <w:highlight w:val="none"/>
                      <w:vertAlign w:val="baseline"/>
                      <w:lang w:val="en-US" w:eastAsia="zh-CN"/>
                    </w:rPr>
                    <w:t xml:space="preserve"> </w:t>
                  </w:r>
                  <w:r>
                    <w:rPr>
                      <w:rFonts w:hint="eastAsia" w:ascii="Times New Roman" w:hAnsi="Times New Roman"/>
                      <w:color w:val="auto"/>
                      <w:sz w:val="21"/>
                      <w:szCs w:val="21"/>
                      <w:highlight w:val="none"/>
                      <w:vertAlign w:val="baseline"/>
                      <w:lang w:val="en-US" w:eastAsia="zh-CN"/>
                    </w:rPr>
                    <w:t>37822</w:t>
                  </w:r>
                  <w:r>
                    <w:rPr>
                      <w:rFonts w:hint="eastAsia"/>
                      <w:color w:val="auto"/>
                      <w:sz w:val="21"/>
                      <w:szCs w:val="21"/>
                      <w:highlight w:val="none"/>
                      <w:vertAlign w:val="baseline"/>
                      <w:lang w:val="en-US" w:eastAsia="zh-CN"/>
                    </w:rPr>
                    <w:t>-</w:t>
                  </w:r>
                  <w:r>
                    <w:rPr>
                      <w:rFonts w:hint="eastAsia" w:ascii="Times New Roman" w:hAnsi="Times New Roman"/>
                      <w:color w:val="auto"/>
                      <w:sz w:val="21"/>
                      <w:szCs w:val="21"/>
                      <w:highlight w:val="none"/>
                      <w:vertAlign w:val="baseline"/>
                      <w:lang w:val="en-US" w:eastAsia="zh-CN"/>
                    </w:rPr>
                    <w:t>2019</w:t>
                  </w:r>
                  <w:r>
                    <w:rPr>
                      <w:rFonts w:hint="eastAsia"/>
                      <w:color w:val="auto"/>
                      <w:sz w:val="21"/>
                      <w:szCs w:val="21"/>
                      <w:highlight w:val="none"/>
                      <w:vertAlign w:val="baseline"/>
                      <w:lang w:val="en-US" w:eastAsia="zh-CN"/>
                    </w:rPr>
                    <w:t>）中表</w:t>
                  </w:r>
                  <w:r>
                    <w:rPr>
                      <w:rFonts w:hint="eastAsia" w:ascii="Times New Roman" w:hAnsi="Times New Roman"/>
                      <w:color w:val="auto"/>
                      <w:sz w:val="21"/>
                      <w:szCs w:val="21"/>
                      <w:highlight w:val="none"/>
                      <w:vertAlign w:val="baseline"/>
                      <w:lang w:val="en-US" w:eastAsia="zh-CN"/>
                    </w:rPr>
                    <w:t>A</w:t>
                  </w:r>
                  <w:r>
                    <w:rPr>
                      <w:rFonts w:hint="eastAsia"/>
                      <w:color w:val="auto"/>
                      <w:sz w:val="21"/>
                      <w:szCs w:val="21"/>
                      <w:highlight w:val="none"/>
                      <w:vertAlign w:val="baseline"/>
                      <w:lang w:val="en-US" w:eastAsia="zh-CN"/>
                    </w:rPr>
                    <w:t>.</w:t>
                  </w:r>
                  <w:r>
                    <w:rPr>
                      <w:rFonts w:hint="eastAsia" w:ascii="Times New Roman" w:hAnsi="Times New Roman"/>
                      <w:color w:val="auto"/>
                      <w:sz w:val="21"/>
                      <w:szCs w:val="21"/>
                      <w:highlight w:val="none"/>
                      <w:vertAlign w:val="baseline"/>
                      <w:lang w:val="en-US" w:eastAsia="zh-CN"/>
                    </w:rPr>
                    <w:t>1</w:t>
                  </w:r>
                  <w:r>
                    <w:rPr>
                      <w:rFonts w:hint="eastAsia"/>
                      <w:color w:val="auto"/>
                      <w:sz w:val="21"/>
                      <w:szCs w:val="21"/>
                      <w:highlight w:val="none"/>
                      <w:vertAlign w:val="baseline"/>
                      <w:lang w:val="en-US" w:eastAsia="zh-CN"/>
                    </w:rPr>
                    <w:t>的监控点处</w:t>
                  </w:r>
                  <w:r>
                    <w:rPr>
                      <w:rFonts w:hint="eastAsia" w:ascii="Times New Roman" w:hAnsi="Times New Roman"/>
                      <w:color w:val="auto"/>
                      <w:sz w:val="21"/>
                      <w:szCs w:val="21"/>
                      <w:highlight w:val="none"/>
                      <w:vertAlign w:val="baseline"/>
                      <w:lang w:val="en-US" w:eastAsia="zh-CN"/>
                    </w:rPr>
                    <w:t>1h</w:t>
                  </w:r>
                  <w:r>
                    <w:rPr>
                      <w:rFonts w:hint="eastAsia"/>
                      <w:color w:val="auto"/>
                      <w:sz w:val="21"/>
                      <w:szCs w:val="21"/>
                      <w:highlight w:val="none"/>
                      <w:vertAlign w:val="baseline"/>
                      <w:lang w:val="en-US" w:eastAsia="zh-CN"/>
                    </w:rPr>
                    <w:t>平均浓度值</w:t>
                  </w:r>
                  <w:r>
                    <w:rPr>
                      <w:rFonts w:hint="eastAsia" w:ascii="Times New Roman" w:hAnsi="Times New Roman"/>
                      <w:color w:val="auto"/>
                      <w:sz w:val="21"/>
                      <w:szCs w:val="21"/>
                      <w:highlight w:val="none"/>
                      <w:vertAlign w:val="baseline"/>
                      <w:lang w:val="en-US" w:eastAsia="zh-CN"/>
                    </w:rPr>
                    <w:t>10mg</w:t>
                  </w:r>
                  <w:r>
                    <w:rPr>
                      <w:rFonts w:hint="eastAsia"/>
                      <w:color w:val="auto"/>
                      <w:sz w:val="21"/>
                      <w:szCs w:val="21"/>
                      <w:highlight w:val="none"/>
                      <w:vertAlign w:val="baseline"/>
                      <w:lang w:val="en-US" w:eastAsia="zh-CN"/>
                    </w:rPr>
                    <w:t>/</w:t>
                  </w:r>
                  <w:r>
                    <w:rPr>
                      <w:rFonts w:hint="eastAsia" w:ascii="Times New Roman" w:hAnsi="Times New Roman"/>
                      <w:color w:val="auto"/>
                      <w:sz w:val="21"/>
                      <w:szCs w:val="21"/>
                      <w:highlight w:val="none"/>
                      <w:vertAlign w:val="baseline"/>
                      <w:lang w:val="en-US" w:eastAsia="zh-CN"/>
                    </w:rPr>
                    <w:t>m</w:t>
                  </w:r>
                  <w:r>
                    <w:rPr>
                      <w:rFonts w:hint="eastAsia" w:ascii="Times New Roman" w:hAnsi="Times New Roman"/>
                      <w:color w:val="auto"/>
                      <w:sz w:val="21"/>
                      <w:szCs w:val="21"/>
                      <w:highlight w:val="none"/>
                      <w:vertAlign w:val="superscript"/>
                      <w:lang w:val="en-US" w:eastAsia="zh-CN"/>
                    </w:rPr>
                    <w:t>3</w:t>
                  </w:r>
                  <w:r>
                    <w:rPr>
                      <w:rFonts w:hint="eastAsia"/>
                      <w:color w:val="auto"/>
                      <w:sz w:val="21"/>
                      <w:szCs w:val="21"/>
                      <w:highlight w:val="none"/>
                      <w:vertAlign w:val="baseline"/>
                      <w:lang w:val="en-US" w:eastAsia="zh-CN"/>
                    </w:rPr>
                    <w:t>；</w:t>
                  </w:r>
                  <w:r>
                    <w:rPr>
                      <w:rFonts w:hint="default" w:ascii="Times New Roman" w:hAnsi="Times New Roman" w:cs="Times New Roman"/>
                      <w:color w:val="auto"/>
                      <w:kern w:val="0"/>
                      <w:sz w:val="21"/>
                      <w:szCs w:val="21"/>
                      <w:highlight w:val="none"/>
                    </w:rPr>
                    <w:t>运输过程中减速慢行，尽量降低装卸落差</w:t>
                  </w:r>
                  <w:r>
                    <w:rPr>
                      <w:rFonts w:hint="eastAsia" w:ascii="Times New Roman" w:hAnsi="Times New Roman" w:cs="Times New Roman"/>
                      <w:color w:val="auto"/>
                      <w:kern w:val="0"/>
                      <w:sz w:val="21"/>
                      <w:szCs w:val="21"/>
                      <w:highlight w:val="none"/>
                      <w:lang w:eastAsia="zh-CN"/>
                    </w:rPr>
                    <w:t>，厂区内进行洒水抑尘。</w:t>
                  </w:r>
                </w:p>
              </w:tc>
              <w:tc>
                <w:tcPr>
                  <w:tcW w:w="1379" w:type="dxa"/>
                  <w:tcBorders>
                    <w:tl2br w:val="nil"/>
                    <w:tr2bl w:val="nil"/>
                  </w:tcBorders>
                  <w:noWrap w:val="0"/>
                  <w:vAlign w:val="center"/>
                </w:tcPr>
                <w:p>
                  <w:pPr>
                    <w:jc w:val="center"/>
                    <w:rPr>
                      <w:rFonts w:hint="default" w:ascii="Times New Roman" w:hAnsi="Times New Roman" w:eastAsia="宋体" w:cs="Times New Roman"/>
                      <w:sz w:val="21"/>
                      <w:szCs w:val="21"/>
                      <w:highlight w:val="none"/>
                      <w:lang w:eastAsia="zh-CN"/>
                    </w:rPr>
                  </w:pPr>
                  <w:r>
                    <w:rPr>
                      <w:rFonts w:hint="eastAsia" w:ascii="Times New Roman" w:hAnsi="Times New Roman" w:cs="Times New Roman"/>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650" w:type="dxa"/>
                  <w:tcBorders>
                    <w:tl2br w:val="nil"/>
                    <w:tr2bl w:val="nil"/>
                  </w:tcBorders>
                  <w:noWrap w:val="0"/>
                  <w:vAlign w:val="center"/>
                </w:tcPr>
                <w:p>
                  <w:pPr>
                    <w:spacing w:line="0" w:lineRule="atLeast"/>
                    <w:jc w:val="center"/>
                    <w:rPr>
                      <w:rFonts w:hint="default" w:ascii="Times New Roman" w:hAnsi="Times New Roman" w:cs="Times New Roman"/>
                      <w:kern w:val="0"/>
                      <w:sz w:val="21"/>
                      <w:szCs w:val="21"/>
                      <w:highlight w:val="none"/>
                    </w:rPr>
                  </w:pPr>
                  <w:r>
                    <w:rPr>
                      <w:rFonts w:hint="default" w:ascii="Times New Roman" w:hAnsi="Times New Roman" w:cs="Times New Roman"/>
                      <w:kern w:val="0"/>
                      <w:sz w:val="21"/>
                      <w:szCs w:val="21"/>
                      <w:highlight w:val="none"/>
                    </w:rPr>
                    <w:t>2</w:t>
                  </w:r>
                </w:p>
              </w:tc>
              <w:tc>
                <w:tcPr>
                  <w:tcW w:w="1123" w:type="dxa"/>
                  <w:tcBorders>
                    <w:tl2br w:val="nil"/>
                    <w:tr2bl w:val="nil"/>
                  </w:tcBorders>
                  <w:noWrap w:val="0"/>
                  <w:vAlign w:val="center"/>
                </w:tcPr>
                <w:p>
                  <w:pPr>
                    <w:spacing w:line="0" w:lineRule="atLeast"/>
                    <w:jc w:val="center"/>
                    <w:rPr>
                      <w:rFonts w:hint="default" w:ascii="Times New Roman" w:hAnsi="Times New Roman" w:cs="Times New Roman"/>
                      <w:kern w:val="0"/>
                      <w:sz w:val="21"/>
                      <w:szCs w:val="21"/>
                      <w:highlight w:val="none"/>
                    </w:rPr>
                  </w:pPr>
                  <w:r>
                    <w:rPr>
                      <w:rFonts w:hint="default" w:ascii="Times New Roman" w:hAnsi="Times New Roman" w:cs="Times New Roman"/>
                      <w:kern w:val="0"/>
                      <w:sz w:val="21"/>
                      <w:szCs w:val="21"/>
                      <w:highlight w:val="none"/>
                    </w:rPr>
                    <w:t>噪声</w:t>
                  </w:r>
                </w:p>
              </w:tc>
              <w:tc>
                <w:tcPr>
                  <w:tcW w:w="5146" w:type="dxa"/>
                  <w:tcBorders>
                    <w:tl2br w:val="nil"/>
                    <w:tr2bl w:val="nil"/>
                  </w:tcBorders>
                  <w:noWrap w:val="0"/>
                  <w:vAlign w:val="center"/>
                </w:tcPr>
                <w:p>
                  <w:pPr>
                    <w:jc w:val="center"/>
                    <w:rPr>
                      <w:rFonts w:hint="default" w:ascii="Times New Roman" w:hAnsi="Times New Roman" w:eastAsia="宋体" w:cs="Times New Roman"/>
                      <w:kern w:val="0"/>
                      <w:sz w:val="21"/>
                      <w:szCs w:val="21"/>
                      <w:highlight w:val="none"/>
                      <w:lang w:eastAsia="zh-CN"/>
                    </w:rPr>
                  </w:pPr>
                  <w:r>
                    <w:rPr>
                      <w:rFonts w:hint="default" w:ascii="Times New Roman" w:hAnsi="Times New Roman" w:cs="Times New Roman"/>
                      <w:sz w:val="21"/>
                      <w:szCs w:val="21"/>
                      <w:highlight w:val="none"/>
                    </w:rPr>
                    <w:t>基础减震，设备</w:t>
                  </w:r>
                  <w:r>
                    <w:rPr>
                      <w:rFonts w:hint="default" w:ascii="Times New Roman" w:hAnsi="Times New Roman" w:cs="Times New Roman"/>
                      <w:sz w:val="21"/>
                      <w:szCs w:val="21"/>
                      <w:highlight w:val="none"/>
                      <w:lang w:eastAsia="zh-CN"/>
                    </w:rPr>
                    <w:t>安装底座</w:t>
                  </w:r>
                  <w:r>
                    <w:rPr>
                      <w:rFonts w:hint="default" w:ascii="Times New Roman" w:hAnsi="Times New Roman" w:cs="Times New Roman"/>
                      <w:sz w:val="21"/>
                      <w:szCs w:val="21"/>
                      <w:highlight w:val="none"/>
                    </w:rPr>
                    <w:t>，主要噪声设备均在生产车间内。</w:t>
                  </w:r>
                </w:p>
              </w:tc>
              <w:tc>
                <w:tcPr>
                  <w:tcW w:w="1379" w:type="dxa"/>
                  <w:tcBorders>
                    <w:tl2br w:val="nil"/>
                    <w:tr2bl w:val="nil"/>
                  </w:tcBorders>
                  <w:noWrap w:val="0"/>
                  <w:vAlign w:val="center"/>
                </w:tcPr>
                <w:p>
                  <w:pPr>
                    <w:jc w:val="center"/>
                    <w:rPr>
                      <w:rFonts w:hint="default" w:ascii="Times New Roman" w:hAnsi="Times New Roman" w:eastAsia="宋体" w:cs="Times New Roman"/>
                      <w:kern w:val="0"/>
                      <w:sz w:val="21"/>
                      <w:szCs w:val="21"/>
                      <w:highlight w:val="none"/>
                      <w:lang w:val="en-US" w:eastAsia="zh-CN"/>
                    </w:rPr>
                  </w:pPr>
                  <w:r>
                    <w:rPr>
                      <w:rFonts w:hint="default" w:ascii="Times New Roman" w:hAnsi="Times New Roman" w:cs="Times New Roman"/>
                      <w:color w:val="auto"/>
                      <w:sz w:val="21"/>
                      <w:szCs w:val="21"/>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atLeast"/>
              </w:trPr>
              <w:tc>
                <w:tcPr>
                  <w:tcW w:w="650" w:type="dxa"/>
                  <w:tcBorders>
                    <w:tl2br w:val="nil"/>
                    <w:tr2bl w:val="nil"/>
                  </w:tcBorders>
                  <w:noWrap w:val="0"/>
                  <w:vAlign w:val="center"/>
                </w:tcPr>
                <w:p>
                  <w:pPr>
                    <w:spacing w:line="0" w:lineRule="atLeast"/>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3</w:t>
                  </w:r>
                </w:p>
              </w:tc>
              <w:tc>
                <w:tcPr>
                  <w:tcW w:w="1123" w:type="dxa"/>
                  <w:tcBorders>
                    <w:tl2br w:val="nil"/>
                    <w:tr2bl w:val="nil"/>
                  </w:tcBorders>
                  <w:noWrap w:val="0"/>
                  <w:vAlign w:val="center"/>
                </w:tcPr>
                <w:p>
                  <w:pPr>
                    <w:spacing w:line="0" w:lineRule="atLeast"/>
                    <w:jc w:val="center"/>
                    <w:rPr>
                      <w:rFonts w:hint="default" w:ascii="Times New Roman" w:hAnsi="Times New Roman" w:eastAsia="宋体" w:cs="Times New Roman"/>
                      <w:kern w:val="0"/>
                      <w:sz w:val="21"/>
                      <w:szCs w:val="21"/>
                      <w:highlight w:val="none"/>
                      <w:lang w:val="en-US" w:eastAsia="zh-CN"/>
                    </w:rPr>
                  </w:pPr>
                  <w:r>
                    <w:rPr>
                      <w:rFonts w:hint="default" w:ascii="Times New Roman" w:hAnsi="Times New Roman" w:cs="Times New Roman"/>
                      <w:kern w:val="0"/>
                      <w:sz w:val="21"/>
                      <w:szCs w:val="21"/>
                      <w:highlight w:val="none"/>
                      <w:lang w:val="en-US" w:eastAsia="zh-CN"/>
                    </w:rPr>
                    <w:t>废水</w:t>
                  </w:r>
                </w:p>
              </w:tc>
              <w:tc>
                <w:tcPr>
                  <w:tcW w:w="5146" w:type="dxa"/>
                  <w:tcBorders>
                    <w:tl2br w:val="nil"/>
                    <w:tr2bl w:val="nil"/>
                  </w:tcBorders>
                  <w:noWrap w:val="0"/>
                  <w:vAlign w:val="center"/>
                </w:tcPr>
                <w:p>
                  <w:pPr>
                    <w:jc w:val="center"/>
                    <w:rPr>
                      <w:rFonts w:hint="default" w:ascii="Times New Roman" w:hAnsi="Times New Roman" w:cs="Times New Roman"/>
                      <w:kern w:val="0"/>
                      <w:sz w:val="21"/>
                      <w:szCs w:val="21"/>
                      <w:highlight w:val="none"/>
                    </w:rPr>
                  </w:pPr>
                  <w:r>
                    <w:rPr>
                      <w:rFonts w:hint="default" w:ascii="Times New Roman" w:hAnsi="Times New Roman" w:cs="Times New Roman"/>
                      <w:sz w:val="21"/>
                      <w:szCs w:val="21"/>
                      <w:highlight w:val="none"/>
                    </w:rPr>
                    <w:t>本项目</w:t>
                  </w:r>
                  <w:r>
                    <w:rPr>
                      <w:rFonts w:hint="default" w:ascii="Times New Roman" w:hAnsi="Times New Roman" w:cs="Times New Roman"/>
                      <w:sz w:val="21"/>
                      <w:szCs w:val="21"/>
                      <w:highlight w:val="none"/>
                      <w:lang w:eastAsia="zh-CN"/>
                    </w:rPr>
                    <w:t>无</w:t>
                  </w:r>
                  <w:r>
                    <w:rPr>
                      <w:rFonts w:hint="default" w:ascii="Times New Roman" w:hAnsi="Times New Roman" w:cs="Times New Roman"/>
                      <w:sz w:val="21"/>
                      <w:szCs w:val="21"/>
                      <w:highlight w:val="none"/>
                    </w:rPr>
                    <w:t>生产废水</w:t>
                  </w:r>
                  <w:r>
                    <w:rPr>
                      <w:rFonts w:hint="default" w:ascii="Times New Roman" w:hAnsi="Times New Roman" w:cs="Times New Roman"/>
                      <w:sz w:val="21"/>
                      <w:szCs w:val="21"/>
                      <w:highlight w:val="none"/>
                      <w:lang w:eastAsia="zh-CN"/>
                    </w:rPr>
                    <w:t>产生</w:t>
                  </w:r>
                  <w:r>
                    <w:rPr>
                      <w:rFonts w:hint="default" w:ascii="Times New Roman" w:hAnsi="Times New Roman" w:cs="Times New Roman"/>
                      <w:sz w:val="21"/>
                      <w:szCs w:val="21"/>
                      <w:highlight w:val="none"/>
                    </w:rPr>
                    <w:t>，</w:t>
                  </w:r>
                  <w:r>
                    <w:rPr>
                      <w:rFonts w:hint="eastAsia" w:ascii="Times New Roman" w:hAnsi="Times New Roman" w:cs="Times New Roman"/>
                      <w:sz w:val="21"/>
                      <w:szCs w:val="21"/>
                      <w:highlight w:val="none"/>
                      <w:lang w:eastAsia="zh-CN"/>
                    </w:rPr>
                    <w:t>职工生活污水依托厂区外的市政公厕</w:t>
                  </w:r>
                  <w:r>
                    <w:rPr>
                      <w:rFonts w:hint="default" w:ascii="Times New Roman" w:hAnsi="Times New Roman" w:cs="Times New Roman"/>
                      <w:sz w:val="21"/>
                      <w:szCs w:val="21"/>
                      <w:highlight w:val="none"/>
                      <w:lang w:val="en-US" w:eastAsia="zh-CN"/>
                    </w:rPr>
                    <w:t>，盥洗废水产生量较小，全部用于厂区泼洒抑尘，不外排</w:t>
                  </w:r>
                  <w:r>
                    <w:rPr>
                      <w:rFonts w:hint="eastAsia" w:ascii="Times New Roman" w:hAnsi="Times New Roman" w:cs="Times New Roman"/>
                      <w:sz w:val="21"/>
                      <w:szCs w:val="21"/>
                      <w:highlight w:val="none"/>
                      <w:lang w:val="en-US" w:eastAsia="zh-CN"/>
                    </w:rPr>
                    <w:t>。</w:t>
                  </w:r>
                </w:p>
              </w:tc>
              <w:tc>
                <w:tcPr>
                  <w:tcW w:w="1379" w:type="dxa"/>
                  <w:tcBorders>
                    <w:tl2br w:val="nil"/>
                    <w:tr2bl w:val="nil"/>
                  </w:tcBorders>
                  <w:noWrap w:val="0"/>
                  <w:vAlign w:val="center"/>
                </w:tcPr>
                <w:p>
                  <w:pPr>
                    <w:jc w:val="center"/>
                    <w:rPr>
                      <w:rFonts w:hint="default" w:ascii="Times New Roman" w:hAnsi="Times New Roman" w:eastAsia="宋体" w:cs="Times New Roman"/>
                      <w:kern w:val="0"/>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650" w:type="dxa"/>
                  <w:tcBorders>
                    <w:tl2br w:val="nil"/>
                    <w:tr2bl w:val="nil"/>
                  </w:tcBorders>
                  <w:noWrap w:val="0"/>
                  <w:vAlign w:val="center"/>
                </w:tcPr>
                <w:p>
                  <w:pPr>
                    <w:spacing w:line="0" w:lineRule="atLeast"/>
                    <w:jc w:val="center"/>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4</w:t>
                  </w:r>
                </w:p>
              </w:tc>
              <w:tc>
                <w:tcPr>
                  <w:tcW w:w="1123" w:type="dxa"/>
                  <w:tcBorders>
                    <w:tl2br w:val="nil"/>
                    <w:tr2bl w:val="nil"/>
                  </w:tcBorders>
                  <w:noWrap w:val="0"/>
                  <w:vAlign w:val="center"/>
                </w:tcPr>
                <w:p>
                  <w:pPr>
                    <w:spacing w:line="0" w:lineRule="atLeast"/>
                    <w:jc w:val="center"/>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固废</w:t>
                  </w:r>
                </w:p>
              </w:tc>
              <w:tc>
                <w:tcPr>
                  <w:tcW w:w="5146" w:type="dxa"/>
                  <w:tcBorders>
                    <w:tl2br w:val="nil"/>
                    <w:tr2bl w:val="nil"/>
                  </w:tcBorders>
                  <w:noWrap w:val="0"/>
                  <w:vAlign w:val="center"/>
                </w:tcPr>
                <w:p>
                  <w:pPr>
                    <w:jc w:val="center"/>
                    <w:rPr>
                      <w:rFonts w:hint="default" w:ascii="Times New Roman" w:hAnsi="Times New Roman" w:cs="Times New Roman"/>
                      <w:kern w:val="0"/>
                      <w:sz w:val="21"/>
                      <w:szCs w:val="21"/>
                      <w:highlight w:val="none"/>
                    </w:rPr>
                  </w:pPr>
                  <w:r>
                    <w:rPr>
                      <w:rFonts w:hint="eastAsia" w:ascii="Times New Roman" w:hAnsi="Times New Roman" w:cs="Times New Roman"/>
                      <w:sz w:val="21"/>
                      <w:szCs w:val="21"/>
                      <w:highlight w:val="none"/>
                      <w:lang w:val="en-US" w:eastAsia="zh-CN"/>
                    </w:rPr>
                    <w:t>废</w:t>
                  </w:r>
                  <w:r>
                    <w:rPr>
                      <w:rFonts w:hint="default" w:ascii="Times New Roman" w:hAnsi="Times New Roman" w:cs="Times New Roman"/>
                      <w:sz w:val="21"/>
                      <w:szCs w:val="21"/>
                      <w:highlight w:val="none"/>
                      <w:lang w:val="en-US" w:eastAsia="zh-CN"/>
                    </w:rPr>
                    <w:t>金属边角料</w:t>
                  </w:r>
                  <w:r>
                    <w:rPr>
                      <w:rFonts w:hint="eastAsia" w:ascii="Times New Roman" w:hAnsi="Times New Roman" w:cs="Times New Roman"/>
                      <w:sz w:val="21"/>
                      <w:szCs w:val="21"/>
                      <w:highlight w:val="none"/>
                      <w:lang w:val="en-US" w:eastAsia="zh-CN"/>
                    </w:rPr>
                    <w:t>、废桶和废泡沫</w:t>
                  </w:r>
                  <w:r>
                    <w:rPr>
                      <w:rFonts w:hint="default" w:ascii="Times New Roman" w:hAnsi="Times New Roman" w:cs="Times New Roman"/>
                      <w:sz w:val="21"/>
                      <w:szCs w:val="21"/>
                      <w:highlight w:val="none"/>
                      <w:lang w:val="en-US" w:eastAsia="zh-CN"/>
                    </w:rPr>
                    <w:t>经收集后直接出售给废品收购站</w:t>
                  </w:r>
                  <w:r>
                    <w:rPr>
                      <w:rFonts w:hint="eastAsia" w:ascii="Times New Roman" w:hAnsi="Times New Roman" w:cs="Times New Roman"/>
                      <w:sz w:val="21"/>
                      <w:szCs w:val="21"/>
                      <w:highlight w:val="none"/>
                      <w:lang w:val="en-US" w:eastAsia="zh-CN"/>
                    </w:rPr>
                    <w:t>；</w:t>
                  </w:r>
                  <w:r>
                    <w:rPr>
                      <w:rFonts w:hint="default" w:ascii="Times New Roman" w:hAnsi="Times New Roman" w:cs="Times New Roman"/>
                      <w:sz w:val="21"/>
                      <w:szCs w:val="21"/>
                      <w:highlight w:val="none"/>
                    </w:rPr>
                    <w:t>生活垃圾</w:t>
                  </w:r>
                  <w:r>
                    <w:rPr>
                      <w:rFonts w:hint="eastAsia" w:ascii="Times New Roman" w:hAnsi="Times New Roman" w:cs="Times New Roman"/>
                      <w:sz w:val="21"/>
                      <w:szCs w:val="21"/>
                      <w:highlight w:val="none"/>
                      <w:lang w:eastAsia="zh-CN"/>
                    </w:rPr>
                    <w:t>集中</w:t>
                  </w:r>
                  <w:r>
                    <w:rPr>
                      <w:rFonts w:hint="default" w:ascii="Times New Roman" w:hAnsi="Times New Roman" w:cs="Times New Roman"/>
                      <w:sz w:val="21"/>
                      <w:szCs w:val="21"/>
                      <w:highlight w:val="none"/>
                    </w:rPr>
                    <w:t>收集后交由环卫部门统一处理</w:t>
                  </w:r>
                  <w:r>
                    <w:rPr>
                      <w:rFonts w:hint="default" w:ascii="Times New Roman" w:hAnsi="Times New Roman" w:cs="Times New Roman"/>
                      <w:sz w:val="21"/>
                      <w:szCs w:val="21"/>
                      <w:highlight w:val="none"/>
                      <w:lang w:val="en-US" w:eastAsia="zh-CN"/>
                    </w:rPr>
                    <w:t>处置。</w:t>
                  </w:r>
                </w:p>
              </w:tc>
              <w:tc>
                <w:tcPr>
                  <w:tcW w:w="1379" w:type="dxa"/>
                  <w:tcBorders>
                    <w:tl2br w:val="nil"/>
                    <w:tr2bl w:val="nil"/>
                  </w:tcBorders>
                  <w:noWrap w:val="0"/>
                  <w:vAlign w:val="center"/>
                </w:tcPr>
                <w:p>
                  <w:pPr>
                    <w:jc w:val="center"/>
                    <w:rPr>
                      <w:rFonts w:hint="default" w:ascii="Times New Roman" w:hAnsi="Times New Roman" w:eastAsia="宋体" w:cs="Times New Roman"/>
                      <w:kern w:val="0"/>
                      <w:sz w:val="21"/>
                      <w:szCs w:val="21"/>
                      <w:highlight w:val="none"/>
                      <w:lang w:val="en-US" w:eastAsia="zh-CN"/>
                    </w:rPr>
                  </w:pPr>
                  <w:r>
                    <w:rPr>
                      <w:rFonts w:hint="eastAsia" w:ascii="Times New Roman" w:hAnsi="Times New Roman" w:cs="Times New Roman"/>
                      <w:color w:val="auto"/>
                      <w:sz w:val="21"/>
                      <w:szCs w:val="21"/>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6919" w:type="dxa"/>
                  <w:gridSpan w:val="3"/>
                  <w:tcBorders>
                    <w:tl2br w:val="nil"/>
                    <w:tr2bl w:val="nil"/>
                  </w:tcBorders>
                  <w:noWrap w:val="0"/>
                  <w:vAlign w:val="center"/>
                </w:tcPr>
                <w:p>
                  <w:pPr>
                    <w:spacing w:line="0" w:lineRule="atLeast"/>
                    <w:jc w:val="center"/>
                    <w:rPr>
                      <w:rFonts w:hint="default" w:ascii="Times New Roman" w:hAnsi="Times New Roman" w:cs="Times New Roman"/>
                      <w:kern w:val="0"/>
                      <w:sz w:val="21"/>
                      <w:szCs w:val="21"/>
                      <w:highlight w:val="none"/>
                    </w:rPr>
                  </w:pPr>
                  <w:r>
                    <w:rPr>
                      <w:rFonts w:hint="default" w:ascii="Times New Roman" w:hAnsi="Times New Roman" w:cs="Times New Roman"/>
                      <w:kern w:val="0"/>
                      <w:sz w:val="21"/>
                      <w:szCs w:val="21"/>
                      <w:highlight w:val="none"/>
                    </w:rPr>
                    <w:t>总计</w:t>
                  </w:r>
                </w:p>
              </w:tc>
              <w:tc>
                <w:tcPr>
                  <w:tcW w:w="1379" w:type="dxa"/>
                  <w:tcBorders>
                    <w:tl2br w:val="nil"/>
                    <w:tr2bl w:val="nil"/>
                  </w:tcBorders>
                  <w:noWrap w:val="0"/>
                  <w:vAlign w:val="center"/>
                </w:tcPr>
                <w:p>
                  <w:pPr>
                    <w:spacing w:line="0" w:lineRule="atLeast"/>
                    <w:jc w:val="center"/>
                    <w:rPr>
                      <w:rFonts w:hint="default" w:ascii="Times New Roman" w:hAnsi="Times New Roman" w:eastAsia="宋体" w:cs="Times New Roman"/>
                      <w:kern w:val="0"/>
                      <w:sz w:val="21"/>
                      <w:szCs w:val="21"/>
                      <w:highlight w:val="none"/>
                      <w:lang w:val="en-US" w:eastAsia="zh-CN"/>
                    </w:rPr>
                  </w:pPr>
                  <w:r>
                    <w:rPr>
                      <w:rFonts w:hint="eastAsia" w:ascii="Times New Roman" w:hAnsi="Times New Roman" w:cs="Times New Roman"/>
                      <w:kern w:val="0"/>
                      <w:sz w:val="21"/>
                      <w:szCs w:val="21"/>
                      <w:highlight w:val="none"/>
                      <w:lang w:val="en-US" w:eastAsia="zh-CN"/>
                    </w:rPr>
                    <w:t>2</w:t>
                  </w:r>
                </w:p>
              </w:tc>
            </w:tr>
          </w:tbl>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cs="Times New Roman"/>
                <w:b/>
                <w:color w:val="auto"/>
                <w:sz w:val="24"/>
                <w:highlight w:val="none"/>
                <w:lang w:eastAsia="zh-CN"/>
              </w:rPr>
            </w:pPr>
            <w:r>
              <w:rPr>
                <w:rFonts w:hint="eastAsia" w:ascii="Times New Roman" w:hAnsi="Times New Roman" w:cs="Times New Roman"/>
                <w:b/>
                <w:color w:val="auto"/>
                <w:sz w:val="24"/>
                <w:highlight w:val="none"/>
                <w:lang w:eastAsia="zh-CN"/>
              </w:rPr>
              <w:t>表16</w:t>
            </w:r>
            <w:r>
              <w:rPr>
                <w:rFonts w:hint="eastAsia" w:ascii="Times New Roman" w:hAnsi="Times New Roman" w:cs="Times New Roman"/>
                <w:b/>
                <w:color w:val="auto"/>
                <w:sz w:val="24"/>
                <w:highlight w:val="none"/>
                <w:lang w:val="en-US" w:eastAsia="zh-CN"/>
              </w:rPr>
              <w:t xml:space="preserve"> </w:t>
            </w:r>
            <w:r>
              <w:rPr>
                <w:rFonts w:hint="eastAsia" w:ascii="Times New Roman" w:hAnsi="Times New Roman" w:cs="Times New Roman"/>
                <w:b/>
                <w:color w:val="auto"/>
                <w:sz w:val="24"/>
                <w:highlight w:val="none"/>
                <w:lang w:eastAsia="zh-CN"/>
              </w:rPr>
              <w:t xml:space="preserve">  环保投资一览表</w:t>
            </w:r>
          </w:p>
          <w:p>
            <w:pPr>
              <w:pStyle w:val="26"/>
              <w:rPr>
                <w:rFonts w:hint="default" w:ascii="Times New Roman" w:hAnsi="Times New Roman" w:cs="Times New Roman"/>
                <w:highlight w:val="yellow"/>
              </w:rPr>
            </w:pPr>
          </w:p>
        </w:tc>
      </w:tr>
    </w:tbl>
    <w:p>
      <w:pPr>
        <w:rPr>
          <w:rFonts w:hint="default" w:ascii="Times New Roman" w:hAnsi="Times New Roman" w:eastAsia="黑体" w:cs="Times New Roman"/>
          <w:snapToGrid w:val="0"/>
          <w:sz w:val="30"/>
          <w:szCs w:val="24"/>
          <w:highlight w:val="yellow"/>
        </w:rPr>
      </w:pPr>
      <w:r>
        <w:rPr>
          <w:rFonts w:hint="default" w:ascii="Times New Roman" w:hAnsi="Times New Roman" w:eastAsia="黑体" w:cs="Times New Roman"/>
          <w:snapToGrid w:val="0"/>
          <w:sz w:val="30"/>
          <w:szCs w:val="24"/>
          <w:highlight w:val="yellow"/>
        </w:rPr>
        <w:br w:type="page"/>
      </w:r>
    </w:p>
    <w:p>
      <w:pPr>
        <w:pStyle w:val="20"/>
        <w:spacing w:beforeLines="0" w:afterLines="0"/>
        <w:jc w:val="center"/>
        <w:outlineLvl w:val="0"/>
        <w:rPr>
          <w:rFonts w:hint="default" w:ascii="Times New Roman" w:hAnsi="Times New Roman" w:eastAsia="黑体" w:cs="Times New Roman"/>
          <w:snapToGrid w:val="0"/>
          <w:sz w:val="30"/>
          <w:szCs w:val="24"/>
          <w:highlight w:val="none"/>
        </w:rPr>
      </w:pPr>
      <w:r>
        <w:rPr>
          <w:rFonts w:hint="default" w:ascii="Times New Roman" w:hAnsi="Times New Roman" w:eastAsia="黑体" w:cs="Times New Roman"/>
          <w:snapToGrid w:val="0"/>
          <w:sz w:val="30"/>
          <w:szCs w:val="24"/>
          <w:highlight w:val="none"/>
        </w:rPr>
        <w:t>五、</w:t>
      </w:r>
      <w:bookmarkStart w:id="4" w:name="_Hlk54167917"/>
      <w:r>
        <w:rPr>
          <w:rFonts w:hint="default" w:ascii="Times New Roman" w:hAnsi="Times New Roman" w:eastAsia="黑体" w:cs="Times New Roman"/>
          <w:snapToGrid w:val="0"/>
          <w:sz w:val="30"/>
          <w:szCs w:val="24"/>
          <w:highlight w:val="none"/>
        </w:rPr>
        <w:t>环境保护措施监督检查清单</w:t>
      </w:r>
      <w:bookmarkEnd w:id="4"/>
    </w:p>
    <w:tbl>
      <w:tblPr>
        <w:tblStyle w:val="21"/>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1000"/>
        <w:gridCol w:w="1312"/>
        <w:gridCol w:w="2975"/>
        <w:gridCol w:w="307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00" w:type="dxa"/>
            <w:tcBorders>
              <w:top w:val="single" w:color="auto" w:sz="8" w:space="0"/>
              <w:left w:val="single" w:color="auto" w:sz="8" w:space="0"/>
              <w:bottom w:val="single" w:color="auto" w:sz="4" w:space="0"/>
              <w:right w:val="single" w:color="auto" w:sz="4" w:space="0"/>
              <w:tl2br w:val="nil"/>
              <w:tr2bl w:val="nil"/>
            </w:tcBorders>
            <w:vAlign w:val="top"/>
            <mc:AlternateContent>
              <mc:Choice Requires="wpsCustomData">
                <wpsCustomData:diagonals>
                  <wpsCustomData:diagonal from="10000" to="30000">
                    <wpsCustomData:border w:val="single" w:color="auto" w:sz="8" w:space="0"/>
                  </wpsCustomData:diagonal>
                </wpsCustomData:diagonals>
              </mc:Choice>
            </mc:AlternateContent>
          </w:tcPr>
          <w:p>
            <w:pPr>
              <w:adjustRightInd w:val="0"/>
              <w:snapToGrid w:val="0"/>
              <w:spacing w:beforeLines="0" w:afterLines="0"/>
              <w:rPr>
                <w:rFonts w:hint="default" w:ascii="Times New Roman" w:hAnsi="Times New Roman" w:eastAsia="宋体" w:cs="Times New Roman"/>
                <w:sz w:val="21"/>
                <w:szCs w:val="21"/>
                <w:highlight w:val="none"/>
              </w:rPr>
            </w:pPr>
          </w:p>
          <w:p>
            <w:pPr>
              <w:adjustRightInd w:val="0"/>
              <w:snapToGrid w:val="0"/>
              <w:spacing w:beforeLines="0" w:afterLine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内容</w:t>
            </w:r>
          </w:p>
          <w:p>
            <w:pPr>
              <w:adjustRightInd w:val="0"/>
              <w:snapToGrid w:val="0"/>
              <w:spacing w:beforeLines="0" w:afterLines="0"/>
              <mc:AlternateContent>
                <mc:Choice Requires="wpsCustomData">
                  <wpsCustomData:diagonalParaType/>
                </mc:Choice>
              </mc:AlternateContent>
              <w:rPr>
                <w:rFonts w:hint="default" w:ascii="Times New Roman" w:hAnsi="Times New Roman" w:eastAsia="宋体" w:cs="Times New Roman"/>
                <w:sz w:val="21"/>
                <w:szCs w:val="21"/>
                <w:highlight w:val="none"/>
              </w:rPr>
            </w:pPr>
          </w:p>
          <w:p>
            <w:pPr>
              <w:adjustRightInd w:val="0"/>
              <w:snapToGrid w:val="0"/>
              <w:spacing w:beforeLines="0" w:afterLines="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要素</w:t>
            </w:r>
          </w:p>
        </w:tc>
        <w:tc>
          <w:tcPr>
            <w:tcW w:w="1000"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排放口</w:t>
            </w:r>
            <w:r>
              <w:rPr>
                <w:rFonts w:hint="default"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编号、</w:t>
            </w:r>
          </w:p>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名称</w:t>
            </w:r>
            <w:r>
              <w:rPr>
                <w:rFonts w:hint="default"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/污染源</w:t>
            </w:r>
          </w:p>
        </w:tc>
        <w:tc>
          <w:tcPr>
            <w:tcW w:w="1312"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污染物项目</w:t>
            </w:r>
          </w:p>
        </w:tc>
        <w:tc>
          <w:tcPr>
            <w:tcW w:w="2975"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环境保护措施</w:t>
            </w:r>
          </w:p>
        </w:tc>
        <w:tc>
          <w:tcPr>
            <w:tcW w:w="3073" w:type="dxa"/>
            <w:tcBorders>
              <w:top w:val="single" w:color="auto" w:sz="8"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00" w:type="dxa"/>
            <w:vMerge w:val="restart"/>
            <w:tcBorders>
              <w:top w:val="single" w:color="auto" w:sz="8" w:space="0"/>
              <w:left w:val="single" w:color="auto" w:sz="8"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大气环境</w:t>
            </w:r>
          </w:p>
        </w:tc>
        <w:tc>
          <w:tcPr>
            <w:tcW w:w="1000" w:type="dxa"/>
            <w:tcBorders>
              <w:top w:val="single" w:color="auto" w:sz="8" w:space="0"/>
              <w:left w:val="single" w:color="auto" w:sz="4" w:space="0"/>
              <w:bottom w:val="single" w:color="auto" w:sz="4" w:space="0"/>
              <w:right w:val="single" w:color="auto" w:sz="4" w:space="0"/>
              <w:tl2br w:val="nil"/>
              <w:tr2bl w:val="nil"/>
            </w:tcBorders>
            <w:vAlign w:val="center"/>
          </w:tcPr>
          <w:p>
            <w:pPr>
              <w:spacing w:before="78" w:beforeLines="25" w:line="480" w:lineRule="exact"/>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val="en-US" w:eastAsia="zh-CN"/>
              </w:rPr>
              <w:t>粘合过程</w:t>
            </w:r>
          </w:p>
        </w:tc>
        <w:tc>
          <w:tcPr>
            <w:tcW w:w="1312"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挥发性有机物</w:t>
            </w:r>
          </w:p>
        </w:tc>
        <w:tc>
          <w:tcPr>
            <w:tcW w:w="2975" w:type="dxa"/>
            <w:vMerge w:val="restart"/>
            <w:tcBorders>
              <w:top w:val="single" w:color="auto" w:sz="8" w:space="0"/>
              <w:left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eastAsia" w:ascii="Times New Roman" w:hAnsi="Times New Roman" w:cs="Times New Roman"/>
                <w:color w:val="auto"/>
                <w:sz w:val="21"/>
                <w:szCs w:val="21"/>
                <w:highlight w:val="none"/>
                <w:lang w:val="en-US" w:eastAsia="zh-CN"/>
              </w:rPr>
              <w:t>厂房封闭</w:t>
            </w:r>
          </w:p>
        </w:tc>
        <w:tc>
          <w:tcPr>
            <w:tcW w:w="3073" w:type="dxa"/>
            <w:tcBorders>
              <w:top w:val="single" w:color="auto" w:sz="8"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color w:val="auto"/>
                <w:sz w:val="21"/>
                <w:szCs w:val="21"/>
                <w:highlight w:val="none"/>
                <w:vertAlign w:val="baseline"/>
                <w:lang w:val="en-US" w:eastAsia="zh-CN"/>
              </w:rPr>
              <w:t>《挥发性有机物无组织排放控制标准》（GB37822-2019）中表A.1的监控点处1h平均浓度值10mg/m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vertAlign w:val="baseli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00" w:type="dxa"/>
            <w:vMerge w:val="continue"/>
            <w:tcBorders>
              <w:left w:val="single" w:color="auto" w:sz="8"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p>
        </w:tc>
        <w:tc>
          <w:tcPr>
            <w:tcW w:w="1000" w:type="dxa"/>
            <w:tcBorders>
              <w:top w:val="single" w:color="auto" w:sz="8" w:space="0"/>
              <w:left w:val="single" w:color="auto" w:sz="4" w:space="0"/>
              <w:bottom w:val="single" w:color="auto" w:sz="4" w:space="0"/>
              <w:right w:val="single" w:color="auto" w:sz="4" w:space="0"/>
              <w:tl2br w:val="nil"/>
              <w:tr2bl w:val="nil"/>
            </w:tcBorders>
            <w:vAlign w:val="center"/>
          </w:tcPr>
          <w:p>
            <w:pPr>
              <w:spacing w:before="78" w:beforeLines="25" w:line="480" w:lineRule="exact"/>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eastAsia="zh-CN"/>
              </w:rPr>
              <w:t>剪切过程</w:t>
            </w:r>
          </w:p>
        </w:tc>
        <w:tc>
          <w:tcPr>
            <w:tcW w:w="1312"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颗粒物</w:t>
            </w:r>
          </w:p>
        </w:tc>
        <w:tc>
          <w:tcPr>
            <w:tcW w:w="2975" w:type="dxa"/>
            <w:vMerge w:val="continue"/>
            <w:tcBorders>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p>
        </w:tc>
        <w:tc>
          <w:tcPr>
            <w:tcW w:w="3073" w:type="dxa"/>
            <w:vMerge w:val="restart"/>
            <w:tcBorders>
              <w:top w:val="single" w:color="auto" w:sz="8" w:space="0"/>
              <w:left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color w:val="auto"/>
                <w:kern w:val="0"/>
                <w:sz w:val="21"/>
                <w:szCs w:val="21"/>
                <w:highlight w:val="none"/>
                <w:lang w:val="en-US" w:eastAsia="zh-CN"/>
              </w:rPr>
              <w:t>《大气污染物综合排放标准》（GB16297-1996）中表2的标准即≤1.0mg/m</w:t>
            </w:r>
            <w:r>
              <w:rPr>
                <w:rFonts w:hint="default" w:ascii="Times New Roman" w:hAnsi="Times New Roman" w:eastAsia="宋体" w:cs="Times New Roman"/>
                <w:color w:val="auto"/>
                <w:kern w:val="0"/>
                <w:sz w:val="21"/>
                <w:szCs w:val="21"/>
                <w:highlight w:val="none"/>
                <w:vertAlign w:val="superscript"/>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00" w:type="dxa"/>
            <w:vMerge w:val="continue"/>
            <w:tcBorders>
              <w:left w:val="single" w:color="auto" w:sz="8"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p>
        </w:tc>
        <w:tc>
          <w:tcPr>
            <w:tcW w:w="1000"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车辆扬尘</w:t>
            </w:r>
          </w:p>
        </w:tc>
        <w:tc>
          <w:tcPr>
            <w:tcW w:w="1312"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颗粒物</w:t>
            </w:r>
          </w:p>
        </w:tc>
        <w:tc>
          <w:tcPr>
            <w:tcW w:w="2975"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color w:val="auto"/>
                <w:kern w:val="0"/>
                <w:sz w:val="21"/>
                <w:szCs w:val="21"/>
                <w:highlight w:val="none"/>
              </w:rPr>
              <w:t>运输过程中减速慢行，尽量降低装卸落差</w:t>
            </w:r>
            <w:r>
              <w:rPr>
                <w:rFonts w:hint="default" w:ascii="Times New Roman" w:hAnsi="Times New Roman" w:eastAsia="宋体" w:cs="Times New Roman"/>
                <w:color w:val="auto"/>
                <w:kern w:val="0"/>
                <w:sz w:val="21"/>
                <w:szCs w:val="21"/>
                <w:highlight w:val="none"/>
                <w:lang w:eastAsia="zh-CN"/>
              </w:rPr>
              <w:t>，厂区内进行洒水抑尘。</w:t>
            </w:r>
          </w:p>
        </w:tc>
        <w:tc>
          <w:tcPr>
            <w:tcW w:w="3073" w:type="dxa"/>
            <w:vMerge w:val="continue"/>
            <w:tcBorders>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700" w:type="dxa"/>
            <w:tcBorders>
              <w:top w:val="single" w:color="auto" w:sz="8" w:space="0"/>
              <w:left w:val="single" w:color="auto" w:sz="8"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地表水环境</w:t>
            </w:r>
          </w:p>
        </w:tc>
        <w:tc>
          <w:tcPr>
            <w:tcW w:w="1000"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无</w:t>
            </w:r>
          </w:p>
        </w:tc>
        <w:tc>
          <w:tcPr>
            <w:tcW w:w="1312"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生活污水、</w:t>
            </w:r>
            <w:r>
              <w:rPr>
                <w:rFonts w:hint="default" w:ascii="Times New Roman" w:hAnsi="Times New Roman" w:eastAsia="宋体" w:cs="Times New Roman"/>
                <w:sz w:val="21"/>
                <w:szCs w:val="21"/>
                <w:highlight w:val="none"/>
                <w:lang w:val="en-US" w:eastAsia="zh-CN"/>
              </w:rPr>
              <w:t>盥洗废水</w:t>
            </w:r>
          </w:p>
        </w:tc>
        <w:tc>
          <w:tcPr>
            <w:tcW w:w="2975" w:type="dxa"/>
            <w:tcBorders>
              <w:top w:val="single" w:color="auto" w:sz="8"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eastAsia="zh-CN"/>
              </w:rPr>
              <w:t>职工生活污水依托厂区外的市政公厕</w:t>
            </w:r>
            <w:r>
              <w:rPr>
                <w:rFonts w:hint="default" w:ascii="Times New Roman" w:hAnsi="Times New Roman" w:eastAsia="宋体" w:cs="Times New Roman"/>
                <w:sz w:val="21"/>
                <w:szCs w:val="21"/>
                <w:highlight w:val="none"/>
                <w:lang w:val="en-US" w:eastAsia="zh-CN"/>
              </w:rPr>
              <w:t>，盥洗废水产生量较小，全部用于厂区泼洒抑尘，不外排。</w:t>
            </w:r>
          </w:p>
        </w:tc>
        <w:tc>
          <w:tcPr>
            <w:tcW w:w="3073" w:type="dxa"/>
            <w:tcBorders>
              <w:top w:val="single" w:color="auto" w:sz="8"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700" w:type="dxa"/>
            <w:tcBorders>
              <w:top w:val="single" w:color="auto" w:sz="4"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声环境</w:t>
            </w:r>
          </w:p>
        </w:tc>
        <w:tc>
          <w:tcPr>
            <w:tcW w:w="1000"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运输车辆、运转</w:t>
            </w:r>
            <w:r>
              <w:rPr>
                <w:rFonts w:hint="default" w:ascii="Times New Roman" w:hAnsi="Times New Roman" w:eastAsia="宋体" w:cs="Times New Roman"/>
                <w:color w:val="auto"/>
                <w:sz w:val="21"/>
                <w:szCs w:val="21"/>
                <w:highlight w:val="none"/>
              </w:rPr>
              <w:t>机器设备</w:t>
            </w:r>
          </w:p>
        </w:tc>
        <w:tc>
          <w:tcPr>
            <w:tcW w:w="1312"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w:t>
            </w:r>
          </w:p>
        </w:tc>
        <w:tc>
          <w:tcPr>
            <w:tcW w:w="2975" w:type="dxa"/>
            <w:tcBorders>
              <w:top w:val="single" w:color="auto" w:sz="4" w:space="0"/>
              <w:left w:val="single" w:color="auto" w:sz="4" w:space="0"/>
              <w:bottom w:val="single" w:color="auto" w:sz="4" w:space="0"/>
              <w:right w:val="single" w:color="auto" w:sz="4" w:space="0"/>
              <w:tl2br w:val="nil"/>
              <w:tr2bl w:val="nil"/>
            </w:tcBorders>
            <w:vAlign w:val="center"/>
          </w:tcPr>
          <w:p>
            <w:pPr>
              <w:adjustRightInd w:val="0"/>
              <w:snapToGrid w:val="0"/>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产品生产安排在昼间，运转机器设备通过墙壁等的隔声作用，经距离衰减后，可有效降低噪声源强，不会对周围环境产生影响。</w:t>
            </w:r>
          </w:p>
        </w:tc>
        <w:tc>
          <w:tcPr>
            <w:tcW w:w="3073" w:type="dxa"/>
            <w:tcBorders>
              <w:top w:val="single" w:color="auto" w:sz="4" w:space="0"/>
              <w:left w:val="single" w:color="auto" w:sz="4" w:space="0"/>
              <w:bottom w:val="single" w:color="auto" w:sz="4" w:space="0"/>
              <w:right w:val="single" w:color="auto" w:sz="8" w:space="0"/>
              <w:tl2br w:val="nil"/>
              <w:tr2bl w:val="nil"/>
            </w:tcBorders>
            <w:vAlign w:val="center"/>
          </w:tcPr>
          <w:p>
            <w:pPr>
              <w:spacing w:line="240" w:lineRule="auto"/>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《工业企业厂界环境噪声排放标准》（GB12348-2008）</w:t>
            </w:r>
          </w:p>
          <w:p>
            <w:pPr>
              <w:adjustRightInd w:val="0"/>
              <w:snapToGrid w:val="0"/>
              <w:ind w:left="0" w:leftChars="0" w:right="0" w:rightChars="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类</w:t>
            </w:r>
            <w:r>
              <w:rPr>
                <w:rFonts w:hint="default" w:ascii="Times New Roman" w:hAnsi="Times New Roman" w:eastAsia="宋体" w:cs="Times New Roman"/>
                <w:color w:val="auto"/>
                <w:sz w:val="21"/>
                <w:szCs w:val="21"/>
                <w:highlight w:val="none"/>
              </w:rPr>
              <w:t>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700" w:type="dxa"/>
            <w:tcBorders>
              <w:top w:val="single" w:color="auto" w:sz="4"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固体废物</w:t>
            </w:r>
          </w:p>
        </w:tc>
        <w:tc>
          <w:tcPr>
            <w:tcW w:w="8360" w:type="dxa"/>
            <w:gridSpan w:val="4"/>
            <w:tcBorders>
              <w:top w:val="single" w:color="auto" w:sz="4" w:space="0"/>
              <w:left w:val="single" w:color="auto" w:sz="4" w:space="0"/>
              <w:bottom w:val="single" w:color="auto" w:sz="4" w:space="0"/>
              <w:right w:val="single" w:color="auto" w:sz="8" w:space="0"/>
              <w:tl2br w:val="nil"/>
              <w:tr2bl w:val="nil"/>
            </w:tcBorders>
            <w:vAlign w:val="center"/>
          </w:tcPr>
          <w:p>
            <w:pPr>
              <w:pStyle w:val="39"/>
              <w:ind w:left="0" w:leftChars="0" w:right="0" w:rightChars="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color w:val="auto"/>
                <w:sz w:val="21"/>
                <w:szCs w:val="21"/>
                <w:highlight w:val="none"/>
              </w:rPr>
              <w:t>生活垃圾</w:t>
            </w:r>
            <w:r>
              <w:rPr>
                <w:rFonts w:hint="default" w:ascii="Times New Roman" w:hAnsi="Times New Roman" w:eastAsia="宋体" w:cs="Times New Roman"/>
                <w:color w:val="auto"/>
                <w:sz w:val="21"/>
                <w:szCs w:val="21"/>
                <w:highlight w:val="none"/>
                <w:lang w:eastAsia="zh-CN"/>
              </w:rPr>
              <w:t>集中</w:t>
            </w:r>
            <w:r>
              <w:rPr>
                <w:rFonts w:hint="default" w:ascii="Times New Roman" w:hAnsi="Times New Roman" w:eastAsia="宋体" w:cs="Times New Roman"/>
                <w:color w:val="auto"/>
                <w:sz w:val="21"/>
                <w:szCs w:val="21"/>
                <w:highlight w:val="none"/>
              </w:rPr>
              <w:t>收集后，交由环卫部门统一处理</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废金属边角料、盛装粘合剂的废桶和废泡沫集中收集后，出售给废品收购站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700" w:type="dxa"/>
            <w:tcBorders>
              <w:top w:val="single" w:color="auto" w:sz="4" w:space="0"/>
              <w:left w:val="single" w:color="auto" w:sz="8" w:space="0"/>
              <w:bottom w:val="single" w:color="auto" w:sz="4"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pacing w:val="-8"/>
                <w:sz w:val="21"/>
                <w:szCs w:val="21"/>
                <w:highlight w:val="none"/>
              </w:rPr>
            </w:pPr>
            <w:r>
              <w:rPr>
                <w:rFonts w:hint="default" w:ascii="Times New Roman" w:hAnsi="Times New Roman" w:eastAsia="宋体" w:cs="Times New Roman"/>
                <w:spacing w:val="-8"/>
                <w:sz w:val="21"/>
                <w:szCs w:val="21"/>
                <w:highlight w:val="none"/>
              </w:rPr>
              <w:t>环境风险</w:t>
            </w:r>
          </w:p>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pacing w:val="-8"/>
                <w:sz w:val="21"/>
                <w:szCs w:val="21"/>
                <w:highlight w:val="none"/>
              </w:rPr>
            </w:pPr>
            <w:r>
              <w:rPr>
                <w:rFonts w:hint="default" w:ascii="Times New Roman" w:hAnsi="Times New Roman" w:eastAsia="宋体" w:cs="Times New Roman"/>
                <w:spacing w:val="-8"/>
                <w:sz w:val="21"/>
                <w:szCs w:val="21"/>
                <w:highlight w:val="none"/>
              </w:rPr>
              <w:t>防范措施</w:t>
            </w:r>
          </w:p>
        </w:tc>
        <w:tc>
          <w:tcPr>
            <w:tcW w:w="8360" w:type="dxa"/>
            <w:gridSpan w:val="4"/>
            <w:tcBorders>
              <w:top w:val="single" w:color="auto" w:sz="4" w:space="0"/>
              <w:left w:val="single" w:color="auto" w:sz="4" w:space="0"/>
              <w:bottom w:val="single" w:color="auto" w:sz="4"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结合公司实际，制订应急预案，并严格按照应急预案内容及要求做好相应工作。</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700" w:type="dxa"/>
            <w:tcBorders>
              <w:top w:val="single" w:color="auto" w:sz="4" w:space="0"/>
              <w:left w:val="single" w:color="auto" w:sz="8" w:space="0"/>
              <w:bottom w:val="single" w:color="auto" w:sz="8" w:space="0"/>
              <w:right w:val="single" w:color="auto" w:sz="4"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pacing w:val="-8"/>
                <w:sz w:val="21"/>
                <w:szCs w:val="21"/>
                <w:highlight w:val="none"/>
              </w:rPr>
            </w:pPr>
            <w:r>
              <w:rPr>
                <w:rFonts w:hint="default" w:ascii="Times New Roman" w:hAnsi="Times New Roman" w:eastAsia="宋体" w:cs="Times New Roman"/>
                <w:spacing w:val="-8"/>
                <w:sz w:val="21"/>
                <w:szCs w:val="21"/>
                <w:highlight w:val="none"/>
              </w:rPr>
              <w:t>其他环境</w:t>
            </w:r>
          </w:p>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pacing w:val="-8"/>
                <w:sz w:val="21"/>
                <w:szCs w:val="21"/>
                <w:highlight w:val="none"/>
              </w:rPr>
            </w:pPr>
            <w:r>
              <w:rPr>
                <w:rFonts w:hint="default" w:ascii="Times New Roman" w:hAnsi="Times New Roman" w:eastAsia="宋体" w:cs="Times New Roman"/>
                <w:spacing w:val="-8"/>
                <w:sz w:val="21"/>
                <w:szCs w:val="21"/>
                <w:highlight w:val="none"/>
              </w:rPr>
              <w:t>管理要求</w:t>
            </w:r>
          </w:p>
        </w:tc>
        <w:tc>
          <w:tcPr>
            <w:tcW w:w="8360" w:type="dxa"/>
            <w:gridSpan w:val="4"/>
            <w:tcBorders>
              <w:top w:val="single" w:color="auto" w:sz="4" w:space="0"/>
              <w:left w:val="single" w:color="auto" w:sz="4" w:space="0"/>
              <w:bottom w:val="single" w:color="auto" w:sz="8" w:space="0"/>
              <w:right w:val="single" w:color="auto" w:sz="8" w:space="0"/>
              <w:tl2br w:val="nil"/>
              <w:tr2bl w:val="nil"/>
            </w:tcBorders>
            <w:vAlign w:val="center"/>
          </w:tcPr>
          <w:p>
            <w:pPr>
              <w:adjustRightInd w:val="0"/>
              <w:snapToGrid w:val="0"/>
              <w:spacing w:beforeLines="0" w:afterLines="0"/>
              <w:ind w:left="0" w:leftChars="0" w:right="0" w:rightChars="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无</w:t>
            </w:r>
          </w:p>
        </w:tc>
      </w:tr>
    </w:tbl>
    <w:p>
      <w:pPr>
        <w:pStyle w:val="20"/>
        <w:keepNext w:val="0"/>
        <w:keepLines w:val="0"/>
        <w:pageBreakBefore w:val="0"/>
        <w:widowControl/>
        <w:kinsoku/>
        <w:wordWrap/>
        <w:overflowPunct/>
        <w:topLinePunct w:val="0"/>
        <w:autoSpaceDE/>
        <w:autoSpaceDN/>
        <w:bidi w:val="0"/>
        <w:adjustRightInd/>
        <w:snapToGrid/>
        <w:spacing w:before="0" w:beforeLines="0" w:beforeAutospacing="0" w:afterLines="0"/>
        <w:jc w:val="center"/>
        <w:textAlignment w:val="auto"/>
        <w:outlineLvl w:val="0"/>
        <w:rPr>
          <w:rFonts w:hint="default" w:ascii="Times New Roman" w:hAnsi="Times New Roman" w:eastAsia="黑体" w:cs="Times New Roman"/>
          <w:snapToGrid w:val="0"/>
          <w:sz w:val="30"/>
          <w:szCs w:val="24"/>
          <w:highlight w:val="none"/>
        </w:rPr>
      </w:pPr>
      <w:r>
        <w:rPr>
          <w:rFonts w:hint="eastAsia" w:ascii="宋体" w:hAnsi="宋体" w:eastAsia="宋体" w:cs="宋体"/>
          <w:snapToGrid w:val="0"/>
          <w:sz w:val="21"/>
          <w:szCs w:val="21"/>
          <w:highlight w:val="yellow"/>
        </w:rPr>
        <w:br w:type="page"/>
      </w:r>
      <w:r>
        <w:rPr>
          <w:rFonts w:hint="default" w:ascii="Times New Roman" w:hAnsi="Times New Roman" w:eastAsia="黑体" w:cs="Times New Roman"/>
          <w:snapToGrid w:val="0"/>
          <w:sz w:val="30"/>
          <w:szCs w:val="24"/>
          <w:highlight w:val="none"/>
        </w:rPr>
        <w:t>六、结论</w:t>
      </w:r>
    </w:p>
    <w:tbl>
      <w:tblPr>
        <w:tblStyle w:val="21"/>
        <w:tblW w:w="886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Borders>
              <w:top w:val="single" w:color="auto" w:sz="8" w:space="0"/>
              <w:left w:val="single" w:color="auto" w:sz="8" w:space="0"/>
              <w:bottom w:val="single" w:color="auto" w:sz="8" w:space="0"/>
              <w:right w:val="single" w:color="auto" w:sz="8" w:space="0"/>
              <w:tl2br w:val="nil"/>
              <w:tr2bl w:val="nil"/>
            </w:tcBorders>
            <w:vAlign w:val="top"/>
          </w:tcPr>
          <w:p>
            <w:pPr>
              <w:spacing w:before="60" w:beforeLines="25" w:afterLines="-2147483648" w:line="480" w:lineRule="exact"/>
              <w:ind w:firstLine="480" w:firstLineChars="200"/>
              <w:jc w:val="both"/>
              <w:rPr>
                <w:rFonts w:hint="eastAsia"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本项目位于</w:t>
            </w:r>
            <w:r>
              <w:rPr>
                <w:rFonts w:hint="default" w:ascii="Times New Roman" w:hAnsi="Times New Roman" w:eastAsia="宋体" w:cs="Times New Roman"/>
                <w:color w:val="FF0000"/>
                <w:sz w:val="24"/>
                <w:szCs w:val="24"/>
                <w:highlight w:val="none"/>
                <w:u w:val="none"/>
                <w:lang w:val="en-US" w:eastAsia="zh-CN"/>
              </w:rPr>
              <w:t>内蒙古</w:t>
            </w:r>
            <w:r>
              <w:rPr>
                <w:rFonts w:hint="default" w:ascii="Times New Roman" w:hAnsi="Times New Roman" w:eastAsia="宋体" w:cs="Times New Roman"/>
                <w:color w:val="FF0000"/>
                <w:sz w:val="24"/>
                <w:szCs w:val="24"/>
                <w:highlight w:val="none"/>
                <w:u w:val="none"/>
              </w:rPr>
              <w:t>自治区</w:t>
            </w:r>
            <w:r>
              <w:rPr>
                <w:rFonts w:hint="default" w:ascii="Times New Roman" w:hAnsi="Times New Roman" w:eastAsia="宋体" w:cs="Times New Roman"/>
                <w:color w:val="FF0000"/>
                <w:sz w:val="24"/>
                <w:szCs w:val="24"/>
                <w:highlight w:val="none"/>
                <w:u w:val="none"/>
                <w:lang w:val="en-US" w:eastAsia="zh-CN"/>
              </w:rPr>
              <w:t>锡林郭勒盟锡林浩特</w:t>
            </w:r>
            <w:r>
              <w:rPr>
                <w:rFonts w:hint="default" w:ascii="Times New Roman" w:hAnsi="Times New Roman" w:eastAsia="宋体" w:cs="Times New Roman"/>
                <w:color w:val="FF0000"/>
                <w:sz w:val="24"/>
                <w:szCs w:val="24"/>
                <w:highlight w:val="none"/>
                <w:u w:val="none"/>
              </w:rPr>
              <w:t>市</w:t>
            </w:r>
            <w:r>
              <w:rPr>
                <w:rFonts w:hint="eastAsia" w:ascii="Times New Roman" w:hAnsi="Times New Roman" w:cs="Times New Roman"/>
                <w:color w:val="FF0000"/>
                <w:sz w:val="24"/>
                <w:szCs w:val="24"/>
                <w:highlight w:val="none"/>
                <w:u w:val="none"/>
                <w:lang w:val="en-US" w:eastAsia="zh-CN"/>
              </w:rPr>
              <w:t>建材园区</w:t>
            </w:r>
            <w:r>
              <w:rPr>
                <w:rFonts w:hint="default" w:ascii="Times New Roman" w:hAnsi="Times New Roman" w:eastAsia="宋体" w:cs="Times New Roman"/>
                <w:color w:val="FF0000"/>
                <w:sz w:val="24"/>
                <w:szCs w:val="24"/>
                <w:highlight w:val="none"/>
              </w:rPr>
              <w:t>，</w:t>
            </w:r>
            <w:r>
              <w:rPr>
                <w:rFonts w:hint="default" w:ascii="Times New Roman" w:hAnsi="Times New Roman" w:eastAsia="宋体" w:cs="Times New Roman"/>
                <w:color w:val="auto"/>
                <w:sz w:val="24"/>
                <w:szCs w:val="24"/>
                <w:highlight w:val="none"/>
              </w:rPr>
              <w:t>项目建设符合</w:t>
            </w:r>
            <w:r>
              <w:rPr>
                <w:rFonts w:hint="eastAsia" w:ascii="Times New Roman" w:hAnsi="Times New Roman" w:eastAsia="宋体" w:cs="Times New Roman"/>
                <w:color w:val="auto"/>
                <w:sz w:val="24"/>
                <w:szCs w:val="24"/>
                <w:highlight w:val="none"/>
                <w:lang w:val="en-US" w:eastAsia="zh-CN"/>
              </w:rPr>
              <w:t>城市</w:t>
            </w:r>
            <w:r>
              <w:rPr>
                <w:rFonts w:hint="default" w:ascii="Times New Roman" w:hAnsi="Times New Roman" w:eastAsia="宋体" w:cs="Times New Roman"/>
                <w:color w:val="auto"/>
                <w:sz w:val="24"/>
                <w:szCs w:val="24"/>
                <w:highlight w:val="none"/>
              </w:rPr>
              <w:t>规划，同时项目也符合当前的产业政策。项目建成后，废气、噪声等均采取有效地治理措施，实现污染物的达标排放，不会对环境造成二次污染。综上所述，本项目采取报告中污染物防治措施后，在环保设施正常运行情况下，污染物排放能够满足相应的排放标准。因此，本次评价认为，在切实做好污染防治工作的前提下，</w:t>
            </w:r>
            <w:r>
              <w:rPr>
                <w:rFonts w:hint="eastAsia" w:ascii="Times New Roman" w:hAnsi="Times New Roman" w:eastAsia="宋体" w:cs="Times New Roman"/>
                <w:color w:val="auto"/>
                <w:sz w:val="24"/>
                <w:szCs w:val="24"/>
                <w:highlight w:val="none"/>
                <w:lang w:eastAsia="zh-CN"/>
              </w:rPr>
              <w:t>从环境保护角度来看，</w:t>
            </w:r>
            <w:r>
              <w:rPr>
                <w:rFonts w:hint="default" w:ascii="Times New Roman" w:hAnsi="Times New Roman" w:eastAsia="宋体" w:cs="Times New Roman"/>
                <w:color w:val="auto"/>
                <w:sz w:val="24"/>
                <w:szCs w:val="24"/>
                <w:highlight w:val="none"/>
              </w:rPr>
              <w:t>本项目的建设是可行的。</w:t>
            </w: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pStyle w:val="26"/>
              <w:rPr>
                <w:rFonts w:hint="default" w:ascii="Times New Roman" w:hAnsi="Times New Roman" w:cs="Times New Roman"/>
                <w:bCs/>
                <w:color w:val="000000"/>
                <w:sz w:val="24"/>
                <w:highlight w:val="none"/>
              </w:rPr>
            </w:pPr>
          </w:p>
          <w:p>
            <w:pPr>
              <w:spacing w:beforeLines="0" w:afterLines="0" w:line="360" w:lineRule="auto"/>
              <w:rPr>
                <w:rFonts w:hint="default" w:ascii="Times New Roman" w:hAnsi="Times New Roman" w:eastAsia="宋体" w:cs="Times New Roman"/>
                <w:sz w:val="24"/>
                <w:szCs w:val="24"/>
                <w:highlight w:val="none"/>
              </w:rPr>
            </w:pPr>
          </w:p>
        </w:tc>
      </w:tr>
    </w:tbl>
    <w:p>
      <w:pPr>
        <w:spacing w:beforeLines="0" w:afterLines="0"/>
        <w:rPr>
          <w:rFonts w:hint="default" w:ascii="Times New Roman" w:hAnsi="Times New Roman" w:eastAsia="宋体" w:cs="Times New Roman"/>
          <w:sz w:val="21"/>
          <w:szCs w:val="24"/>
          <w:highlight w:val="yellow"/>
        </w:rPr>
        <w:sectPr>
          <w:footerReference r:id="rId5" w:type="default"/>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start="1"/>
          <w:cols w:space="720" w:num="1"/>
          <w:docGrid w:type="lines" w:linePitch="312" w:charSpace="0"/>
        </w:sectPr>
      </w:pPr>
    </w:p>
    <w:p>
      <w:pPr>
        <w:pStyle w:val="20"/>
        <w:adjustRightInd w:val="0"/>
        <w:snapToGrid w:val="0"/>
        <w:spacing w:before="0" w:beforeLines="0" w:beforeAutospacing="0" w:after="0" w:afterLines="0" w:afterAutospacing="0" w:line="648" w:lineRule="auto"/>
        <w:outlineLvl w:val="0"/>
        <w:rPr>
          <w:rFonts w:hint="default" w:ascii="Times New Roman" w:hAnsi="Times New Roman" w:eastAsia="黑体" w:cs="Times New Roman"/>
          <w:snapToGrid w:val="0"/>
          <w:sz w:val="32"/>
          <w:szCs w:val="24"/>
          <w:highlight w:val="none"/>
        </w:rPr>
      </w:pPr>
      <w:r>
        <w:rPr>
          <w:rFonts w:hint="default" w:ascii="Times New Roman" w:hAnsi="Times New Roman" w:eastAsia="黑体" w:cs="Times New Roman"/>
          <w:snapToGrid w:val="0"/>
          <w:sz w:val="32"/>
          <w:szCs w:val="24"/>
          <w:highlight w:val="none"/>
        </w:rPr>
        <w:t>附表</w:t>
      </w:r>
    </w:p>
    <w:p>
      <w:pPr>
        <w:pStyle w:val="20"/>
        <w:adjustRightInd w:val="0"/>
        <w:snapToGrid w:val="0"/>
        <w:spacing w:before="0" w:beforeLines="0" w:beforeAutospacing="0" w:after="0" w:afterLines="0" w:afterAutospacing="0" w:line="552" w:lineRule="auto"/>
        <w:jc w:val="center"/>
        <w:outlineLvl w:val="0"/>
        <w:rPr>
          <w:rFonts w:hint="default" w:ascii="Times New Roman" w:hAnsi="Times New Roman" w:eastAsia="方正小标宋_GBK" w:cs="Times New Roman"/>
          <w:snapToGrid w:val="0"/>
          <w:sz w:val="38"/>
          <w:szCs w:val="24"/>
          <w:highlight w:val="none"/>
        </w:rPr>
      </w:pPr>
      <w:r>
        <w:rPr>
          <w:rFonts w:hint="default" w:ascii="Times New Roman" w:hAnsi="Times New Roman" w:eastAsia="方正小标宋_GBK" w:cs="Times New Roman"/>
          <w:snapToGrid w:val="0"/>
          <w:sz w:val="38"/>
          <w:szCs w:val="24"/>
          <w:highlight w:val="none"/>
        </w:rPr>
        <w:t>建设项目污染物排放量汇总表</w:t>
      </w:r>
    </w:p>
    <w:tbl>
      <w:tblPr>
        <w:tblStyle w:val="21"/>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703"/>
        <w:gridCol w:w="1834"/>
        <w:gridCol w:w="10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88" w:type="dxa"/>
            <w:tcBorders>
              <w:top w:val="single" w:color="auto" w:sz="8" w:space="0"/>
              <w:left w:val="single" w:color="auto" w:sz="8" w:space="0"/>
              <w:bottom w:val="single" w:color="auto" w:sz="4" w:space="0"/>
              <w:right w:val="single" w:color="auto" w:sz="4" w:space="0"/>
              <w:tl2br w:val="nil"/>
              <w:tr2bl w:val="nil"/>
            </w:tcBorders>
            <w:tcMar>
              <w:left w:w="28" w:type="dxa"/>
              <w:right w:w="28" w:type="dxa"/>
            </w:tcMar>
            <w:vAlign w:val="center"/>
            <mc:AlternateContent>
              <mc:Choice Requires="wpsCustomData">
                <wpsCustomData:diagonals>
                  <wpsCustomData:diagonal from="10000" to="30000">
                    <wpsCustomData:border w:val="single" w:color="auto" w:sz="8" w:space="0"/>
                  </wpsCustomData:diagonal>
                </wpsCustomData:diagonals>
              </mc:Choice>
            </mc:AlternateContent>
          </w:tcPr>
          <w:p>
            <w:pPr>
              <w:pStyle w:val="36"/>
              <w:snapToGrid w:val="0"/>
              <w:spacing w:beforeLines="0" w:afterLines="0" w:line="240" w:lineRule="auto"/>
              <w:jc w:val="left"/>
              <w:rPr>
                <w:rFonts w:hint="default" w:ascii="Times New Roman" w:hAnsi="Times New Roman" w:eastAsia="黑体" w:cs="Times New Roman"/>
                <w:snapToGrid w:val="0"/>
                <w:color w:val="000000"/>
                <w:spacing w:val="-6"/>
                <w:kern w:val="21"/>
                <w:sz w:val="21"/>
                <w:szCs w:val="21"/>
                <w:highlight w:val="none"/>
              </w:rPr>
            </w:pPr>
          </w:p>
          <w:p>
            <w:pPr>
              <w:pStyle w:val="36"/>
              <w:snapToGrid w:val="0"/>
              <w:spacing w:beforeLines="0" w:afterLines="0" w:line="240" w:lineRule="auto"/>
              <w:jc w:val="left"/>
              <mc:AlternateContent>
                <mc:Choice Requires="wpsCustomData">
                  <wpsCustomData:diagonalParaType/>
                </mc:Choice>
              </mc:AlternateContent>
              <w:rPr>
                <w:rFonts w:hint="default" w:ascii="Times New Roman" w:hAnsi="Times New Roman" w:eastAsia="黑体" w:cs="Times New Roman"/>
                <w:snapToGrid w:val="0"/>
                <w:color w:val="000000"/>
                <w:spacing w:val="-6"/>
                <w:kern w:val="21"/>
                <w:sz w:val="21"/>
                <w:szCs w:val="21"/>
                <w:highlight w:val="none"/>
              </w:rPr>
            </w:pPr>
            <w:r>
              <w:rPr>
                <w:rFonts w:hint="default" w:ascii="Times New Roman" w:hAnsi="Times New Roman" w:eastAsia="黑体" w:cs="Times New Roman"/>
                <w:snapToGrid w:val="0"/>
                <w:color w:val="000000"/>
                <w:spacing w:val="-6"/>
                <w:kern w:val="21"/>
                <w:sz w:val="21"/>
                <w:szCs w:val="21"/>
                <w:highlight w:val="none"/>
              </w:rPr>
              <w:t>分类</w:t>
            </w:r>
          </w:p>
          <w:p>
            <w:pPr>
              <w:pStyle w:val="36"/>
              <w:spacing w:beforeLines="0" w:afterLines="0" w:line="240" w:lineRule="auto"/>
              <w:jc w:val="right"/>
              <w:rPr>
                <w:rFonts w:hint="default" w:ascii="Times New Roman" w:hAnsi="Times New Roman" w:eastAsia="黑体" w:cs="Times New Roman"/>
                <w:snapToGrid w:val="0"/>
                <w:color w:val="000000"/>
                <w:spacing w:val="-6"/>
                <w:kern w:val="21"/>
                <w:sz w:val="21"/>
                <w:szCs w:val="21"/>
                <w:highlight w:val="none"/>
              </w:rPr>
            </w:pPr>
            <w:r>
              <w:rPr>
                <w:rFonts w:hint="default" w:ascii="Times New Roman" w:hAnsi="Times New Roman" w:eastAsia="黑体" w:cs="Times New Roman"/>
                <w:snapToGrid w:val="0"/>
                <w:color w:val="000000"/>
                <w:spacing w:val="-6"/>
                <w:kern w:val="21"/>
                <w:sz w:val="21"/>
                <w:szCs w:val="21"/>
                <w:highlight w:val="none"/>
              </w:rPr>
              <w:t>项目</w:t>
            </w:r>
          </w:p>
          <w:p>
            <w:pPr>
              <w:pStyle w:val="36"/>
              <w:spacing w:beforeLines="0" w:afterLines="0" w:line="240" w:lineRule="auto"/>
              <w:jc w:val="left"/>
              <w:rPr>
                <w:rFonts w:hint="default" w:ascii="Times New Roman" w:hAnsi="Times New Roman" w:eastAsia="黑体" w:cs="Times New Roman"/>
                <w:snapToGrid w:val="0"/>
                <w:color w:val="000000"/>
                <w:spacing w:val="-6"/>
                <w:kern w:val="21"/>
                <w:sz w:val="21"/>
                <w:szCs w:val="21"/>
                <w:highlight w:val="none"/>
              </w:rPr>
            </w:pPr>
          </w:p>
        </w:tc>
        <w:tc>
          <w:tcPr>
            <w:tcW w:w="1417"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1"/>
                <w:highlight w:val="none"/>
              </w:rPr>
            </w:pPr>
            <w:r>
              <w:rPr>
                <w:rFonts w:hint="default" w:ascii="Times New Roman" w:hAnsi="Times New Roman" w:eastAsia="黑体" w:cs="Times New Roman"/>
                <w:snapToGrid w:val="0"/>
                <w:color w:val="000000"/>
                <w:spacing w:val="-6"/>
                <w:kern w:val="21"/>
                <w:sz w:val="21"/>
                <w:szCs w:val="21"/>
                <w:highlight w:val="none"/>
              </w:rPr>
              <w:t>污染物名称</w:t>
            </w:r>
          </w:p>
        </w:tc>
        <w:tc>
          <w:tcPr>
            <w:tcW w:w="1701"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eastAsia" w:ascii="Times New Roman" w:eastAsia="黑体" w:cs="Times New Roman"/>
                <w:snapToGrid w:val="0"/>
                <w:color w:val="000000"/>
                <w:spacing w:val="-6"/>
                <w:kern w:val="21"/>
                <w:sz w:val="21"/>
                <w:szCs w:val="24"/>
                <w:highlight w:val="none"/>
                <w:lang w:val="en-US" w:eastAsia="zh-CN"/>
              </w:rPr>
              <w:t>本项目</w:t>
            </w:r>
          </w:p>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排放量（固体废物产生量）</w:t>
            </w:r>
            <w:r>
              <w:rPr>
                <w:rFonts w:hint="default" w:ascii="Times New Roman" w:hAnsi="Times New Roman" w:eastAsia="黑体" w:cs="Times New Roman"/>
                <w:snapToGrid w:val="0"/>
                <w:color w:val="000000"/>
                <w:spacing w:val="-6"/>
                <w:kern w:val="21"/>
                <w:sz w:val="21"/>
                <w:szCs w:val="24"/>
                <w:highlight w:val="none"/>
              </w:rPr>
              <w:fldChar w:fldCharType="begin"/>
            </w:r>
            <w:r>
              <w:rPr>
                <w:rFonts w:hint="default" w:ascii="Times New Roman" w:hAnsi="Times New Roman" w:eastAsia="黑体" w:cs="Times New Roman"/>
                <w:snapToGrid w:val="0"/>
                <w:color w:val="000000"/>
                <w:spacing w:val="-6"/>
                <w:kern w:val="21"/>
                <w:sz w:val="21"/>
                <w:szCs w:val="24"/>
                <w:highlight w:val="none"/>
              </w:rPr>
              <w:instrText xml:space="preserve"> = 1 \* GB3 \* MERGEFORMAT </w:instrText>
            </w:r>
            <w:r>
              <w:rPr>
                <w:rFonts w:hint="default" w:ascii="Times New Roman" w:hAnsi="Times New Roman" w:eastAsia="黑体" w:cs="Times New Roman"/>
                <w:snapToGrid w:val="0"/>
                <w:color w:val="000000"/>
                <w:spacing w:val="-6"/>
                <w:kern w:val="21"/>
                <w:sz w:val="21"/>
                <w:szCs w:val="24"/>
                <w:highlight w:val="none"/>
              </w:rPr>
              <w:fldChar w:fldCharType="separate"/>
            </w:r>
            <w:r>
              <w:rPr>
                <w:rFonts w:hint="default" w:ascii="Times New Roman" w:hAnsi="Times New Roman" w:eastAsia="黑体" w:cs="Times New Roman"/>
                <w:kern w:val="2"/>
                <w:sz w:val="21"/>
                <w:szCs w:val="21"/>
                <w:highlight w:val="none"/>
              </w:rPr>
              <w:t>①</w:t>
            </w:r>
            <w:r>
              <w:rPr>
                <w:rFonts w:hint="default" w:ascii="Times New Roman" w:hAnsi="Times New Roman" w:eastAsia="黑体" w:cs="Times New Roman"/>
                <w:kern w:val="2"/>
                <w:sz w:val="21"/>
                <w:szCs w:val="21"/>
                <w:highlight w:val="none"/>
              </w:rPr>
              <w:fldChar w:fldCharType="end"/>
            </w:r>
          </w:p>
        </w:tc>
        <w:tc>
          <w:tcPr>
            <w:tcW w:w="1276"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现有工程</w:t>
            </w:r>
          </w:p>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许可排放量</w:t>
            </w:r>
          </w:p>
          <w:p>
            <w:pPr>
              <w:pStyle w:val="36"/>
              <w:spacing w:beforeLines="0" w:afterLines="0"/>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fldChar w:fldCharType="begin"/>
            </w:r>
            <w:r>
              <w:rPr>
                <w:rFonts w:hint="default" w:ascii="Times New Roman" w:hAnsi="Times New Roman" w:eastAsia="黑体" w:cs="Times New Roman"/>
                <w:snapToGrid w:val="0"/>
                <w:color w:val="000000"/>
                <w:spacing w:val="-6"/>
                <w:kern w:val="21"/>
                <w:sz w:val="21"/>
                <w:szCs w:val="24"/>
                <w:highlight w:val="none"/>
              </w:rPr>
              <w:instrText xml:space="preserve"> = 2 \* GB3 \* MERGEFORMAT </w:instrText>
            </w:r>
            <w:r>
              <w:rPr>
                <w:rFonts w:hint="default" w:ascii="Times New Roman" w:hAnsi="Times New Roman" w:eastAsia="黑体" w:cs="Times New Roman"/>
                <w:snapToGrid w:val="0"/>
                <w:color w:val="000000"/>
                <w:spacing w:val="-6"/>
                <w:kern w:val="21"/>
                <w:sz w:val="21"/>
                <w:szCs w:val="24"/>
                <w:highlight w:val="none"/>
              </w:rPr>
              <w:fldChar w:fldCharType="separate"/>
            </w:r>
            <w:r>
              <w:rPr>
                <w:rFonts w:hint="default" w:ascii="Times New Roman" w:hAnsi="Times New Roman" w:eastAsia="黑体" w:cs="Times New Roman"/>
                <w:snapToGrid w:val="0"/>
                <w:color w:val="000000"/>
                <w:spacing w:val="-6"/>
                <w:kern w:val="21"/>
                <w:sz w:val="21"/>
                <w:szCs w:val="21"/>
                <w:highlight w:val="none"/>
              </w:rPr>
              <w:t>②</w:t>
            </w:r>
            <w:r>
              <w:rPr>
                <w:rFonts w:hint="default" w:ascii="Times New Roman" w:hAnsi="Times New Roman" w:eastAsia="黑体" w:cs="Times New Roman"/>
                <w:snapToGrid w:val="0"/>
                <w:color w:val="000000"/>
                <w:spacing w:val="-6"/>
                <w:kern w:val="21"/>
                <w:sz w:val="21"/>
                <w:szCs w:val="21"/>
                <w:highlight w:val="none"/>
              </w:rPr>
              <w:fldChar w:fldCharType="end"/>
            </w:r>
          </w:p>
        </w:tc>
        <w:tc>
          <w:tcPr>
            <w:tcW w:w="1701"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在建工程</w:t>
            </w:r>
          </w:p>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排放量（固体废物产生量）</w:t>
            </w:r>
            <w:r>
              <w:rPr>
                <w:rFonts w:hint="default" w:ascii="Times New Roman" w:hAnsi="Times New Roman" w:eastAsia="黑体" w:cs="Times New Roman"/>
                <w:snapToGrid w:val="0"/>
                <w:color w:val="000000"/>
                <w:spacing w:val="-6"/>
                <w:kern w:val="21"/>
                <w:sz w:val="21"/>
                <w:szCs w:val="24"/>
                <w:highlight w:val="none"/>
              </w:rPr>
              <w:fldChar w:fldCharType="begin"/>
            </w:r>
            <w:r>
              <w:rPr>
                <w:rFonts w:hint="default" w:ascii="Times New Roman" w:hAnsi="Times New Roman" w:eastAsia="黑体" w:cs="Times New Roman"/>
                <w:snapToGrid w:val="0"/>
                <w:color w:val="000000"/>
                <w:spacing w:val="-6"/>
                <w:kern w:val="21"/>
                <w:sz w:val="21"/>
                <w:szCs w:val="24"/>
                <w:highlight w:val="none"/>
              </w:rPr>
              <w:instrText xml:space="preserve"> = 3 \* GB3 \* MERGEFORMAT </w:instrText>
            </w:r>
            <w:r>
              <w:rPr>
                <w:rFonts w:hint="default" w:ascii="Times New Roman" w:hAnsi="Times New Roman" w:eastAsia="黑体" w:cs="Times New Roman"/>
                <w:snapToGrid w:val="0"/>
                <w:color w:val="000000"/>
                <w:spacing w:val="-6"/>
                <w:kern w:val="21"/>
                <w:sz w:val="21"/>
                <w:szCs w:val="24"/>
                <w:highlight w:val="none"/>
              </w:rPr>
              <w:fldChar w:fldCharType="separate"/>
            </w:r>
            <w:r>
              <w:rPr>
                <w:rFonts w:hint="default" w:ascii="Times New Roman" w:hAnsi="Times New Roman" w:eastAsia="黑体" w:cs="Times New Roman"/>
                <w:kern w:val="2"/>
                <w:sz w:val="21"/>
                <w:szCs w:val="21"/>
                <w:highlight w:val="none"/>
              </w:rPr>
              <w:t>③</w:t>
            </w:r>
            <w:r>
              <w:rPr>
                <w:rFonts w:hint="default" w:ascii="Times New Roman" w:hAnsi="Times New Roman" w:eastAsia="黑体" w:cs="Times New Roman"/>
                <w:kern w:val="2"/>
                <w:sz w:val="21"/>
                <w:szCs w:val="21"/>
                <w:highlight w:val="none"/>
              </w:rPr>
              <w:fldChar w:fldCharType="end"/>
            </w:r>
          </w:p>
        </w:tc>
        <w:tc>
          <w:tcPr>
            <w:tcW w:w="1559"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本项目</w:t>
            </w:r>
          </w:p>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排放量（固体废物产生量）</w:t>
            </w:r>
            <w:r>
              <w:rPr>
                <w:rFonts w:hint="default" w:ascii="Times New Roman" w:hAnsi="Times New Roman" w:eastAsia="黑体" w:cs="Times New Roman"/>
                <w:snapToGrid w:val="0"/>
                <w:color w:val="000000"/>
                <w:spacing w:val="-6"/>
                <w:kern w:val="21"/>
                <w:sz w:val="21"/>
                <w:szCs w:val="24"/>
                <w:highlight w:val="none"/>
              </w:rPr>
              <w:fldChar w:fldCharType="begin"/>
            </w:r>
            <w:r>
              <w:rPr>
                <w:rFonts w:hint="default" w:ascii="Times New Roman" w:hAnsi="Times New Roman" w:eastAsia="黑体" w:cs="Times New Roman"/>
                <w:snapToGrid w:val="0"/>
                <w:color w:val="000000"/>
                <w:spacing w:val="-6"/>
                <w:kern w:val="21"/>
                <w:sz w:val="21"/>
                <w:szCs w:val="24"/>
                <w:highlight w:val="none"/>
              </w:rPr>
              <w:instrText xml:space="preserve"> = 4 \* GB3 \* MERGEFORMAT </w:instrText>
            </w:r>
            <w:r>
              <w:rPr>
                <w:rFonts w:hint="default" w:ascii="Times New Roman" w:hAnsi="Times New Roman" w:eastAsia="黑体" w:cs="Times New Roman"/>
                <w:snapToGrid w:val="0"/>
                <w:color w:val="000000"/>
                <w:spacing w:val="-6"/>
                <w:kern w:val="21"/>
                <w:sz w:val="21"/>
                <w:szCs w:val="24"/>
                <w:highlight w:val="none"/>
              </w:rPr>
              <w:fldChar w:fldCharType="separate"/>
            </w:r>
            <w:r>
              <w:rPr>
                <w:rFonts w:hint="default" w:ascii="Times New Roman" w:hAnsi="Times New Roman" w:eastAsia="黑体" w:cs="Times New Roman"/>
                <w:kern w:val="2"/>
                <w:sz w:val="21"/>
                <w:szCs w:val="21"/>
                <w:highlight w:val="none"/>
              </w:rPr>
              <w:t>④</w:t>
            </w:r>
            <w:r>
              <w:rPr>
                <w:rFonts w:hint="default" w:ascii="Times New Roman" w:hAnsi="Times New Roman" w:eastAsia="黑体" w:cs="Times New Roman"/>
                <w:kern w:val="2"/>
                <w:sz w:val="21"/>
                <w:szCs w:val="21"/>
                <w:highlight w:val="none"/>
              </w:rPr>
              <w:fldChar w:fldCharType="end"/>
            </w:r>
          </w:p>
        </w:tc>
        <w:tc>
          <w:tcPr>
            <w:tcW w:w="1703"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16"/>
                <w:kern w:val="21"/>
                <w:sz w:val="21"/>
                <w:szCs w:val="24"/>
                <w:highlight w:val="none"/>
              </w:rPr>
            </w:pPr>
            <w:r>
              <w:rPr>
                <w:rFonts w:hint="default" w:ascii="Times New Roman" w:hAnsi="Times New Roman" w:eastAsia="黑体" w:cs="Times New Roman"/>
                <w:snapToGrid w:val="0"/>
                <w:color w:val="000000"/>
                <w:spacing w:val="-16"/>
                <w:kern w:val="21"/>
                <w:sz w:val="21"/>
                <w:szCs w:val="24"/>
                <w:highlight w:val="none"/>
              </w:rPr>
              <w:t>以新带老削减量</w:t>
            </w:r>
          </w:p>
          <w:p>
            <w:pPr>
              <w:pStyle w:val="36"/>
              <w:spacing w:beforeLines="0" w:afterLines="0" w:line="240" w:lineRule="auto"/>
              <w:rPr>
                <w:rFonts w:hint="default" w:ascii="Times New Roman" w:hAnsi="Times New Roman" w:eastAsia="黑体" w:cs="Times New Roman"/>
                <w:snapToGrid w:val="0"/>
                <w:color w:val="000000"/>
                <w:spacing w:val="-16"/>
                <w:kern w:val="21"/>
                <w:sz w:val="21"/>
                <w:szCs w:val="24"/>
                <w:highlight w:val="none"/>
              </w:rPr>
            </w:pPr>
            <w:r>
              <w:rPr>
                <w:rFonts w:hint="default" w:ascii="Times New Roman" w:hAnsi="Times New Roman" w:eastAsia="黑体" w:cs="Times New Roman"/>
                <w:snapToGrid w:val="0"/>
                <w:color w:val="000000"/>
                <w:spacing w:val="-16"/>
                <w:kern w:val="21"/>
                <w:sz w:val="21"/>
                <w:szCs w:val="24"/>
                <w:highlight w:val="none"/>
              </w:rPr>
              <w:t>（新建项目不填）</w:t>
            </w:r>
            <w:r>
              <w:rPr>
                <w:rFonts w:hint="default" w:ascii="Times New Roman" w:hAnsi="Times New Roman" w:eastAsia="黑体" w:cs="Times New Roman"/>
                <w:snapToGrid w:val="0"/>
                <w:color w:val="000000"/>
                <w:spacing w:val="-16"/>
                <w:kern w:val="21"/>
                <w:sz w:val="21"/>
                <w:szCs w:val="24"/>
                <w:highlight w:val="none"/>
              </w:rPr>
              <w:fldChar w:fldCharType="begin"/>
            </w:r>
            <w:r>
              <w:rPr>
                <w:rFonts w:hint="default" w:ascii="Times New Roman" w:hAnsi="Times New Roman" w:eastAsia="黑体" w:cs="Times New Roman"/>
                <w:snapToGrid w:val="0"/>
                <w:color w:val="000000"/>
                <w:spacing w:val="-16"/>
                <w:kern w:val="21"/>
                <w:sz w:val="21"/>
                <w:szCs w:val="24"/>
                <w:highlight w:val="none"/>
              </w:rPr>
              <w:instrText xml:space="preserve"> = 5 \* GB3 \* MERGEFORMAT </w:instrText>
            </w:r>
            <w:r>
              <w:rPr>
                <w:rFonts w:hint="default" w:ascii="Times New Roman" w:hAnsi="Times New Roman" w:eastAsia="黑体" w:cs="Times New Roman"/>
                <w:snapToGrid w:val="0"/>
                <w:color w:val="000000"/>
                <w:spacing w:val="-16"/>
                <w:kern w:val="21"/>
                <w:sz w:val="21"/>
                <w:szCs w:val="24"/>
                <w:highlight w:val="none"/>
              </w:rPr>
              <w:fldChar w:fldCharType="separate"/>
            </w:r>
            <w:r>
              <w:rPr>
                <w:rFonts w:hint="default" w:ascii="Times New Roman" w:hAnsi="Times New Roman" w:eastAsia="黑体" w:cs="Times New Roman"/>
                <w:kern w:val="2"/>
                <w:sz w:val="21"/>
                <w:szCs w:val="21"/>
                <w:highlight w:val="none"/>
              </w:rPr>
              <w:t>⑤</w:t>
            </w:r>
            <w:r>
              <w:rPr>
                <w:rFonts w:hint="default" w:ascii="Times New Roman" w:hAnsi="Times New Roman" w:eastAsia="黑体" w:cs="Times New Roman"/>
                <w:kern w:val="2"/>
                <w:sz w:val="21"/>
                <w:szCs w:val="21"/>
                <w:highlight w:val="none"/>
              </w:rPr>
              <w:fldChar w:fldCharType="end"/>
            </w:r>
          </w:p>
        </w:tc>
        <w:tc>
          <w:tcPr>
            <w:tcW w:w="1834" w:type="dxa"/>
            <w:tcBorders>
              <w:top w:val="single" w:color="auto" w:sz="8" w:space="0"/>
              <w:left w:val="single" w:color="auto" w:sz="4" w:space="0"/>
              <w:bottom w:val="single" w:color="auto" w:sz="4" w:space="0"/>
              <w:right w:val="single" w:color="auto" w:sz="4"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16"/>
                <w:kern w:val="21"/>
                <w:sz w:val="21"/>
                <w:szCs w:val="24"/>
                <w:highlight w:val="none"/>
              </w:rPr>
            </w:pPr>
            <w:r>
              <w:rPr>
                <w:rFonts w:hint="default" w:ascii="Times New Roman" w:hAnsi="Times New Roman" w:eastAsia="黑体" w:cs="Times New Roman"/>
                <w:snapToGrid w:val="0"/>
                <w:color w:val="000000"/>
                <w:spacing w:val="-16"/>
                <w:kern w:val="21"/>
                <w:sz w:val="21"/>
                <w:szCs w:val="24"/>
                <w:highlight w:val="none"/>
              </w:rPr>
              <w:t>本项目建成后</w:t>
            </w:r>
          </w:p>
          <w:p>
            <w:pPr>
              <w:pStyle w:val="36"/>
              <w:spacing w:beforeLines="0" w:afterLines="0" w:line="240" w:lineRule="auto"/>
              <w:rPr>
                <w:rFonts w:hint="default" w:ascii="Times New Roman" w:hAnsi="Times New Roman" w:eastAsia="黑体" w:cs="Times New Roman"/>
                <w:snapToGrid w:val="0"/>
                <w:color w:val="000000"/>
                <w:spacing w:val="-16"/>
                <w:kern w:val="21"/>
                <w:sz w:val="21"/>
                <w:szCs w:val="24"/>
                <w:highlight w:val="none"/>
              </w:rPr>
            </w:pPr>
            <w:r>
              <w:rPr>
                <w:rFonts w:hint="default" w:ascii="Times New Roman" w:hAnsi="Times New Roman" w:eastAsia="黑体" w:cs="Times New Roman"/>
                <w:snapToGrid w:val="0"/>
                <w:color w:val="000000"/>
                <w:spacing w:val="-16"/>
                <w:kern w:val="21"/>
                <w:sz w:val="21"/>
                <w:szCs w:val="24"/>
                <w:highlight w:val="none"/>
              </w:rPr>
              <w:t>全厂排放量（固体废物产生量）</w:t>
            </w:r>
            <w:r>
              <w:rPr>
                <w:rFonts w:hint="default" w:ascii="Times New Roman" w:hAnsi="Times New Roman" w:eastAsia="黑体" w:cs="Times New Roman"/>
                <w:snapToGrid w:val="0"/>
                <w:color w:val="000000"/>
                <w:spacing w:val="-16"/>
                <w:kern w:val="21"/>
                <w:sz w:val="21"/>
                <w:szCs w:val="24"/>
                <w:highlight w:val="none"/>
              </w:rPr>
              <w:fldChar w:fldCharType="begin"/>
            </w:r>
            <w:r>
              <w:rPr>
                <w:rFonts w:hint="default" w:ascii="Times New Roman" w:hAnsi="Times New Roman" w:eastAsia="黑体" w:cs="Times New Roman"/>
                <w:snapToGrid w:val="0"/>
                <w:color w:val="000000"/>
                <w:spacing w:val="-16"/>
                <w:kern w:val="21"/>
                <w:sz w:val="21"/>
                <w:szCs w:val="24"/>
                <w:highlight w:val="none"/>
              </w:rPr>
              <w:instrText xml:space="preserve"> = 6 \* GB3 \* MERGEFORMAT </w:instrText>
            </w:r>
            <w:r>
              <w:rPr>
                <w:rFonts w:hint="default" w:ascii="Times New Roman" w:hAnsi="Times New Roman" w:eastAsia="黑体" w:cs="Times New Roman"/>
                <w:snapToGrid w:val="0"/>
                <w:color w:val="000000"/>
                <w:spacing w:val="-16"/>
                <w:kern w:val="21"/>
                <w:sz w:val="21"/>
                <w:szCs w:val="24"/>
                <w:highlight w:val="none"/>
              </w:rPr>
              <w:fldChar w:fldCharType="separate"/>
            </w:r>
            <w:r>
              <w:rPr>
                <w:rFonts w:hint="default" w:ascii="Times New Roman" w:hAnsi="Times New Roman" w:eastAsia="黑体" w:cs="Times New Roman"/>
                <w:kern w:val="2"/>
                <w:sz w:val="21"/>
                <w:szCs w:val="21"/>
                <w:highlight w:val="none"/>
              </w:rPr>
              <w:t>⑥</w:t>
            </w:r>
            <w:r>
              <w:rPr>
                <w:rFonts w:hint="default" w:ascii="Times New Roman" w:hAnsi="Times New Roman" w:eastAsia="黑体" w:cs="Times New Roman"/>
                <w:kern w:val="2"/>
                <w:sz w:val="21"/>
                <w:szCs w:val="21"/>
                <w:highlight w:val="none"/>
              </w:rPr>
              <w:fldChar w:fldCharType="end"/>
            </w:r>
          </w:p>
        </w:tc>
        <w:tc>
          <w:tcPr>
            <w:tcW w:w="1009" w:type="dxa"/>
            <w:tcBorders>
              <w:top w:val="single" w:color="auto" w:sz="8" w:space="0"/>
              <w:left w:val="single" w:color="auto" w:sz="4" w:space="0"/>
              <w:bottom w:val="single" w:color="auto" w:sz="4" w:space="0"/>
              <w:right w:val="single" w:color="auto" w:sz="8" w:space="0"/>
              <w:tl2br w:val="nil"/>
              <w:tr2bl w:val="nil"/>
            </w:tcBorders>
            <w:tcMar>
              <w:left w:w="28" w:type="dxa"/>
              <w:right w:w="28" w:type="dxa"/>
            </w:tcMar>
            <w:vAlign w:val="center"/>
          </w:tcPr>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t>变化量</w:t>
            </w:r>
          </w:p>
          <w:p>
            <w:pPr>
              <w:pStyle w:val="36"/>
              <w:spacing w:beforeLines="0" w:afterLines="0" w:line="240" w:lineRule="auto"/>
              <w:rPr>
                <w:rFonts w:hint="default" w:ascii="Times New Roman" w:hAnsi="Times New Roman" w:eastAsia="黑体" w:cs="Times New Roman"/>
                <w:snapToGrid w:val="0"/>
                <w:color w:val="000000"/>
                <w:spacing w:val="-6"/>
                <w:kern w:val="21"/>
                <w:sz w:val="21"/>
                <w:szCs w:val="24"/>
                <w:highlight w:val="none"/>
              </w:rPr>
            </w:pPr>
            <w:r>
              <w:rPr>
                <w:rFonts w:hint="default" w:ascii="Times New Roman" w:hAnsi="Times New Roman" w:eastAsia="黑体" w:cs="Times New Roman"/>
                <w:snapToGrid w:val="0"/>
                <w:color w:val="000000"/>
                <w:spacing w:val="-6"/>
                <w:kern w:val="21"/>
                <w:sz w:val="21"/>
                <w:szCs w:val="24"/>
                <w:highlight w:val="none"/>
              </w:rPr>
              <w:fldChar w:fldCharType="begin"/>
            </w:r>
            <w:r>
              <w:rPr>
                <w:rFonts w:hint="default" w:ascii="Times New Roman" w:hAnsi="Times New Roman" w:eastAsia="黑体" w:cs="Times New Roman"/>
                <w:snapToGrid w:val="0"/>
                <w:color w:val="000000"/>
                <w:spacing w:val="-6"/>
                <w:kern w:val="21"/>
                <w:sz w:val="21"/>
                <w:szCs w:val="24"/>
                <w:highlight w:val="none"/>
              </w:rPr>
              <w:instrText xml:space="preserve"> = 7 \* GB3 \* MERGEFORMAT </w:instrText>
            </w:r>
            <w:r>
              <w:rPr>
                <w:rFonts w:hint="default" w:ascii="Times New Roman" w:hAnsi="Times New Roman" w:eastAsia="黑体" w:cs="Times New Roman"/>
                <w:snapToGrid w:val="0"/>
                <w:color w:val="000000"/>
                <w:spacing w:val="-6"/>
                <w:kern w:val="21"/>
                <w:sz w:val="21"/>
                <w:szCs w:val="24"/>
                <w:highlight w:val="none"/>
              </w:rPr>
              <w:fldChar w:fldCharType="separate"/>
            </w:r>
            <w:r>
              <w:rPr>
                <w:rFonts w:hint="default" w:ascii="Times New Roman" w:hAnsi="Times New Roman" w:eastAsia="黑体" w:cs="Times New Roman"/>
                <w:kern w:val="2"/>
                <w:sz w:val="21"/>
                <w:szCs w:val="21"/>
                <w:highlight w:val="none"/>
              </w:rPr>
              <w:t>⑦</w:t>
            </w:r>
            <w:r>
              <w:rPr>
                <w:rFonts w:hint="default" w:ascii="Times New Roman" w:hAnsi="Times New Roman" w:eastAsia="黑体" w:cs="Times New Roman"/>
                <w:kern w:val="2"/>
                <w:sz w:val="21"/>
                <w:szCs w:val="21"/>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rPr>
            </w:pPr>
            <w:r>
              <w:rPr>
                <w:rFonts w:hint="eastAsia" w:ascii="Times New Roman" w:cs="Times New Roman"/>
                <w:snapToGrid w:val="0"/>
                <w:color w:val="000000"/>
                <w:kern w:val="21"/>
                <w:sz w:val="21"/>
                <w:szCs w:val="21"/>
                <w:highlight w:val="none"/>
                <w:lang w:val="en-US" w:eastAsia="zh-CN"/>
              </w:rPr>
              <w:t>废气</w:t>
            </w:r>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eastAsia="宋体" w:asciiTheme="minorAscii" w:hAnsiTheme="minorAscii" w:cstheme="minorBidi"/>
                <w:kern w:val="2"/>
                <w:sz w:val="24"/>
                <w:szCs w:val="24"/>
                <w:highlight w:val="none"/>
                <w:lang w:val="en-US" w:eastAsia="zh-CN" w:bidi="ar-SA"/>
              </w:rPr>
            </w:pPr>
            <w:r>
              <w:rPr>
                <w:rFonts w:hint="eastAsia" w:ascii="Times New Roman" w:hAnsi="Times New Roman" w:cs="Times New Roman"/>
                <w:highlight w:val="none"/>
                <w:lang w:val="en-US" w:eastAsia="zh-CN"/>
              </w:rPr>
              <w:t>汽车扬尘</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0.000017</w:t>
            </w:r>
            <w:r>
              <w:rPr>
                <w:rFonts w:hint="eastAsia" w:ascii="Times New Roman" w:cs="Times New Roman"/>
                <w:snapToGrid w:val="0"/>
                <w:color w:val="000000"/>
                <w:kern w:val="21"/>
                <w:sz w:val="21"/>
                <w:szCs w:val="21"/>
                <w:highlight w:val="none"/>
                <w:lang w:val="en-US" w:eastAsia="zh-CN"/>
              </w:rPr>
              <w:t>t/a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0.000017</w:t>
            </w:r>
            <w:r>
              <w:rPr>
                <w:rFonts w:hint="eastAsia" w:ascii="Times New Roman" w:cs="Times New Roman"/>
                <w:snapToGrid w:val="0"/>
                <w:color w:val="000000"/>
                <w:kern w:val="21"/>
                <w:sz w:val="21"/>
                <w:szCs w:val="21"/>
                <w:highlight w:val="none"/>
                <w:lang w:val="en-US" w:eastAsia="zh-CN"/>
              </w:rPr>
              <w:t>t/a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0.000017</w:t>
            </w:r>
            <w:r>
              <w:rPr>
                <w:rFonts w:hint="eastAsia" w:ascii="Times New Roman" w:cs="Times New Roman"/>
                <w:snapToGrid w:val="0"/>
                <w:color w:val="000000"/>
                <w:kern w:val="21"/>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rPr>
            </w:pPr>
            <w:bookmarkStart w:id="5" w:name="_GoBack" w:colFirst="5" w:colLast="5"/>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cs="Times New Roman"/>
                <w:highlight w:val="none"/>
                <w:lang w:val="en-US" w:eastAsia="zh-CN"/>
              </w:rPr>
            </w:pPr>
            <w:r>
              <w:rPr>
                <w:rFonts w:hint="eastAsia" w:ascii="Times New Roman" w:hAnsi="Times New Roman" w:cs="Times New Roman"/>
                <w:highlight w:val="none"/>
                <w:lang w:val="en-US" w:eastAsia="zh-CN"/>
              </w:rPr>
              <w:t>金属粉尘</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0.35</w:t>
            </w:r>
            <w:r>
              <w:rPr>
                <w:rFonts w:hint="eastAsia" w:ascii="Times New Roman" w:cs="Times New Roman"/>
                <w:snapToGrid w:val="0"/>
                <w:color w:val="000000"/>
                <w:kern w:val="21"/>
                <w:sz w:val="21"/>
                <w:szCs w:val="21"/>
                <w:highlight w:val="none"/>
                <w:lang w:val="en-US" w:eastAsia="zh-CN"/>
              </w:rPr>
              <w:t>kg/a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0.35</w:t>
            </w:r>
            <w:r>
              <w:rPr>
                <w:rFonts w:hint="eastAsia" w:ascii="Times New Roman" w:cs="Times New Roman"/>
                <w:snapToGrid w:val="0"/>
                <w:color w:val="000000"/>
                <w:kern w:val="21"/>
                <w:sz w:val="21"/>
                <w:szCs w:val="21"/>
                <w:highlight w:val="none"/>
                <w:lang w:val="en-US" w:eastAsia="zh-CN"/>
              </w:rPr>
              <w:t>kg/a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eastAsia"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0.35</w:t>
            </w:r>
            <w:r>
              <w:rPr>
                <w:rFonts w:hint="eastAsia" w:ascii="Times New Roman" w:cs="Times New Roman"/>
                <w:snapToGrid w:val="0"/>
                <w:color w:val="000000"/>
                <w:kern w:val="21"/>
                <w:sz w:val="21"/>
                <w:szCs w:val="21"/>
                <w:highlight w:val="none"/>
                <w:lang w:val="en-US" w:eastAsia="zh-CN"/>
              </w:rPr>
              <w:t>kg/a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rPr>
            </w:pPr>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cs="Times New Roman"/>
                <w:highlight w:val="none"/>
                <w:lang w:val="en-US" w:eastAsia="zh-CN"/>
              </w:rPr>
            </w:pPr>
            <w:r>
              <w:rPr>
                <w:rFonts w:hint="eastAsia" w:ascii="Times New Roman" w:hAnsi="Times New Roman" w:cs="Times New Roman"/>
                <w:highlight w:val="none"/>
                <w:lang w:val="en-US" w:eastAsia="zh-CN"/>
              </w:rPr>
              <w:t>挥发性有机物</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1.4</w:t>
            </w:r>
            <w:r>
              <w:rPr>
                <w:rFonts w:hint="eastAsia" w:ascii="Times New Roman" w:cs="Times New Roman"/>
                <w:snapToGrid w:val="0"/>
                <w:color w:val="000000"/>
                <w:kern w:val="21"/>
                <w:sz w:val="21"/>
                <w:szCs w:val="21"/>
                <w:highlight w:val="none"/>
                <w:lang w:val="en-US" w:eastAsia="zh-CN"/>
              </w:rPr>
              <w:t>kg/a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1.4</w:t>
            </w:r>
            <w:r>
              <w:rPr>
                <w:rFonts w:hint="eastAsia" w:ascii="Times New Roman" w:cs="Times New Roman"/>
                <w:snapToGrid w:val="0"/>
                <w:color w:val="000000"/>
                <w:kern w:val="21"/>
                <w:sz w:val="21"/>
                <w:szCs w:val="21"/>
                <w:highlight w:val="none"/>
                <w:lang w:val="en-US" w:eastAsia="zh-CN"/>
              </w:rPr>
              <w:t>kg/a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eastAsia"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1.4</w:t>
            </w:r>
            <w:r>
              <w:rPr>
                <w:rFonts w:hint="eastAsia" w:ascii="Times New Roman" w:cs="Times New Roman"/>
                <w:snapToGrid w:val="0"/>
                <w:color w:val="000000"/>
                <w:kern w:val="21"/>
                <w:sz w:val="21"/>
                <w:szCs w:val="21"/>
                <w:highlight w:val="none"/>
                <w:lang w:val="en-US" w:eastAsia="zh-CN"/>
              </w:rPr>
              <w:t>kg/a</w:t>
            </w:r>
          </w:p>
        </w:tc>
      </w:tr>
      <w:bookmarkEnd w:id="5"/>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restart"/>
            <w:tcBorders>
              <w:top w:val="single" w:color="auto" w:sz="4" w:space="0"/>
              <w:left w:val="single" w:color="auto" w:sz="8"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eastAsia="zh-CN"/>
              </w:rPr>
            </w:pPr>
            <w:r>
              <w:rPr>
                <w:rFonts w:hint="eastAsia" w:ascii="Times New Roman" w:cs="Times New Roman"/>
                <w:snapToGrid w:val="0"/>
                <w:color w:val="000000"/>
                <w:kern w:val="21"/>
                <w:sz w:val="21"/>
                <w:szCs w:val="21"/>
                <w:highlight w:val="none"/>
                <w:lang w:eastAsia="zh-CN"/>
              </w:rPr>
              <w:t>废固</w:t>
            </w:r>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cs="Times New Roman"/>
                <w:highlight w:val="none"/>
                <w:lang w:val="en-US" w:eastAsia="zh-CN"/>
              </w:rPr>
            </w:pPr>
            <w:r>
              <w:rPr>
                <w:rFonts w:hint="eastAsia" w:ascii="Times New Roman" w:hAnsi="Times New Roman" w:cs="Times New Roman"/>
                <w:highlight w:val="none"/>
                <w:lang w:val="en-US" w:eastAsia="zh-CN"/>
              </w:rPr>
              <w:t>金属边角料和废泡沫</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eastAsia"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right w:val="single" w:color="auto" w:sz="4" w:space="0"/>
              <w:tl2br w:val="nil"/>
              <w:tr2bl w:val="nil"/>
            </w:tcBorders>
            <w:vAlign w:val="center"/>
          </w:tcPr>
          <w:p>
            <w:pPr>
              <w:pStyle w:val="36"/>
              <w:spacing w:beforeLines="0" w:afterLines="0" w:line="240" w:lineRule="auto"/>
              <w:rPr>
                <w:rFonts w:hint="eastAsia" w:ascii="Times New Roman" w:cs="Times New Roman"/>
                <w:snapToGrid w:val="0"/>
                <w:color w:val="000000"/>
                <w:kern w:val="21"/>
                <w:sz w:val="21"/>
                <w:szCs w:val="21"/>
                <w:highlight w:val="none"/>
                <w:lang w:eastAsia="zh-CN"/>
              </w:rPr>
            </w:pPr>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cs="Times New Roman"/>
                <w:highlight w:val="none"/>
                <w:lang w:val="en-US" w:eastAsia="zh-CN"/>
              </w:rPr>
            </w:pPr>
            <w:r>
              <w:rPr>
                <w:rFonts w:hint="eastAsia" w:ascii="Times New Roman" w:hAnsi="Times New Roman" w:cs="Times New Roman"/>
                <w:highlight w:val="none"/>
                <w:lang w:val="en-US" w:eastAsia="zh-CN"/>
              </w:rPr>
              <w:t>生活垃圾</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0.45</w:t>
            </w:r>
            <w:r>
              <w:rPr>
                <w:rFonts w:hint="eastAsia" w:ascii="Times New Roman" w:cs="Times New Roman"/>
                <w:snapToGrid w:val="0"/>
                <w:color w:val="000000"/>
                <w:kern w:val="21"/>
                <w:sz w:val="21"/>
                <w:szCs w:val="21"/>
                <w:highlight w:val="none"/>
                <w:lang w:val="en-US" w:eastAsia="zh-CN"/>
              </w:rPr>
              <w:t>t/a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0.45</w:t>
            </w:r>
            <w:r>
              <w:rPr>
                <w:rFonts w:hint="eastAsia" w:ascii="Times New Roman" w:cs="Times New Roman"/>
                <w:snapToGrid w:val="0"/>
                <w:color w:val="000000"/>
                <w:kern w:val="21"/>
                <w:sz w:val="21"/>
                <w:szCs w:val="21"/>
                <w:highlight w:val="none"/>
                <w:lang w:val="en-US" w:eastAsia="zh-CN"/>
              </w:rPr>
              <w:t>t/a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eastAsia"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0.45</w:t>
            </w:r>
            <w:r>
              <w:rPr>
                <w:rFonts w:hint="eastAsia" w:ascii="Times New Roman" w:cs="Times New Roman"/>
                <w:snapToGrid w:val="0"/>
                <w:color w:val="000000"/>
                <w:kern w:val="21"/>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1588" w:type="dxa"/>
            <w:vMerge w:val="continue"/>
            <w:tcBorders>
              <w:left w:val="single" w:color="auto" w:sz="8"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cs="Times New Roman"/>
                <w:snapToGrid w:val="0"/>
                <w:color w:val="000000"/>
                <w:kern w:val="21"/>
                <w:sz w:val="21"/>
                <w:szCs w:val="21"/>
                <w:highlight w:val="none"/>
                <w:lang w:eastAsia="zh-CN"/>
              </w:rPr>
            </w:pPr>
          </w:p>
        </w:tc>
        <w:tc>
          <w:tcPr>
            <w:tcW w:w="1417" w:type="dxa"/>
            <w:tcBorders>
              <w:top w:val="single" w:color="auto" w:sz="4" w:space="0"/>
              <w:left w:val="single" w:color="auto" w:sz="4" w:space="0"/>
              <w:bottom w:val="single" w:color="auto" w:sz="4" w:space="0"/>
              <w:right w:val="single" w:color="auto" w:sz="4" w:space="0"/>
              <w:tl2br w:val="nil"/>
              <w:tr2bl w:val="nil"/>
            </w:tcBorders>
            <w:vAlign w:val="center"/>
          </w:tcPr>
          <w:p>
            <w:pPr>
              <w:pStyle w:val="39"/>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Times New Roman" w:hAnsi="Times New Roman" w:cs="Times New Roman"/>
                <w:highlight w:val="none"/>
                <w:lang w:val="en-US" w:eastAsia="zh-CN"/>
              </w:rPr>
            </w:pPr>
            <w:r>
              <w:rPr>
                <w:rFonts w:hint="eastAsia" w:ascii="Times New Roman" w:hAnsi="Times New Roman" w:cs="Times New Roman"/>
                <w:highlight w:val="none"/>
                <w:lang w:val="en-US" w:eastAsia="zh-CN"/>
              </w:rPr>
              <w:t>盛装粘合剂的废桶</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eastAsia="宋体" w:cs="Times New Roman"/>
                <w:snapToGrid w:val="0"/>
                <w:color w:val="000000"/>
                <w:kern w:val="21"/>
                <w:sz w:val="21"/>
                <w:szCs w:val="21"/>
                <w:highlight w:val="none"/>
                <w:lang w:val="en-US" w:eastAsia="zh-CN" w:bidi="ar-SA"/>
              </w:rPr>
            </w:pPr>
            <w:r>
              <w:rPr>
                <w:rFonts w:hint="default" w:ascii="Times New Roman" w:hAnsi="Times New Roman" w:cs="Times New Roman"/>
                <w:snapToGrid w:val="0"/>
                <w:color w:val="000000"/>
                <w:kern w:val="21"/>
                <w:szCs w:val="21"/>
                <w:highlight w:val="none"/>
                <w:lang w:val="en-US" w:eastAsia="zh-CN"/>
              </w:rPr>
              <w:t>/</w:t>
            </w:r>
          </w:p>
        </w:tc>
        <w:tc>
          <w:tcPr>
            <w:tcW w:w="1276"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701"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559"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eastAsia" w:ascii="Times New Roman" w:hAnsi="Times New Roman" w:eastAsia="宋体" w:cs="Times New Roman"/>
                <w:snapToGrid w:val="0"/>
                <w:color w:val="000000"/>
                <w:kern w:val="21"/>
                <w:sz w:val="21"/>
                <w:szCs w:val="21"/>
                <w:highlight w:val="none"/>
                <w:lang w:val="en-US" w:eastAsia="zh-CN" w:bidi="ar-SA"/>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c>
          <w:tcPr>
            <w:tcW w:w="1703" w:type="dxa"/>
            <w:tcBorders>
              <w:top w:val="single" w:color="auto" w:sz="4" w:space="0"/>
              <w:left w:val="single" w:color="auto" w:sz="4" w:space="0"/>
              <w:bottom w:val="single" w:color="auto" w:sz="4" w:space="0"/>
              <w:right w:val="single" w:color="auto" w:sz="4" w:space="0"/>
              <w:tl2br w:val="nil"/>
              <w:tr2bl w:val="nil"/>
            </w:tcBorders>
            <w:vAlign w:val="center"/>
          </w:tcPr>
          <w:p>
            <w:pPr>
              <w:spacing w:beforeLines="0" w:afterLines="0" w:line="240" w:lineRule="auto"/>
              <w:ind w:left="0" w:leftChars="0" w:right="0" w:rightChars="0" w:firstLine="0" w:firstLineChars="0"/>
              <w:jc w:val="center"/>
              <w:rPr>
                <w:rFonts w:hint="default" w:ascii="Times New Roman" w:hAnsi="Times New Roman" w:cs="Times New Roman"/>
                <w:snapToGrid w:val="0"/>
                <w:color w:val="000000"/>
                <w:kern w:val="21"/>
                <w:szCs w:val="21"/>
                <w:highlight w:val="none"/>
                <w:lang w:val="en-US" w:eastAsia="zh-CN"/>
              </w:rPr>
            </w:pPr>
            <w:r>
              <w:rPr>
                <w:rFonts w:hint="default" w:ascii="Times New Roman" w:hAnsi="Times New Roman" w:cs="Times New Roman"/>
                <w:snapToGrid w:val="0"/>
                <w:color w:val="000000"/>
                <w:kern w:val="21"/>
                <w:szCs w:val="21"/>
                <w:highlight w:val="none"/>
                <w:lang w:val="en-US" w:eastAsia="zh-CN"/>
              </w:rPr>
              <w:t>/</w:t>
            </w:r>
          </w:p>
        </w:tc>
        <w:tc>
          <w:tcPr>
            <w:tcW w:w="1834" w:type="dxa"/>
            <w:tcBorders>
              <w:top w:val="single" w:color="auto" w:sz="4" w:space="0"/>
              <w:left w:val="single" w:color="auto" w:sz="4" w:space="0"/>
              <w:bottom w:val="single" w:color="auto" w:sz="4" w:space="0"/>
              <w:right w:val="single" w:color="auto" w:sz="4" w:space="0"/>
              <w:tl2br w:val="nil"/>
              <w:tr2bl w:val="nil"/>
            </w:tcBorders>
            <w:vAlign w:val="center"/>
          </w:tcPr>
          <w:p>
            <w:pPr>
              <w:pStyle w:val="36"/>
              <w:spacing w:beforeLines="0" w:afterLines="0" w:line="240" w:lineRule="auto"/>
              <w:rPr>
                <w:rFonts w:hint="default"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c>
          <w:tcPr>
            <w:tcW w:w="1009" w:type="dxa"/>
            <w:tcBorders>
              <w:top w:val="single" w:color="auto" w:sz="4" w:space="0"/>
              <w:left w:val="single" w:color="auto" w:sz="4" w:space="0"/>
              <w:bottom w:val="single" w:color="auto" w:sz="4" w:space="0"/>
              <w:right w:val="single" w:color="auto" w:sz="8" w:space="0"/>
              <w:tl2br w:val="nil"/>
              <w:tr2bl w:val="nil"/>
            </w:tcBorders>
            <w:vAlign w:val="center"/>
          </w:tcPr>
          <w:p>
            <w:pPr>
              <w:pStyle w:val="36"/>
              <w:spacing w:beforeLines="0" w:afterLines="0" w:line="240" w:lineRule="auto"/>
              <w:rPr>
                <w:rFonts w:hint="eastAsia" w:ascii="Times New Roman" w:hAnsi="Times New Roman" w:cs="Times New Roman"/>
                <w:snapToGrid w:val="0"/>
                <w:color w:val="000000"/>
                <w:kern w:val="21"/>
                <w:sz w:val="21"/>
                <w:szCs w:val="21"/>
                <w:highlight w:val="none"/>
                <w:lang w:val="en-US" w:eastAsia="zh-CN"/>
              </w:rPr>
            </w:pPr>
            <w:r>
              <w:rPr>
                <w:rFonts w:hint="eastAsia" w:ascii="Times New Roman" w:hAnsi="Times New Roman" w:cs="Times New Roman"/>
                <w:snapToGrid w:val="0"/>
                <w:color w:val="000000"/>
                <w:kern w:val="21"/>
                <w:sz w:val="21"/>
                <w:szCs w:val="21"/>
                <w:highlight w:val="none"/>
                <w:lang w:val="en-US" w:eastAsia="zh-CN"/>
              </w:rPr>
              <w:t>0.1</w:t>
            </w:r>
            <w:r>
              <w:rPr>
                <w:rFonts w:hint="eastAsia" w:ascii="Times New Roman" w:cs="Times New Roman"/>
                <w:snapToGrid w:val="0"/>
                <w:color w:val="000000"/>
                <w:kern w:val="21"/>
                <w:sz w:val="21"/>
                <w:szCs w:val="21"/>
                <w:highlight w:val="none"/>
                <w:lang w:val="en-US" w:eastAsia="zh-CN"/>
              </w:rPr>
              <w:t>t/a</w:t>
            </w:r>
          </w:p>
        </w:tc>
      </w:tr>
    </w:tbl>
    <w:p>
      <w:pPr>
        <w:pStyle w:val="36"/>
        <w:spacing w:before="192" w:beforeLines="80" w:after="24"/>
        <w:jc w:val="left"/>
        <w:rPr>
          <w:rFonts w:hint="default" w:ascii="Times New Roman" w:hAnsi="Times New Roman" w:cs="Times New Roman"/>
          <w:snapToGrid w:val="0"/>
          <w:color w:val="000000"/>
          <w:spacing w:val="-6"/>
          <w:kern w:val="21"/>
          <w:sz w:val="21"/>
          <w:szCs w:val="24"/>
          <w:highlight w:val="none"/>
        </w:rPr>
      </w:pPr>
      <w:r>
        <w:rPr>
          <w:rFonts w:hint="default" w:ascii="Times New Roman" w:hAnsi="Times New Roman" w:cs="Times New Roman"/>
          <w:snapToGrid w:val="0"/>
          <w:color w:val="000000"/>
          <w:kern w:val="21"/>
          <w:sz w:val="21"/>
          <w:szCs w:val="24"/>
          <w:highlight w:val="none"/>
        </w:rPr>
        <w:t>注：</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6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⑥</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1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①</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3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③</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4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④</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5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⑤</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7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⑦</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6"/>
          <w:kern w:val="21"/>
          <w:sz w:val="21"/>
          <w:szCs w:val="24"/>
          <w:highlight w:val="none"/>
        </w:rPr>
        <w:t>=</w:t>
      </w:r>
      <w:r>
        <w:rPr>
          <w:rFonts w:hint="default" w:ascii="Times New Roman" w:hAnsi="Times New Roman" w:cs="Times New Roman"/>
          <w:snapToGrid w:val="0"/>
          <w:color w:val="000000"/>
          <w:spacing w:val="-16"/>
          <w:kern w:val="21"/>
          <w:sz w:val="21"/>
          <w:szCs w:val="24"/>
          <w:highlight w:val="none"/>
        </w:rPr>
        <w:fldChar w:fldCharType="begin"/>
      </w:r>
      <w:r>
        <w:rPr>
          <w:rFonts w:hint="default" w:ascii="Times New Roman" w:hAnsi="Times New Roman" w:cs="Times New Roman"/>
          <w:snapToGrid w:val="0"/>
          <w:color w:val="000000"/>
          <w:spacing w:val="-16"/>
          <w:kern w:val="21"/>
          <w:sz w:val="21"/>
          <w:szCs w:val="24"/>
          <w:highlight w:val="none"/>
        </w:rPr>
        <w:instrText xml:space="preserve"> = 6 \* GB3 \* MERGEFORMAT </w:instrText>
      </w:r>
      <w:r>
        <w:rPr>
          <w:rFonts w:hint="default" w:ascii="Times New Roman" w:hAnsi="Times New Roman" w:cs="Times New Roman"/>
          <w:snapToGrid w:val="0"/>
          <w:color w:val="000000"/>
          <w:spacing w:val="-16"/>
          <w:kern w:val="21"/>
          <w:sz w:val="21"/>
          <w:szCs w:val="24"/>
          <w:highlight w:val="none"/>
        </w:rPr>
        <w:fldChar w:fldCharType="separate"/>
      </w:r>
      <w:r>
        <w:rPr>
          <w:rFonts w:hint="default" w:ascii="Times New Roman" w:hAnsi="Times New Roman" w:cs="Times New Roman"/>
          <w:sz w:val="21"/>
          <w:szCs w:val="24"/>
          <w:highlight w:val="none"/>
        </w:rPr>
        <w:t>⑥</w:t>
      </w:r>
      <w:r>
        <w:rPr>
          <w:rFonts w:hint="default" w:ascii="Times New Roman" w:hAnsi="Times New Roman" w:cs="Times New Roman"/>
          <w:sz w:val="21"/>
          <w:szCs w:val="24"/>
          <w:highlight w:val="none"/>
        </w:rPr>
        <w:fldChar w:fldCharType="end"/>
      </w:r>
      <w:r>
        <w:rPr>
          <w:rFonts w:hint="default" w:ascii="Times New Roman" w:hAnsi="Times New Roman" w:cs="Times New Roman"/>
          <w:snapToGrid w:val="0"/>
          <w:color w:val="000000"/>
          <w:spacing w:val="-16"/>
          <w:kern w:val="21"/>
          <w:sz w:val="21"/>
          <w:szCs w:val="24"/>
          <w:highlight w:val="none"/>
        </w:rPr>
        <w:t>-</w:t>
      </w:r>
      <w:r>
        <w:rPr>
          <w:rFonts w:hint="default" w:ascii="Times New Roman" w:hAnsi="Times New Roman" w:cs="Times New Roman"/>
          <w:snapToGrid w:val="0"/>
          <w:color w:val="000000"/>
          <w:spacing w:val="-6"/>
          <w:kern w:val="21"/>
          <w:sz w:val="21"/>
          <w:szCs w:val="24"/>
          <w:highlight w:val="none"/>
        </w:rPr>
        <w:fldChar w:fldCharType="begin"/>
      </w:r>
      <w:r>
        <w:rPr>
          <w:rFonts w:hint="default" w:ascii="Times New Roman" w:hAnsi="Times New Roman" w:cs="Times New Roman"/>
          <w:snapToGrid w:val="0"/>
          <w:color w:val="000000"/>
          <w:spacing w:val="-6"/>
          <w:kern w:val="21"/>
          <w:sz w:val="21"/>
          <w:szCs w:val="24"/>
          <w:highlight w:val="none"/>
        </w:rPr>
        <w:instrText xml:space="preserve"> = 1 \* GB3 \* MERGEFORMAT </w:instrText>
      </w:r>
      <w:r>
        <w:rPr>
          <w:rFonts w:hint="default" w:ascii="Times New Roman" w:hAnsi="Times New Roman" w:cs="Times New Roman"/>
          <w:snapToGrid w:val="0"/>
          <w:color w:val="000000"/>
          <w:spacing w:val="-6"/>
          <w:kern w:val="21"/>
          <w:sz w:val="21"/>
          <w:szCs w:val="24"/>
          <w:highlight w:val="none"/>
        </w:rPr>
        <w:fldChar w:fldCharType="separate"/>
      </w:r>
      <w:r>
        <w:rPr>
          <w:rFonts w:hint="default" w:ascii="Times New Roman" w:hAnsi="Times New Roman" w:cs="Times New Roman"/>
          <w:sz w:val="21"/>
          <w:szCs w:val="24"/>
          <w:highlight w:val="none"/>
        </w:rPr>
        <w:t>①</w:t>
      </w:r>
      <w:r>
        <w:rPr>
          <w:rFonts w:hint="default" w:ascii="Times New Roman" w:hAnsi="Times New Roman" w:cs="Times New Roman"/>
          <w:sz w:val="21"/>
          <w:szCs w:val="24"/>
          <w:highlight w:val="none"/>
        </w:rPr>
        <w:fldChar w:fldCharType="end"/>
      </w:r>
    </w:p>
    <w:p>
      <w:pPr>
        <w:spacing w:beforeLines="0" w:afterLines="0"/>
        <w:rPr>
          <w:rFonts w:hint="default" w:ascii="Times New Roman" w:hAnsi="Times New Roman" w:cs="Times New Roman"/>
          <w:sz w:val="21"/>
          <w:szCs w:val="24"/>
          <w:highlight w:val="none"/>
        </w:rPr>
      </w:pPr>
    </w:p>
    <w:p>
      <w:pPr>
        <w:spacing w:beforeLines="0" w:afterLines="0"/>
        <w:rPr>
          <w:rFonts w:hint="default" w:ascii="Times New Roman" w:hAnsi="Times New Roman" w:cs="Times New Roman"/>
          <w:sz w:val="21"/>
          <w:szCs w:val="24"/>
          <w:highlight w:val="none"/>
        </w:rPr>
        <w:sectPr>
          <w:footerReference r:id="rId6" w:type="default"/>
          <w:pgSz w:w="16838" w:h="11906" w:orient="landscape"/>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pPr>
        <w:spacing w:line="360" w:lineRule="auto"/>
        <w:ind w:left="0" w:leftChars="0" w:right="0" w:rightChars="0" w:firstLine="0" w:firstLineChars="0"/>
        <w:jc w:val="left"/>
        <w:rPr>
          <w:rFonts w:hint="eastAsia"/>
          <w:b/>
          <w:bCs/>
          <w:sz w:val="28"/>
          <w:szCs w:val="28"/>
          <w:highlight w:val="none"/>
          <w:lang w:val="en-US" w:eastAsia="zh-CN"/>
        </w:rPr>
      </w:pPr>
      <w:r>
        <w:rPr>
          <w:rFonts w:hint="default" w:ascii="Times New Roman" w:hAnsi="Times New Roman" w:cs="Times New Roman"/>
          <w:b/>
          <w:bCs/>
          <w:color w:val="auto"/>
          <w:sz w:val="28"/>
          <w:szCs w:val="28"/>
          <w:highlight w:val="none"/>
        </w:rPr>
        <mc:AlternateContent>
          <mc:Choice Requires="wps">
            <w:drawing>
              <wp:anchor distT="0" distB="0" distL="114300" distR="114300" simplePos="0" relativeHeight="251660288" behindDoc="0" locked="0" layoutInCell="1" allowOverlap="1">
                <wp:simplePos x="0" y="0"/>
                <wp:positionH relativeFrom="column">
                  <wp:posOffset>5313680</wp:posOffset>
                </wp:positionH>
                <wp:positionV relativeFrom="paragraph">
                  <wp:posOffset>441325</wp:posOffset>
                </wp:positionV>
                <wp:extent cx="1043305" cy="284480"/>
                <wp:effectExtent l="88900" t="4445" r="10795" b="282575"/>
                <wp:wrapNone/>
                <wp:docPr id="2" name="矩形标注 2"/>
                <wp:cNvGraphicFramePr/>
                <a:graphic xmlns:a="http://schemas.openxmlformats.org/drawingml/2006/main">
                  <a:graphicData uri="http://schemas.microsoft.com/office/word/2010/wordprocessingShape">
                    <wps:wsp>
                      <wps:cNvSpPr/>
                      <wps:spPr>
                        <a:xfrm>
                          <a:off x="0" y="0"/>
                          <a:ext cx="1043305" cy="284480"/>
                        </a:xfrm>
                        <a:prstGeom prst="wedgeRectCallout">
                          <a:avLst>
                            <a:gd name="adj1" fmla="val -56390"/>
                            <a:gd name="adj2" fmla="val 139732"/>
                          </a:avLst>
                        </a:prstGeom>
                        <a:solidFill>
                          <a:srgbClr val="FFFF00"/>
                        </a:solidFill>
                        <a:ln w="9525" cap="flat" cmpd="sng">
                          <a:solidFill>
                            <a:srgbClr val="000000"/>
                          </a:solidFill>
                          <a:prstDash val="solid"/>
                          <a:miter/>
                          <a:headEnd type="none" w="med" len="med"/>
                          <a:tailEnd type="none" w="med" len="med"/>
                        </a:ln>
                      </wps:spPr>
                      <wps:txbx>
                        <w:txbxContent>
                          <w:p>
                            <w:pPr>
                              <w:rPr>
                                <w:rFonts w:hint="eastAsia" w:eastAsia="宋体"/>
                                <w:sz w:val="21"/>
                                <w:szCs w:val="21"/>
                                <w:lang w:eastAsia="zh-CN"/>
                              </w:rPr>
                            </w:pPr>
                            <w:r>
                              <w:rPr>
                                <w:rFonts w:hint="eastAsia"/>
                                <w:sz w:val="21"/>
                                <w:szCs w:val="21"/>
                                <w:lang w:eastAsia="zh-CN"/>
                              </w:rPr>
                              <w:t>项目所在位置</w:t>
                            </w:r>
                          </w:p>
                        </w:txbxContent>
                      </wps:txbx>
                      <wps:bodyPr upright="1"/>
                    </wps:wsp>
                  </a:graphicData>
                </a:graphic>
              </wp:anchor>
            </w:drawing>
          </mc:Choice>
          <mc:Fallback>
            <w:pict>
              <v:shape id="_x0000_s1026" o:spid="_x0000_s1026" o:spt="61" type="#_x0000_t61" style="position:absolute;left:0pt;margin-left:418.4pt;margin-top:34.75pt;height:22.4pt;width:82.15pt;z-index:251660288;mso-width-relative:page;mso-height-relative:page;" fillcolor="#FFFF00" filled="t" stroked="t" coordsize="21600,21600" o:gfxdata="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&#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1KxoB2gAAAAsBAAAPAAAAAAAAAAEAIAAAACIAAABk&#10;cnMvZG93bnJldi54bWxQSwECFAAUAAAACACHTuJAOGJ7jz0CAACOBAAADgAAAAAAAAABACAAAAAp&#10;AQAAZHJzL2Uyb0RvYy54bWxQSwUGAAAAAAYABgBZAQAA2AUAAAAA&#10;" adj="-1380,40982">
                <v:fill on="t" focussize="0,0"/>
                <v:stroke color="#000000" joinstyle="miter"/>
                <v:imagedata o:title=""/>
                <o:lock v:ext="edit" aspectratio="f"/>
                <v:textbox>
                  <w:txbxContent>
                    <w:p>
                      <w:pPr>
                        <w:rPr>
                          <w:rFonts w:hint="eastAsia" w:eastAsia="宋体"/>
                          <w:sz w:val="21"/>
                          <w:szCs w:val="21"/>
                          <w:lang w:eastAsia="zh-CN"/>
                        </w:rPr>
                      </w:pPr>
                      <w:r>
                        <w:rPr>
                          <w:rFonts w:hint="eastAsia"/>
                          <w:sz w:val="21"/>
                          <w:szCs w:val="21"/>
                          <w:lang w:eastAsia="zh-CN"/>
                        </w:rPr>
                        <w:t>项目所在位置</w:t>
                      </w:r>
                    </w:p>
                  </w:txbxContent>
                </v:textbox>
              </v:shape>
            </w:pict>
          </mc:Fallback>
        </mc:AlternateContent>
      </w:r>
      <w:r>
        <w:rPr>
          <w:rFonts w:hint="eastAsia"/>
          <w:b/>
          <w:bCs/>
          <w:sz w:val="28"/>
          <w:szCs w:val="28"/>
          <w:highlight w:val="none"/>
          <w:lang w:val="en-US" w:eastAsia="zh-CN"/>
        </w:rPr>
        <w:t>附图一  项目地理位置</w:t>
      </w:r>
    </w:p>
    <w:p>
      <w:pPr>
        <w:spacing w:line="360" w:lineRule="auto"/>
        <w:ind w:left="0" w:leftChars="0" w:right="0" w:rightChars="0" w:firstLine="0" w:firstLineChars="0"/>
        <w:jc w:val="center"/>
        <w:rPr>
          <w:rFonts w:hint="default" w:ascii="Times New Roman" w:hAnsi="Times New Roman" w:eastAsia="宋体" w:cs="Times New Roman"/>
          <w:color w:val="auto"/>
          <w:sz w:val="24"/>
          <w:highlight w:val="none"/>
          <w:lang w:eastAsia="zh-CN"/>
        </w:rPr>
      </w:pPr>
      <w:r>
        <w:rPr>
          <w:rFonts w:hint="default" w:ascii="Times New Roman" w:hAnsi="Times New Roman" w:cs="Times New Roman"/>
          <w:b/>
          <w:bCs/>
          <w:color w:val="auto"/>
          <w:sz w:val="28"/>
          <w:szCs w:val="28"/>
          <w:highlight w:val="none"/>
        </w:rPr>
        <w:drawing>
          <wp:anchor distT="0" distB="0" distL="114300" distR="114300" simplePos="0" relativeHeight="251661312" behindDoc="0" locked="0" layoutInCell="1" allowOverlap="1">
            <wp:simplePos x="0" y="0"/>
            <wp:positionH relativeFrom="margin">
              <wp:posOffset>6868795</wp:posOffset>
            </wp:positionH>
            <wp:positionV relativeFrom="margin">
              <wp:posOffset>414655</wp:posOffset>
            </wp:positionV>
            <wp:extent cx="795655" cy="805180"/>
            <wp:effectExtent l="0" t="0" r="4445" b="13970"/>
            <wp:wrapNone/>
            <wp:docPr id="1" name="图片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42"/>
                    <pic:cNvPicPr>
                      <a:picLocks noChangeAspect="1"/>
                    </pic:cNvPicPr>
                  </pic:nvPicPr>
                  <pic:blipFill>
                    <a:blip r:embed="rId15"/>
                    <a:stretch>
                      <a:fillRect/>
                    </a:stretch>
                  </pic:blipFill>
                  <pic:spPr>
                    <a:xfrm>
                      <a:off x="0" y="0"/>
                      <a:ext cx="795655" cy="805180"/>
                    </a:xfrm>
                    <a:prstGeom prst="rect">
                      <a:avLst/>
                    </a:prstGeom>
                    <a:noFill/>
                    <a:ln>
                      <a:noFill/>
                    </a:ln>
                  </pic:spPr>
                </pic:pic>
              </a:graphicData>
            </a:graphic>
          </wp:anchor>
        </w:drawing>
      </w:r>
      <w:r>
        <w:rPr>
          <w:rFonts w:hint="eastAsia"/>
          <w:b/>
          <w:bCs/>
          <w:sz w:val="28"/>
          <w:szCs w:val="28"/>
          <w:highlight w:val="none"/>
          <w:lang w:val="en-US" w:eastAsia="zh-CN"/>
        </w:rPr>
        <w:t>图.</w:t>
      </w:r>
      <w:r>
        <w:rPr>
          <w:highlight w:val="none"/>
        </w:rPr>
        <w:drawing>
          <wp:inline distT="0" distB="0" distL="114300" distR="114300">
            <wp:extent cx="6618605" cy="4278630"/>
            <wp:effectExtent l="0" t="0" r="10795" b="7620"/>
            <wp:docPr id="5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9"/>
                    <pic:cNvPicPr>
                      <a:picLocks noChangeAspect="1"/>
                    </pic:cNvPicPr>
                  </pic:nvPicPr>
                  <pic:blipFill>
                    <a:blip r:embed="rId16"/>
                    <a:stretch>
                      <a:fillRect/>
                    </a:stretch>
                  </pic:blipFill>
                  <pic:spPr>
                    <a:xfrm>
                      <a:off x="0" y="0"/>
                      <a:ext cx="6618605" cy="427863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cs="Times New Roman" w:eastAsiaTheme="minorEastAsia"/>
          <w:color w:val="auto"/>
          <w:sz w:val="24"/>
          <w:highlight w:val="none"/>
          <w:lang w:eastAsia="zh-CN"/>
        </w:rPr>
      </w:pPr>
      <w:r>
        <w:rPr>
          <w:rFonts w:hint="default" w:ascii="Times New Roman" w:hAnsi="Times New Roman" w:cs="Times New Roman"/>
          <w:b/>
          <w:bCs/>
          <w:color w:val="auto"/>
          <w:sz w:val="24"/>
          <w:highlight w:val="none"/>
          <w:lang w:eastAsia="zh-CN"/>
        </w:rPr>
        <w:t>附</w:t>
      </w:r>
      <w:r>
        <w:rPr>
          <w:rFonts w:hint="default" w:ascii="Times New Roman" w:hAnsi="Times New Roman" w:cs="Times New Roman"/>
          <w:b/>
          <w:bCs/>
          <w:color w:val="auto"/>
          <w:sz w:val="24"/>
          <w:highlight w:val="none"/>
        </w:rPr>
        <w:t>图1   项目</w:t>
      </w:r>
      <w:r>
        <w:rPr>
          <w:rFonts w:hint="default" w:ascii="Times New Roman" w:hAnsi="Times New Roman" w:cs="Times New Roman"/>
          <w:b/>
          <w:bCs/>
          <w:color w:val="auto"/>
          <w:sz w:val="24"/>
          <w:highlight w:val="none"/>
          <w:lang w:eastAsia="zh-CN"/>
        </w:rPr>
        <w:t>所在地理位置图</w:t>
      </w:r>
    </w:p>
    <w:p>
      <w:pPr>
        <w:spacing w:line="360" w:lineRule="auto"/>
        <w:ind w:left="0" w:leftChars="0" w:right="0" w:rightChars="0" w:firstLine="0" w:firstLineChars="0"/>
        <w:jc w:val="center"/>
        <w:rPr>
          <w:highlight w:val="none"/>
        </w:rPr>
      </w:pPr>
    </w:p>
    <w:p>
      <w:pPr>
        <w:spacing w:line="360" w:lineRule="auto"/>
        <w:ind w:left="0" w:leftChars="0" w:right="0" w:rightChars="0" w:firstLine="0" w:firstLineChars="0"/>
        <w:jc w:val="center"/>
        <w:rPr>
          <w:highlight w:val="none"/>
        </w:rPr>
      </w:pPr>
    </w:p>
    <w:p>
      <w:pPr>
        <w:pStyle w:val="26"/>
        <w:ind w:left="0" w:leftChars="0" w:right="0" w:rightChars="0" w:firstLine="0" w:firstLineChars="0"/>
        <w:jc w:val="left"/>
        <w:rPr>
          <w:rFonts w:hint="default" w:ascii="Times New Roman" w:hAnsi="Times New Roman" w:cs="Times New Roman"/>
          <w:highlight w:val="none"/>
        </w:rPr>
      </w:pPr>
      <w:r>
        <w:rPr>
          <w:rFonts w:hint="default" w:ascii="Times New Roman" w:hAnsi="Times New Roman" w:cs="Times New Roman"/>
          <w:b/>
          <w:bCs/>
          <w:color w:val="auto"/>
          <w:sz w:val="24"/>
          <w:highlight w:val="none"/>
          <w:lang w:eastAsia="zh-CN"/>
        </w:rPr>
        <w:t>附</w:t>
      </w:r>
      <w:r>
        <w:rPr>
          <w:rFonts w:hint="default" w:ascii="Times New Roman" w:hAnsi="Times New Roman" w:cs="Times New Roman"/>
          <w:b/>
          <w:bCs/>
          <w:color w:val="auto"/>
          <w:sz w:val="24"/>
          <w:highlight w:val="none"/>
        </w:rPr>
        <w:t>图</w:t>
      </w:r>
      <w:r>
        <w:rPr>
          <w:rFonts w:hint="default" w:ascii="Times New Roman" w:hAnsi="Times New Roman" w:cs="Times New Roman"/>
          <w:b/>
          <w:bCs/>
          <w:color w:val="auto"/>
          <w:sz w:val="24"/>
          <w:highlight w:val="none"/>
          <w:lang w:val="en-US" w:eastAsia="zh-CN"/>
        </w:rPr>
        <w:t>2</w:t>
      </w:r>
      <w:r>
        <w:rPr>
          <w:rFonts w:hint="default" w:ascii="Times New Roman" w:hAnsi="Times New Roman" w:cs="Times New Roman"/>
          <w:b/>
          <w:bCs/>
          <w:color w:val="auto"/>
          <w:sz w:val="24"/>
          <w:highlight w:val="none"/>
        </w:rPr>
        <w:t xml:space="preserve">   项目平面</w:t>
      </w:r>
      <w:r>
        <w:rPr>
          <w:rFonts w:hint="default" w:ascii="Times New Roman" w:hAnsi="Times New Roman" w:cs="Times New Roman"/>
          <w:b/>
          <w:bCs/>
          <w:color w:val="auto"/>
          <w:sz w:val="24"/>
          <w:highlight w:val="none"/>
          <w:lang w:eastAsia="zh-CN"/>
        </w:rPr>
        <w:t>布置图</w:t>
      </w:r>
    </w:p>
    <w:p>
      <w:pPr>
        <w:spacing w:line="360" w:lineRule="auto"/>
        <w:ind w:left="0" w:leftChars="0" w:right="0" w:rightChars="0" w:firstLine="0" w:firstLineChars="0"/>
        <w:jc w:val="left"/>
        <w:rPr>
          <w:highlight w:val="none"/>
        </w:rPr>
      </w:pPr>
    </w:p>
    <w:p>
      <w:pPr>
        <w:spacing w:line="360" w:lineRule="auto"/>
        <w:ind w:left="0" w:leftChars="0" w:right="0" w:rightChars="0" w:firstLine="0" w:firstLineChars="0"/>
        <w:jc w:val="center"/>
        <w:rPr>
          <w:rFonts w:hint="default" w:ascii="Times New Roman" w:hAnsi="Times New Roman" w:cs="Times New Roman"/>
          <w:b/>
          <w:bCs/>
          <w:color w:val="auto"/>
          <w:sz w:val="24"/>
          <w:highlight w:val="none"/>
        </w:rPr>
      </w:pPr>
      <w:r>
        <w:rPr>
          <w:sz w:val="24"/>
        </w:rPr>
        <mc:AlternateContent>
          <mc:Choice Requires="wps">
            <w:drawing>
              <wp:anchor distT="0" distB="0" distL="114300" distR="114300" simplePos="0" relativeHeight="251673600" behindDoc="0" locked="0" layoutInCell="1" allowOverlap="1">
                <wp:simplePos x="0" y="0"/>
                <wp:positionH relativeFrom="column">
                  <wp:posOffset>4164330</wp:posOffset>
                </wp:positionH>
                <wp:positionV relativeFrom="paragraph">
                  <wp:posOffset>1927225</wp:posOffset>
                </wp:positionV>
                <wp:extent cx="1571625" cy="1835785"/>
                <wp:effectExtent l="8890" t="9525" r="19685" b="21590"/>
                <wp:wrapNone/>
                <wp:docPr id="17" name="任意多边形 17"/>
                <wp:cNvGraphicFramePr/>
                <a:graphic xmlns:a="http://schemas.openxmlformats.org/drawingml/2006/main">
                  <a:graphicData uri="http://schemas.microsoft.com/office/word/2010/wordprocessingShape">
                    <wps:wsp>
                      <wps:cNvSpPr/>
                      <wps:spPr>
                        <a:xfrm>
                          <a:off x="5244465" y="2899410"/>
                          <a:ext cx="1571625" cy="1835785"/>
                        </a:xfrm>
                        <a:custGeom>
                          <a:avLst/>
                          <a:gdLst>
                            <a:gd name="connisteX0" fmla="*/ 0 w 1571625"/>
                            <a:gd name="connsiteY0" fmla="*/ 421640 h 1835785"/>
                            <a:gd name="connisteX1" fmla="*/ 1095375 w 1571625"/>
                            <a:gd name="connsiteY1" fmla="*/ 1835785 h 1835785"/>
                            <a:gd name="connisteX2" fmla="*/ 1571625 w 1571625"/>
                            <a:gd name="connsiteY2" fmla="*/ 1476375 h 1835785"/>
                            <a:gd name="connisteX3" fmla="*/ 490220 w 1571625"/>
                            <a:gd name="connsiteY3" fmla="*/ 0 h 1835785"/>
                            <a:gd name="connisteX4" fmla="*/ 0 w 1571625"/>
                            <a:gd name="connsiteY4" fmla="*/ 421640 h 1835785"/>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1571625" h="1835785">
                              <a:moveTo>
                                <a:pt x="0" y="421640"/>
                              </a:moveTo>
                              <a:lnTo>
                                <a:pt x="1095375" y="1835785"/>
                              </a:lnTo>
                              <a:lnTo>
                                <a:pt x="1571625" y="1476375"/>
                              </a:lnTo>
                              <a:lnTo>
                                <a:pt x="490220" y="0"/>
                              </a:lnTo>
                              <a:lnTo>
                                <a:pt x="0" y="421640"/>
                              </a:lnTo>
                              <a:close/>
                            </a:path>
                          </a:pathLst>
                        </a:custGeom>
                        <a:solidFill>
                          <a:srgbClr val="5B9BD5">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327.9pt;margin-top:151.75pt;height:144.55pt;width:123.75pt;z-index:251673600;mso-width-relative:page;mso-height-relative:page;" fillcolor="#5B9BD5" filled="t" stroked="t" coordsize="1571625,1835785" o:gfxdata="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" path="m0,421640l1095375,1835785,1571625,1476375,490220,0,0,421640xe">
                <v:path o:connectlocs="0,421640;1095375,1835785;1571625,1476375;490220,0;0,421640" o:connectangles="0,0,0,0,0"/>
                <v:fill on="t" opacity="32768f" focussize="0,0"/>
                <v:stroke weight="1pt" color="#41719C [3204]" miterlimit="8" joinstyle="miter"/>
                <v:imagedata o:title=""/>
                <o:lock v:ext="edit" aspectratio="f"/>
              </v:shape>
            </w:pict>
          </mc:Fallback>
        </mc:AlternateContent>
      </w:r>
      <w:r>
        <w:rPr>
          <w:rFonts w:hint="default" w:ascii="Times New Roman" w:hAnsi="Times New Roman" w:cs="Times New Roman"/>
          <w:color w:val="auto"/>
          <w:sz w:val="24"/>
          <w:highlight w:val="none"/>
        </w:rPr>
        <mc:AlternateContent>
          <mc:Choice Requires="wps">
            <w:drawing>
              <wp:anchor distT="0" distB="0" distL="114300" distR="114300" simplePos="0" relativeHeight="251674624" behindDoc="0" locked="0" layoutInCell="1" allowOverlap="1">
                <wp:simplePos x="0" y="0"/>
                <wp:positionH relativeFrom="column">
                  <wp:posOffset>5333365</wp:posOffset>
                </wp:positionH>
                <wp:positionV relativeFrom="paragraph">
                  <wp:posOffset>2452370</wp:posOffset>
                </wp:positionV>
                <wp:extent cx="894080" cy="284480"/>
                <wp:effectExtent l="426720" t="5080" r="12700" b="72390"/>
                <wp:wrapNone/>
                <wp:docPr id="18" name="矩形标注 18"/>
                <wp:cNvGraphicFramePr/>
                <a:graphic xmlns:a="http://schemas.openxmlformats.org/drawingml/2006/main">
                  <a:graphicData uri="http://schemas.microsoft.com/office/word/2010/wordprocessingShape">
                    <wps:wsp>
                      <wps:cNvSpPr/>
                      <wps:spPr>
                        <a:xfrm>
                          <a:off x="0" y="0"/>
                          <a:ext cx="894080" cy="284480"/>
                        </a:xfrm>
                        <a:prstGeom prst="wedgeRectCallout">
                          <a:avLst>
                            <a:gd name="adj1" fmla="val -93642"/>
                            <a:gd name="adj2" fmla="val 65178"/>
                          </a:avLst>
                        </a:prstGeom>
                        <a:solidFill>
                          <a:srgbClr val="FFFF00"/>
                        </a:solidFill>
                        <a:ln w="9525" cap="flat" cmpd="sng">
                          <a:solidFill>
                            <a:srgbClr val="000000"/>
                          </a:solidFill>
                          <a:prstDash val="solid"/>
                          <a:miter/>
                          <a:headEnd type="none" w="med" len="med"/>
                          <a:tailEnd type="none" w="med" len="med"/>
                        </a:ln>
                      </wps:spPr>
                      <wps:txbx>
                        <w:txbxContent>
                          <w:p>
                            <w:pPr>
                              <w:rPr>
                                <w:rFonts w:hint="eastAsia" w:eastAsia="宋体"/>
                                <w:sz w:val="21"/>
                                <w:szCs w:val="21"/>
                                <w:lang w:eastAsia="zh-CN"/>
                              </w:rPr>
                            </w:pPr>
                            <w:r>
                              <w:rPr>
                                <w:rFonts w:hint="eastAsia"/>
                                <w:sz w:val="21"/>
                                <w:szCs w:val="21"/>
                                <w:lang w:eastAsia="zh-CN"/>
                              </w:rPr>
                              <w:t>原料堆放区</w:t>
                            </w:r>
                          </w:p>
                        </w:txbxContent>
                      </wps:txbx>
                      <wps:bodyPr upright="1"/>
                    </wps:wsp>
                  </a:graphicData>
                </a:graphic>
              </wp:anchor>
            </w:drawing>
          </mc:Choice>
          <mc:Fallback>
            <w:pict>
              <v:shape id="_x0000_s1026" o:spid="_x0000_s1026" o:spt="61" type="#_x0000_t61" style="position:absolute;left:0pt;margin-left:419.95pt;margin-top:193.1pt;height:22.4pt;width:70.4pt;z-index:251674624;mso-width-relative:page;mso-height-relative:page;" fillcolor="#FFFF00" filled="t" stroked="t" coordsize="21600,21600" o:gfxdata="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1702WdsAAAALAQAADwAAAAAAAAABACAAAAAiAAAAZHJz&#10;L2Rvd25yZXYueG1sUEsBAhQAFAAAAAgAh07iQA5+KW06AgAAjgQAAA4AAAAAAAAAAQAgAAAAKgEA&#10;AGRycy9lMm9Eb2MueG1sUEsFBgAAAAAGAAYAWQEAANYFAAAAAA==&#10;" adj="-9427,24878">
                <v:fill on="t" focussize="0,0"/>
                <v:stroke color="#000000" joinstyle="miter"/>
                <v:imagedata o:title=""/>
                <o:lock v:ext="edit" aspectratio="f"/>
                <v:textbox>
                  <w:txbxContent>
                    <w:p>
                      <w:pPr>
                        <w:rPr>
                          <w:rFonts w:hint="eastAsia" w:eastAsia="宋体"/>
                          <w:sz w:val="21"/>
                          <w:szCs w:val="21"/>
                          <w:lang w:eastAsia="zh-CN"/>
                        </w:rPr>
                      </w:pPr>
                      <w:r>
                        <w:rPr>
                          <w:rFonts w:hint="eastAsia"/>
                          <w:sz w:val="21"/>
                          <w:szCs w:val="21"/>
                          <w:lang w:eastAsia="zh-CN"/>
                        </w:rPr>
                        <w:t>原料堆放区</w:t>
                      </w:r>
                    </w:p>
                  </w:txbxContent>
                </v:textbox>
              </v:shape>
            </w:pict>
          </mc:Fallback>
        </mc:AlternateContent>
      </w:r>
      <w:r>
        <w:rPr>
          <w:rFonts w:hint="default" w:ascii="Times New Roman" w:hAnsi="Times New Roman" w:cs="Times New Roman"/>
          <w:b/>
          <w:color w:val="auto"/>
          <w:sz w:val="28"/>
          <w:szCs w:val="28"/>
          <w:highlight w:val="none"/>
        </w:rPr>
        <w:drawing>
          <wp:anchor distT="0" distB="0" distL="114300" distR="114300" simplePos="0" relativeHeight="251672576" behindDoc="0" locked="0" layoutInCell="1" allowOverlap="1">
            <wp:simplePos x="0" y="0"/>
            <wp:positionH relativeFrom="margin">
              <wp:posOffset>7219950</wp:posOffset>
            </wp:positionH>
            <wp:positionV relativeFrom="margin">
              <wp:posOffset>-3175</wp:posOffset>
            </wp:positionV>
            <wp:extent cx="795655" cy="805180"/>
            <wp:effectExtent l="0" t="0" r="4445" b="13970"/>
            <wp:wrapNone/>
            <wp:docPr id="63" name="图片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042"/>
                    <pic:cNvPicPr>
                      <a:picLocks noChangeAspect="1"/>
                    </pic:cNvPicPr>
                  </pic:nvPicPr>
                  <pic:blipFill>
                    <a:blip r:embed="rId15"/>
                    <a:stretch>
                      <a:fillRect/>
                    </a:stretch>
                  </pic:blipFill>
                  <pic:spPr>
                    <a:xfrm>
                      <a:off x="0" y="0"/>
                      <a:ext cx="795655" cy="805180"/>
                    </a:xfrm>
                    <a:prstGeom prst="rect">
                      <a:avLst/>
                    </a:prstGeom>
                    <a:noFill/>
                    <a:ln>
                      <a:noFill/>
                    </a:ln>
                  </pic:spPr>
                </pic:pic>
              </a:graphicData>
            </a:graphic>
          </wp:anchor>
        </w:drawing>
      </w:r>
      <w:r>
        <w:rPr>
          <w:rFonts w:hint="default" w:ascii="Times New Roman" w:hAnsi="Times New Roman" w:cs="Times New Roman"/>
          <w:color w:val="auto"/>
          <w:sz w:val="24"/>
          <w:highlight w:val="none"/>
        </w:rPr>
        <mc:AlternateContent>
          <mc:Choice Requires="wps">
            <w:drawing>
              <wp:anchor distT="0" distB="0" distL="114300" distR="114300" simplePos="0" relativeHeight="251664384" behindDoc="0" locked="0" layoutInCell="1" allowOverlap="1">
                <wp:simplePos x="0" y="0"/>
                <wp:positionH relativeFrom="column">
                  <wp:posOffset>3752215</wp:posOffset>
                </wp:positionH>
                <wp:positionV relativeFrom="paragraph">
                  <wp:posOffset>335915</wp:posOffset>
                </wp:positionV>
                <wp:extent cx="549910" cy="284480"/>
                <wp:effectExtent l="615950" t="4445" r="15240" b="320675"/>
                <wp:wrapNone/>
                <wp:docPr id="10" name="矩形标注 10"/>
                <wp:cNvGraphicFramePr/>
                <a:graphic xmlns:a="http://schemas.openxmlformats.org/drawingml/2006/main">
                  <a:graphicData uri="http://schemas.microsoft.com/office/word/2010/wordprocessingShape">
                    <wps:wsp>
                      <wps:cNvSpPr/>
                      <wps:spPr>
                        <a:xfrm>
                          <a:off x="0" y="0"/>
                          <a:ext cx="549910" cy="284480"/>
                        </a:xfrm>
                        <a:prstGeom prst="wedgeRectCallout">
                          <a:avLst>
                            <a:gd name="adj1" fmla="val -155859"/>
                            <a:gd name="adj2" fmla="val 154241"/>
                          </a:avLst>
                        </a:prstGeom>
                        <a:solidFill>
                          <a:srgbClr val="FFFF00"/>
                        </a:solidFill>
                        <a:ln w="9525" cap="flat" cmpd="sng">
                          <a:solidFill>
                            <a:srgbClr val="000000"/>
                          </a:solidFill>
                          <a:prstDash val="solid"/>
                          <a:miter/>
                          <a:headEnd type="none" w="med" len="med"/>
                          <a:tailEnd type="none" w="med" len="med"/>
                        </a:ln>
                      </wps:spPr>
                      <wps:txbx>
                        <w:txbxContent>
                          <w:p>
                            <w:pPr>
                              <w:rPr>
                                <w:rFonts w:hint="eastAsia" w:eastAsia="宋体"/>
                                <w:sz w:val="21"/>
                                <w:szCs w:val="21"/>
                                <w:lang w:eastAsia="zh-CN"/>
                              </w:rPr>
                            </w:pPr>
                            <w:r>
                              <w:rPr>
                                <w:rFonts w:hint="eastAsia"/>
                                <w:sz w:val="21"/>
                                <w:szCs w:val="21"/>
                                <w:lang w:eastAsia="zh-CN"/>
                              </w:rPr>
                              <w:t>仓库</w:t>
                            </w:r>
                          </w:p>
                        </w:txbxContent>
                      </wps:txbx>
                      <wps:bodyPr upright="1"/>
                    </wps:wsp>
                  </a:graphicData>
                </a:graphic>
              </wp:anchor>
            </w:drawing>
          </mc:Choice>
          <mc:Fallback>
            <w:pict>
              <v:shape id="_x0000_s1026" o:spid="_x0000_s1026" o:spt="61" type="#_x0000_t61" style="position:absolute;left:0pt;margin-left:295.45pt;margin-top:26.45pt;height:22.4pt;width:43.3pt;z-index:251664384;mso-width-relative:page;mso-height-relative:page;" fillcolor="#FFFF00" filled="t" stroked="t" coordsize="21600,21600" o:gfxdata="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Fp6NBfZAAAACQEAAA8AAAAAAAAAAQAgAAAAIgAAAGRycy9k&#10;b3ducmV2LnhtbFBLAQIUABQAAAAIAIdO4kAS6My5OgIAAJAEAAAOAAAAAAAAAAEAIAAAACgBAABk&#10;cnMvZTJvRG9jLnhtbFBLBQYAAAAABgAGAFkBAADUBQAAAAA=&#10;" adj="-22866,44116">
                <v:fill on="t" focussize="0,0"/>
                <v:stroke color="#000000" joinstyle="miter"/>
                <v:imagedata o:title=""/>
                <o:lock v:ext="edit" aspectratio="f"/>
                <v:textbox>
                  <w:txbxContent>
                    <w:p>
                      <w:pPr>
                        <w:rPr>
                          <w:rFonts w:hint="eastAsia" w:eastAsia="宋体"/>
                          <w:sz w:val="21"/>
                          <w:szCs w:val="21"/>
                          <w:lang w:eastAsia="zh-CN"/>
                        </w:rPr>
                      </w:pPr>
                      <w:r>
                        <w:rPr>
                          <w:rFonts w:hint="eastAsia"/>
                          <w:sz w:val="21"/>
                          <w:szCs w:val="21"/>
                          <w:lang w:eastAsia="zh-CN"/>
                        </w:rPr>
                        <w:t>仓库</w:t>
                      </w:r>
                    </w:p>
                  </w:txbxContent>
                </v:textbox>
              </v:shape>
            </w:pict>
          </mc:Fallback>
        </mc:AlternateContent>
      </w:r>
      <w:r>
        <w:rPr>
          <w:sz w:val="24"/>
          <w:highlight w:val="none"/>
        </w:rPr>
        <mc:AlternateContent>
          <mc:Choice Requires="wps">
            <w:drawing>
              <wp:anchor distT="0" distB="0" distL="114300" distR="114300" simplePos="0" relativeHeight="251671552" behindDoc="0" locked="0" layoutInCell="1" allowOverlap="1">
                <wp:simplePos x="0" y="0"/>
                <wp:positionH relativeFrom="column">
                  <wp:posOffset>4671695</wp:posOffset>
                </wp:positionH>
                <wp:positionV relativeFrom="paragraph">
                  <wp:posOffset>3590290</wp:posOffset>
                </wp:positionV>
                <wp:extent cx="1362075" cy="1152525"/>
                <wp:effectExtent l="8890" t="5080" r="19685" b="23495"/>
                <wp:wrapNone/>
                <wp:docPr id="62" name="任意多边形 62"/>
                <wp:cNvGraphicFramePr/>
                <a:graphic xmlns:a="http://schemas.openxmlformats.org/drawingml/2006/main">
                  <a:graphicData uri="http://schemas.microsoft.com/office/word/2010/wordprocessingShape">
                    <wps:wsp>
                      <wps:cNvSpPr/>
                      <wps:spPr>
                        <a:xfrm>
                          <a:off x="5751830" y="4562475"/>
                          <a:ext cx="1362075" cy="1152525"/>
                        </a:xfrm>
                        <a:custGeom>
                          <a:avLst/>
                          <a:gdLst>
                            <a:gd name="connisteX0" fmla="*/ 1133475 w 1362075"/>
                            <a:gd name="connsiteY0" fmla="*/ 0 h 1152525"/>
                            <a:gd name="connisteX1" fmla="*/ 0 w 1362075"/>
                            <a:gd name="connsiteY1" fmla="*/ 847725 h 1152525"/>
                            <a:gd name="connisteX2" fmla="*/ 228600 w 1362075"/>
                            <a:gd name="connsiteY2" fmla="*/ 1152525 h 1152525"/>
                            <a:gd name="connisteX3" fmla="*/ 1362075 w 1362075"/>
                            <a:gd name="connsiteY3" fmla="*/ 209550 h 1152525"/>
                            <a:gd name="connisteX4" fmla="*/ 1171575 w 1362075"/>
                            <a:gd name="connsiteY4" fmla="*/ 0 h 1152525"/>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1362075" h="1152525">
                              <a:moveTo>
                                <a:pt x="1133475" y="0"/>
                              </a:moveTo>
                              <a:lnTo>
                                <a:pt x="0" y="847725"/>
                              </a:lnTo>
                              <a:lnTo>
                                <a:pt x="228600" y="1152525"/>
                              </a:lnTo>
                              <a:lnTo>
                                <a:pt x="1362075" y="209550"/>
                              </a:lnTo>
                              <a:lnTo>
                                <a:pt x="1171575" y="0"/>
                              </a:lnTo>
                            </a:path>
                          </a:pathLst>
                        </a:custGeom>
                        <a:solidFill>
                          <a:srgbClr val="92D05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367.85pt;margin-top:282.7pt;height:90.75pt;width:107.25pt;z-index:251671552;mso-width-relative:page;mso-height-relative:page;" fillcolor="#92D050" filled="t" stroked="t" coordsize="1362075,1152525" o:gfxdata="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" path="m1133475,0l0,847725,228600,1152525,1362075,209550,1171575,0e">
                <v:path o:connectlocs="1133475,0;0,847725;228600,1152525;1362075,209550;1171575,0" o:connectangles="0,0,0,0,0"/>
                <v:fill on="t" opacity="32768f" focussize="0,0"/>
                <v:stroke weight="1pt" color="#41719C [3204]" miterlimit="8" joinstyle="miter"/>
                <v:imagedata o:title=""/>
                <o:lock v:ext="edit" aspectratio="f"/>
              </v:shape>
            </w:pict>
          </mc:Fallback>
        </mc:AlternateContent>
      </w:r>
      <w:r>
        <w:rPr>
          <w:rFonts w:hint="default" w:ascii="Times New Roman" w:hAnsi="Times New Roman" w:cs="Times New Roman"/>
          <w:color w:val="auto"/>
          <w:sz w:val="24"/>
          <w:highlight w:val="none"/>
        </w:rPr>
        <mc:AlternateContent>
          <mc:Choice Requires="wps">
            <w:drawing>
              <wp:anchor distT="0" distB="0" distL="114300" distR="114300" simplePos="0" relativeHeight="251666432" behindDoc="0" locked="0" layoutInCell="1" allowOverlap="1">
                <wp:simplePos x="0" y="0"/>
                <wp:positionH relativeFrom="column">
                  <wp:posOffset>6176645</wp:posOffset>
                </wp:positionH>
                <wp:positionV relativeFrom="paragraph">
                  <wp:posOffset>3067050</wp:posOffset>
                </wp:positionV>
                <wp:extent cx="615315" cy="284480"/>
                <wp:effectExtent l="557530" t="5080" r="8255" b="605790"/>
                <wp:wrapNone/>
                <wp:docPr id="15" name="矩形标注 15"/>
                <wp:cNvGraphicFramePr/>
                <a:graphic xmlns:a="http://schemas.openxmlformats.org/drawingml/2006/main">
                  <a:graphicData uri="http://schemas.microsoft.com/office/word/2010/wordprocessingShape">
                    <wps:wsp>
                      <wps:cNvSpPr/>
                      <wps:spPr>
                        <a:xfrm>
                          <a:off x="0" y="0"/>
                          <a:ext cx="615315" cy="284480"/>
                        </a:xfrm>
                        <a:prstGeom prst="wedgeRectCallout">
                          <a:avLst>
                            <a:gd name="adj1" fmla="val -135552"/>
                            <a:gd name="adj2" fmla="val 249330"/>
                          </a:avLst>
                        </a:prstGeom>
                        <a:solidFill>
                          <a:srgbClr val="FFFF00"/>
                        </a:solidFill>
                        <a:ln w="9525" cap="flat" cmpd="sng">
                          <a:solidFill>
                            <a:srgbClr val="000000"/>
                          </a:solidFill>
                          <a:prstDash val="solid"/>
                          <a:miter/>
                          <a:headEnd type="none" w="med" len="med"/>
                          <a:tailEnd type="none" w="med" len="med"/>
                        </a:ln>
                      </wps:spPr>
                      <wps:txbx>
                        <w:txbxContent>
                          <w:p>
                            <w:pPr>
                              <w:rPr>
                                <w:rFonts w:hint="eastAsia" w:eastAsia="宋体"/>
                                <w:sz w:val="21"/>
                                <w:szCs w:val="21"/>
                                <w:lang w:eastAsia="zh-CN"/>
                              </w:rPr>
                            </w:pPr>
                            <w:r>
                              <w:rPr>
                                <w:rFonts w:hint="eastAsia"/>
                                <w:sz w:val="21"/>
                                <w:szCs w:val="21"/>
                                <w:lang w:eastAsia="zh-CN"/>
                              </w:rPr>
                              <w:t>办公区</w:t>
                            </w:r>
                          </w:p>
                        </w:txbxContent>
                      </wps:txbx>
                      <wps:bodyPr upright="1"/>
                    </wps:wsp>
                  </a:graphicData>
                </a:graphic>
              </wp:anchor>
            </w:drawing>
          </mc:Choice>
          <mc:Fallback>
            <w:pict>
              <v:shape id="_x0000_s1026" o:spid="_x0000_s1026" o:spt="61" type="#_x0000_t61" style="position:absolute;left:0pt;margin-left:486.35pt;margin-top:241.5pt;height:22.4pt;width:48.45pt;z-index:251666432;mso-width-relative:page;mso-height-relative:page;" fillcolor="#FFFF00" filled="t" stroked="t" coordsize="21600,21600" o:gfxdata="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H2oUB/bAAAADAEAAA8AAAAAAAAAAQAgAAAAIgAAAGRy&#10;cy9kb3ducmV2LnhtbFBLAQIUABQAAAAIAIdO4kAqfCmTOwIAAJAEAAAOAAAAAAAAAAEAIAAAACoB&#10;AABkcnMvZTJvRG9jLnhtbFBLBQYAAAAABgAGAFkBAADXBQAAAAA=&#10;" adj="-18479,64655">
                <v:fill on="t" focussize="0,0"/>
                <v:stroke color="#000000" joinstyle="miter"/>
                <v:imagedata o:title=""/>
                <o:lock v:ext="edit" aspectratio="f"/>
                <v:textbox>
                  <w:txbxContent>
                    <w:p>
                      <w:pPr>
                        <w:rPr>
                          <w:rFonts w:hint="eastAsia" w:eastAsia="宋体"/>
                          <w:sz w:val="21"/>
                          <w:szCs w:val="21"/>
                          <w:lang w:eastAsia="zh-CN"/>
                        </w:rPr>
                      </w:pPr>
                      <w:r>
                        <w:rPr>
                          <w:rFonts w:hint="eastAsia"/>
                          <w:sz w:val="21"/>
                          <w:szCs w:val="21"/>
                          <w:lang w:eastAsia="zh-CN"/>
                        </w:rPr>
                        <w:t>办公区</w:t>
                      </w:r>
                    </w:p>
                  </w:txbxContent>
                </v:textbox>
              </v:shape>
            </w:pict>
          </mc:Fallback>
        </mc:AlternateContent>
      </w:r>
      <w:r>
        <w:rPr>
          <w:rFonts w:hint="default" w:ascii="Times New Roman" w:hAnsi="Times New Roman" w:cs="Times New Roman"/>
          <w:color w:val="auto"/>
          <w:sz w:val="24"/>
          <w:highlight w:val="none"/>
        </w:rPr>
        <mc:AlternateContent>
          <mc:Choice Requires="wps">
            <w:drawing>
              <wp:anchor distT="0" distB="0" distL="114300" distR="114300" simplePos="0" relativeHeight="251665408" behindDoc="0" locked="0" layoutInCell="1" allowOverlap="1">
                <wp:simplePos x="0" y="0"/>
                <wp:positionH relativeFrom="column">
                  <wp:posOffset>4858385</wp:posOffset>
                </wp:positionH>
                <wp:positionV relativeFrom="paragraph">
                  <wp:posOffset>1663700</wp:posOffset>
                </wp:positionV>
                <wp:extent cx="739140" cy="284480"/>
                <wp:effectExtent l="1517015" t="5080" r="10795" b="300990"/>
                <wp:wrapNone/>
                <wp:docPr id="14" name="矩形标注 14"/>
                <wp:cNvGraphicFramePr/>
                <a:graphic xmlns:a="http://schemas.openxmlformats.org/drawingml/2006/main">
                  <a:graphicData uri="http://schemas.microsoft.com/office/word/2010/wordprocessingShape">
                    <wps:wsp>
                      <wps:cNvSpPr/>
                      <wps:spPr>
                        <a:xfrm>
                          <a:off x="0" y="0"/>
                          <a:ext cx="739140" cy="284480"/>
                        </a:xfrm>
                        <a:prstGeom prst="wedgeRectCallout">
                          <a:avLst>
                            <a:gd name="adj1" fmla="val -250103"/>
                            <a:gd name="adj2" fmla="val 148883"/>
                          </a:avLst>
                        </a:prstGeom>
                        <a:solidFill>
                          <a:srgbClr val="FFFF00"/>
                        </a:solidFill>
                        <a:ln w="9525" cap="flat" cmpd="sng">
                          <a:solidFill>
                            <a:srgbClr val="000000"/>
                          </a:solidFill>
                          <a:prstDash val="solid"/>
                          <a:miter/>
                          <a:headEnd type="none" w="med" len="med"/>
                          <a:tailEnd type="none" w="med" len="med"/>
                        </a:ln>
                      </wps:spPr>
                      <wps:txbx>
                        <w:txbxContent>
                          <w:p>
                            <w:pPr>
                              <w:rPr>
                                <w:rFonts w:hint="eastAsia" w:eastAsia="宋体"/>
                                <w:sz w:val="21"/>
                                <w:szCs w:val="21"/>
                                <w:lang w:eastAsia="zh-CN"/>
                              </w:rPr>
                            </w:pPr>
                            <w:r>
                              <w:rPr>
                                <w:rFonts w:hint="eastAsia"/>
                                <w:sz w:val="21"/>
                                <w:szCs w:val="21"/>
                                <w:lang w:eastAsia="zh-CN"/>
                              </w:rPr>
                              <w:t>加工车间</w:t>
                            </w:r>
                          </w:p>
                        </w:txbxContent>
                      </wps:txbx>
                      <wps:bodyPr upright="1"/>
                    </wps:wsp>
                  </a:graphicData>
                </a:graphic>
              </wp:anchor>
            </w:drawing>
          </mc:Choice>
          <mc:Fallback>
            <w:pict>
              <v:shape id="_x0000_s1026" o:spid="_x0000_s1026" o:spt="61" type="#_x0000_t61" style="position:absolute;left:0pt;margin-left:382.55pt;margin-top:131pt;height:22.4pt;width:58.2pt;z-index:251665408;mso-width-relative:page;mso-height-relative:page;" fillcolor="#FFFF00" filled="t" stroked="t" coordsize="21600,21600" o:gfxdata="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6XjRMtwAAAALAQAADwAAAAAAAAABACAAAAAiAAAA&#10;ZHJzL2Rvd25yZXYueG1sUEsBAhQAFAAAAAgAh07iQFhEja88AgAAkAQAAA4AAAAAAAAAAQAgAAAA&#10;KwEAAGRycy9lMm9Eb2MueG1sUEsFBgAAAAAGAAYAWQEAANkFAAAAAA==&#10;" adj="-43222,42959">
                <v:fill on="t" focussize="0,0"/>
                <v:stroke color="#000000" joinstyle="miter"/>
                <v:imagedata o:title=""/>
                <o:lock v:ext="edit" aspectratio="f"/>
                <v:textbox>
                  <w:txbxContent>
                    <w:p>
                      <w:pPr>
                        <w:rPr>
                          <w:rFonts w:hint="eastAsia" w:eastAsia="宋体"/>
                          <w:sz w:val="21"/>
                          <w:szCs w:val="21"/>
                          <w:lang w:eastAsia="zh-CN"/>
                        </w:rPr>
                      </w:pPr>
                      <w:r>
                        <w:rPr>
                          <w:rFonts w:hint="eastAsia"/>
                          <w:sz w:val="21"/>
                          <w:szCs w:val="21"/>
                          <w:lang w:eastAsia="zh-CN"/>
                        </w:rPr>
                        <w:t>加工车间</w:t>
                      </w:r>
                    </w:p>
                  </w:txbxContent>
                </v:textbox>
              </v:shape>
            </w:pict>
          </mc:Fallback>
        </mc:AlternateContent>
      </w:r>
      <w:r>
        <w:rPr>
          <w:sz w:val="24"/>
          <w:highlight w:val="none"/>
        </w:rPr>
        <mc:AlternateContent>
          <mc:Choice Requires="wps">
            <w:drawing>
              <wp:anchor distT="0" distB="0" distL="114300" distR="114300" simplePos="0" relativeHeight="251670528" behindDoc="0" locked="0" layoutInCell="1" allowOverlap="1">
                <wp:simplePos x="0" y="0"/>
                <wp:positionH relativeFrom="column">
                  <wp:posOffset>2833370</wp:posOffset>
                </wp:positionH>
                <wp:positionV relativeFrom="paragraph">
                  <wp:posOffset>1647190</wp:posOffset>
                </wp:positionV>
                <wp:extent cx="1571625" cy="2381250"/>
                <wp:effectExtent l="8890" t="8890" r="19685" b="10160"/>
                <wp:wrapNone/>
                <wp:docPr id="61" name="任意多边形 61"/>
                <wp:cNvGraphicFramePr/>
                <a:graphic xmlns:a="http://schemas.openxmlformats.org/drawingml/2006/main">
                  <a:graphicData uri="http://schemas.microsoft.com/office/word/2010/wordprocessingShape">
                    <wps:wsp>
                      <wps:cNvSpPr/>
                      <wps:spPr>
                        <a:xfrm>
                          <a:off x="3913505" y="2619375"/>
                          <a:ext cx="1571625" cy="2381250"/>
                        </a:xfrm>
                        <a:custGeom>
                          <a:avLst/>
                          <a:gdLst>
                            <a:gd name="connisteX0" fmla="*/ 0 w 1571625"/>
                            <a:gd name="connsiteY0" fmla="*/ 771525 h 2381250"/>
                            <a:gd name="connisteX1" fmla="*/ 1104900 w 1571625"/>
                            <a:gd name="connsiteY1" fmla="*/ 2381250 h 2381250"/>
                            <a:gd name="connisteX2" fmla="*/ 1571625 w 1571625"/>
                            <a:gd name="connsiteY2" fmla="*/ 2019300 h 2381250"/>
                            <a:gd name="connisteX3" fmla="*/ 762000 w 1571625"/>
                            <a:gd name="connsiteY3" fmla="*/ 971550 h 2381250"/>
                            <a:gd name="connisteX4" fmla="*/ 1362075 w 1571625"/>
                            <a:gd name="connsiteY4" fmla="*/ 495300 h 2381250"/>
                            <a:gd name="connisteX5" fmla="*/ 1019175 w 1571625"/>
                            <a:gd name="connsiteY5" fmla="*/ 0 h 2381250"/>
                            <a:gd name="connisteX6" fmla="*/ 0 w 1571625"/>
                            <a:gd name="connsiteY6" fmla="*/ 771525 h 2381250"/>
                          </a:gdLst>
                          <a:ahLst/>
                          <a:cxnLst>
                            <a:cxn ang="0">
                              <a:pos x="connisteX0" y="connsiteY0"/>
                            </a:cxn>
                            <a:cxn ang="0">
                              <a:pos x="connisteX1" y="connsiteY1"/>
                            </a:cxn>
                            <a:cxn ang="0">
                              <a:pos x="connisteX2" y="connsiteY2"/>
                            </a:cxn>
                            <a:cxn ang="0">
                              <a:pos x="connisteX3" y="connsiteY3"/>
                            </a:cxn>
                            <a:cxn ang="0">
                              <a:pos x="connisteX4" y="connsiteY4"/>
                            </a:cxn>
                            <a:cxn ang="0">
                              <a:pos x="connisteX5" y="connsiteY5"/>
                            </a:cxn>
                            <a:cxn ang="0">
                              <a:pos x="connisteX6" y="connsiteY6"/>
                            </a:cxn>
                          </a:cxnLst>
                          <a:rect l="l" t="t" r="r" b="b"/>
                          <a:pathLst>
                            <a:path w="1571625" h="2381250">
                              <a:moveTo>
                                <a:pt x="0" y="771525"/>
                              </a:moveTo>
                              <a:lnTo>
                                <a:pt x="1104900" y="2381250"/>
                              </a:lnTo>
                              <a:lnTo>
                                <a:pt x="1571625" y="2019300"/>
                              </a:lnTo>
                              <a:lnTo>
                                <a:pt x="762000" y="971550"/>
                              </a:lnTo>
                              <a:lnTo>
                                <a:pt x="1362075" y="495300"/>
                              </a:lnTo>
                              <a:lnTo>
                                <a:pt x="1019175" y="0"/>
                              </a:lnTo>
                              <a:lnTo>
                                <a:pt x="0" y="771525"/>
                              </a:lnTo>
                              <a:close/>
                            </a:path>
                          </a:pathLst>
                        </a:custGeom>
                        <a:solidFill>
                          <a:srgbClr val="834FE1">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223.1pt;margin-top:129.7pt;height:187.5pt;width:123.75pt;z-index:251670528;mso-width-relative:page;mso-height-relative:page;" fillcolor="#834FE1" filled="t" stroked="t" coordsize="1571625,2381250" o:gfxdata="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" path="m0,771525l1104900,2381250,1571625,2019300,762000,971550,1362075,495300,1019175,0,0,771525xe">
                <v:path o:connectlocs="0,771525;1104900,2381250;1571625,2019300;762000,971550;1362075,495300;1019175,0;0,771525" o:connectangles="0,0,0,0,0,0,0"/>
                <v:fill on="t" opacity="32768f" focussize="0,0"/>
                <v:stroke weight="1pt" color="#41719C [3204]" miterlimit="8" joinstyle="miter"/>
                <v:imagedata o:title=""/>
                <o:lock v:ext="edit" aspectratio="f"/>
              </v:shape>
            </w:pict>
          </mc:Fallback>
        </mc:AlternateContent>
      </w:r>
      <w:r>
        <w:rPr>
          <w:sz w:val="24"/>
          <w:highlight w:val="none"/>
        </w:rPr>
        <mc:AlternateContent>
          <mc:Choice Requires="wps">
            <w:drawing>
              <wp:anchor distT="0" distB="0" distL="114300" distR="114300" simplePos="0" relativeHeight="251669504" behindDoc="0" locked="0" layoutInCell="1" allowOverlap="1">
                <wp:simplePos x="0" y="0"/>
                <wp:positionH relativeFrom="column">
                  <wp:posOffset>1918970</wp:posOffset>
                </wp:positionH>
                <wp:positionV relativeFrom="paragraph">
                  <wp:posOffset>485140</wp:posOffset>
                </wp:positionV>
                <wp:extent cx="1409700" cy="1971675"/>
                <wp:effectExtent l="8890" t="8890" r="10160" b="19685"/>
                <wp:wrapNone/>
                <wp:docPr id="60" name="任意多边形 60"/>
                <wp:cNvGraphicFramePr/>
                <a:graphic xmlns:a="http://schemas.openxmlformats.org/drawingml/2006/main">
                  <a:graphicData uri="http://schemas.microsoft.com/office/word/2010/wordprocessingShape">
                    <wps:wsp>
                      <wps:cNvSpPr/>
                      <wps:spPr>
                        <a:xfrm>
                          <a:off x="2999105" y="1457325"/>
                          <a:ext cx="1409700" cy="1971675"/>
                        </a:xfrm>
                        <a:custGeom>
                          <a:avLst/>
                          <a:gdLst>
                            <a:gd name="connisteX0" fmla="*/ 1076325 w 1409700"/>
                            <a:gd name="connsiteY0" fmla="*/ 0 h 1971675"/>
                            <a:gd name="connisteX1" fmla="*/ 1409700 w 1409700"/>
                            <a:gd name="connsiteY1" fmla="*/ 476250 h 1971675"/>
                            <a:gd name="connisteX2" fmla="*/ 742950 w 1409700"/>
                            <a:gd name="connsiteY2" fmla="*/ 990600 h 1971675"/>
                            <a:gd name="connisteX3" fmla="*/ 1247775 w 1409700"/>
                            <a:gd name="connsiteY3" fmla="*/ 1676400 h 1971675"/>
                            <a:gd name="connisteX4" fmla="*/ 885825 w 1409700"/>
                            <a:gd name="connsiteY4" fmla="*/ 1971675 h 1971675"/>
                            <a:gd name="connisteX5" fmla="*/ 0 w 1409700"/>
                            <a:gd name="connsiteY5" fmla="*/ 847725 h 1971675"/>
                            <a:gd name="connisteX6" fmla="*/ 1076325 w 1409700"/>
                            <a:gd name="connsiteY6" fmla="*/ 0 h 1971675"/>
                          </a:gdLst>
                          <a:ahLst/>
                          <a:cxnLst>
                            <a:cxn ang="0">
                              <a:pos x="connisteX0" y="connsiteY0"/>
                            </a:cxn>
                            <a:cxn ang="0">
                              <a:pos x="connisteX1" y="connsiteY1"/>
                            </a:cxn>
                            <a:cxn ang="0">
                              <a:pos x="connisteX2" y="connsiteY2"/>
                            </a:cxn>
                            <a:cxn ang="0">
                              <a:pos x="connisteX3" y="connsiteY3"/>
                            </a:cxn>
                            <a:cxn ang="0">
                              <a:pos x="connisteX4" y="connsiteY4"/>
                            </a:cxn>
                            <a:cxn ang="0">
                              <a:pos x="connisteX5" y="connsiteY5"/>
                            </a:cxn>
                            <a:cxn ang="0">
                              <a:pos x="connisteX6" y="connsiteY6"/>
                            </a:cxn>
                          </a:cxnLst>
                          <a:rect l="l" t="t" r="r" b="b"/>
                          <a:pathLst>
                            <a:path w="1409700" h="1971675">
                              <a:moveTo>
                                <a:pt x="1076325" y="0"/>
                              </a:moveTo>
                              <a:lnTo>
                                <a:pt x="1409700" y="476250"/>
                              </a:lnTo>
                              <a:lnTo>
                                <a:pt x="742950" y="990600"/>
                              </a:lnTo>
                              <a:lnTo>
                                <a:pt x="1247775" y="1676400"/>
                              </a:lnTo>
                              <a:lnTo>
                                <a:pt x="885825" y="1971675"/>
                              </a:lnTo>
                              <a:lnTo>
                                <a:pt x="0" y="847725"/>
                              </a:lnTo>
                              <a:lnTo>
                                <a:pt x="1076325" y="0"/>
                              </a:lnTo>
                              <a:close/>
                            </a:path>
                          </a:pathLst>
                        </a:custGeom>
                        <a:solidFill>
                          <a:srgbClr val="FFFF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151.1pt;margin-top:38.2pt;height:155.25pt;width:111pt;z-index:251669504;mso-width-relative:page;mso-height-relative:page;" fillcolor="#FFFF00" filled="t" stroked="t" coordsize="1409700,1971675" o:gfxdata="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" path="m1076325,0l1409700,476250,742950,990600,1247775,1676400,885825,1971675,0,847725,1076325,0xe">
                <v:path o:connectlocs="1076325,0;1409700,476250;742950,990600;1247775,1676400;885825,1971675;0,847725;1076325,0" o:connectangles="0,0,0,0,0,0,0"/>
                <v:fill on="t" opacity="32768f" focussize="0,0"/>
                <v:stroke weight="1pt" color="#41719C [3204]" miterlimit="8" joinstyle="miter"/>
                <v:imagedata o:title=""/>
                <o:lock v:ext="edit" aspectratio="f"/>
              </v:shape>
            </w:pict>
          </mc:Fallback>
        </mc:AlternateContent>
      </w:r>
      <w:r>
        <w:rPr>
          <w:sz w:val="24"/>
          <w:highlight w:val="none"/>
        </w:rPr>
        <mc:AlternateContent>
          <mc:Choice Requires="wps">
            <w:drawing>
              <wp:anchor distT="0" distB="0" distL="114300" distR="114300" simplePos="0" relativeHeight="251668480" behindDoc="0" locked="0" layoutInCell="1" allowOverlap="1">
                <wp:simplePos x="0" y="0"/>
                <wp:positionH relativeFrom="column">
                  <wp:posOffset>1880870</wp:posOffset>
                </wp:positionH>
                <wp:positionV relativeFrom="paragraph">
                  <wp:posOffset>132715</wp:posOffset>
                </wp:positionV>
                <wp:extent cx="4191000" cy="4960620"/>
                <wp:effectExtent l="8890" t="8890" r="10160" b="21590"/>
                <wp:wrapNone/>
                <wp:docPr id="59" name="任意多边形 59"/>
                <wp:cNvGraphicFramePr/>
                <a:graphic xmlns:a="http://schemas.openxmlformats.org/drawingml/2006/main">
                  <a:graphicData uri="http://schemas.microsoft.com/office/word/2010/wordprocessingShape">
                    <wps:wsp>
                      <wps:cNvSpPr/>
                      <wps:spPr>
                        <a:xfrm>
                          <a:off x="2989580" y="1123950"/>
                          <a:ext cx="4191000" cy="4960620"/>
                        </a:xfrm>
                        <a:custGeom>
                          <a:avLst/>
                          <a:gdLst>
                            <a:gd name="connisteX0" fmla="*/ 1485900 w 4191000"/>
                            <a:gd name="connsiteY0" fmla="*/ 0 h 4960620"/>
                            <a:gd name="connisteX1" fmla="*/ 0 w 4191000"/>
                            <a:gd name="connsiteY1" fmla="*/ 1219200 h 4960620"/>
                            <a:gd name="connisteX2" fmla="*/ 2724150 w 4191000"/>
                            <a:gd name="connsiteY2" fmla="*/ 4960620 h 4960620"/>
                            <a:gd name="connisteX3" fmla="*/ 4191000 w 4191000"/>
                            <a:gd name="connsiteY3" fmla="*/ 3722370 h 4960620"/>
                            <a:gd name="connisteX4" fmla="*/ 1485900 w 4191000"/>
                            <a:gd name="connsiteY4" fmla="*/ 0 h 4960620"/>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4191000" h="4960620">
                              <a:moveTo>
                                <a:pt x="1485900" y="0"/>
                              </a:moveTo>
                              <a:lnTo>
                                <a:pt x="0" y="1219200"/>
                              </a:lnTo>
                              <a:lnTo>
                                <a:pt x="2724150" y="4960620"/>
                              </a:lnTo>
                              <a:lnTo>
                                <a:pt x="4191000" y="3722370"/>
                              </a:lnTo>
                              <a:lnTo>
                                <a:pt x="1485900" y="0"/>
                              </a:lnTo>
                              <a:close/>
                            </a:path>
                          </a:pathLst>
                        </a:custGeom>
                        <a:solidFill>
                          <a:srgbClr val="FFC0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148.1pt;margin-top:10.45pt;height:390.6pt;width:330pt;z-index:251668480;mso-width-relative:page;mso-height-relative:page;" fillcolor="#FFC000" filled="t" stroked="t" coordsize="4191000,4960620" o:gfxdata="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EM7d09UAAAAKAQAA&#10;DwAAAAAAAAABACAAAAAiAAAAZHJzL2Rvd25yZXYueG1sUEsBAhQAFAAAAAgAh07iQJr8jaw5AwAA&#10;1QgAAA4AAAAAAAAAAQAgAAAAJAEAAGRycy9lMm9Eb2MueG1sUEsFBgAAAAAGAAYAWQEAAM8GAAAA&#10;AA==&#10;" path="m1485900,0l0,1219200,2724150,4960620,4191000,3722370,1485900,0xe">
                <v:path o:connectlocs="1485900,0;0,1219200;2724150,4960620;4191000,3722370;1485900,0" o:connectangles="0,0,0,0,0"/>
                <v:fill on="t" opacity="32768f" focussize="0,0"/>
                <v:stroke weight="1pt" color="#41719C [3204]" miterlimit="8" joinstyle="miter"/>
                <v:imagedata o:title=""/>
                <o:lock v:ext="edit" aspectratio="f"/>
              </v:shape>
            </w:pict>
          </mc:Fallback>
        </mc:AlternateContent>
      </w:r>
      <w:r>
        <w:rPr>
          <w:sz w:val="24"/>
          <w:highlight w:val="none"/>
        </w:rPr>
        <mc:AlternateContent>
          <mc:Choice Requires="wps">
            <w:drawing>
              <wp:anchor distT="0" distB="0" distL="114300" distR="114300" simplePos="0" relativeHeight="251663360" behindDoc="0" locked="0" layoutInCell="1" allowOverlap="1">
                <wp:simplePos x="0" y="0"/>
                <wp:positionH relativeFrom="column">
                  <wp:posOffset>6114415</wp:posOffset>
                </wp:positionH>
                <wp:positionV relativeFrom="paragraph">
                  <wp:posOffset>825500</wp:posOffset>
                </wp:positionV>
                <wp:extent cx="197485" cy="177800"/>
                <wp:effectExtent l="6350" t="6350" r="24765" b="6350"/>
                <wp:wrapNone/>
                <wp:docPr id="9" name="矩形 9"/>
                <wp:cNvGraphicFramePr/>
                <a:graphic xmlns:a="http://schemas.openxmlformats.org/drawingml/2006/main">
                  <a:graphicData uri="http://schemas.microsoft.com/office/word/2010/wordprocessingShape">
                    <wps:wsp>
                      <wps:cNvSpPr/>
                      <wps:spPr>
                        <a:xfrm>
                          <a:off x="7194550" y="1797685"/>
                          <a:ext cx="197485" cy="17780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81.45pt;margin-top:65pt;height:14pt;width:15.55pt;z-index:251663360;v-text-anchor:middle;mso-width-relative:page;mso-height-relative:page;" fillcolor="#ED7D31 [3205]" filled="t" stroked="t" coordsize="21600,21600" o:gfxdata="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">
                <v:fill on="t" focussize="0,0"/>
                <v:stroke weight="1pt" color="#AE5A21 [3205]" miterlimit="8" joinstyle="miter"/>
                <v:imagedata o:title=""/>
                <o:lock v:ext="edit" aspectratio="f"/>
              </v:rect>
            </w:pict>
          </mc:Fallback>
        </mc:AlternateContent>
      </w:r>
      <w:r>
        <w:rPr>
          <w:highlight w:val="none"/>
        </w:rPr>
        <w:drawing>
          <wp:inline distT="0" distB="0" distL="114300" distR="114300">
            <wp:extent cx="5547995" cy="4953000"/>
            <wp:effectExtent l="0" t="0" r="14605" b="0"/>
            <wp:docPr id="5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1"/>
                    <pic:cNvPicPr>
                      <a:picLocks noChangeAspect="1"/>
                    </pic:cNvPicPr>
                  </pic:nvPicPr>
                  <pic:blipFill>
                    <a:blip r:embed="rId17"/>
                    <a:stretch>
                      <a:fillRect/>
                    </a:stretch>
                  </pic:blipFill>
                  <pic:spPr>
                    <a:xfrm>
                      <a:off x="0" y="0"/>
                      <a:ext cx="5547995" cy="4953000"/>
                    </a:xfrm>
                    <a:prstGeom prst="rect">
                      <a:avLst/>
                    </a:prstGeom>
                    <a:noFill/>
                    <a:ln>
                      <a:noFill/>
                    </a:ln>
                  </pic:spPr>
                </pic:pic>
              </a:graphicData>
            </a:graphic>
          </wp:inline>
        </w:drawing>
      </w:r>
    </w:p>
    <w:p>
      <w:pPr>
        <w:spacing w:beforeLines="0" w:afterLines="0"/>
        <w:ind w:left="0" w:leftChars="0" w:right="0" w:rightChars="0" w:firstLine="0" w:firstLineChars="0"/>
        <w:jc w:val="left"/>
        <w:rPr>
          <w:rFonts w:hint="default" w:ascii="Times New Roman" w:hAnsi="Times New Roman" w:eastAsia="宋体" w:cs="Times New Roman"/>
          <w:sz w:val="21"/>
          <w:szCs w:val="24"/>
          <w:highlight w:val="none"/>
        </w:rPr>
      </w:pPr>
      <w:r>
        <w:rPr>
          <w:rFonts w:hint="default" w:ascii="Times New Roman" w:hAnsi="Times New Roman" w:cs="Times New Roman"/>
          <w:b/>
          <w:color w:val="auto"/>
          <w:sz w:val="28"/>
          <w:szCs w:val="28"/>
          <w:highlight w:val="none"/>
        </w:rPr>
        <w:drawing>
          <wp:anchor distT="0" distB="0" distL="114300" distR="114300" simplePos="0" relativeHeight="251662336" behindDoc="0" locked="0" layoutInCell="1" allowOverlap="1">
            <wp:simplePos x="0" y="0"/>
            <wp:positionH relativeFrom="margin">
              <wp:posOffset>7673975</wp:posOffset>
            </wp:positionH>
            <wp:positionV relativeFrom="margin">
              <wp:posOffset>255270</wp:posOffset>
            </wp:positionV>
            <wp:extent cx="795655" cy="805180"/>
            <wp:effectExtent l="0" t="0" r="4445" b="13970"/>
            <wp:wrapNone/>
            <wp:docPr id="16" name="图片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042"/>
                    <pic:cNvPicPr>
                      <a:picLocks noChangeAspect="1"/>
                    </pic:cNvPicPr>
                  </pic:nvPicPr>
                  <pic:blipFill>
                    <a:blip r:embed="rId15"/>
                    <a:stretch>
                      <a:fillRect/>
                    </a:stretch>
                  </pic:blipFill>
                  <pic:spPr>
                    <a:xfrm>
                      <a:off x="0" y="0"/>
                      <a:ext cx="795655" cy="805180"/>
                    </a:xfrm>
                    <a:prstGeom prst="rect">
                      <a:avLst/>
                    </a:prstGeom>
                    <a:noFill/>
                    <a:ln>
                      <a:noFill/>
                    </a:ln>
                  </pic:spPr>
                </pic:pic>
              </a:graphicData>
            </a:graphic>
          </wp:anchor>
        </w:drawing>
      </w:r>
      <w:r>
        <w:rPr>
          <w:sz w:val="24"/>
        </w:rPr>
        <mc:AlternateContent>
          <mc:Choice Requires="wps">
            <w:drawing>
              <wp:anchor distT="0" distB="0" distL="114300" distR="114300" simplePos="0" relativeHeight="251675648" behindDoc="0" locked="0" layoutInCell="1" allowOverlap="1">
                <wp:simplePos x="0" y="0"/>
                <wp:positionH relativeFrom="column">
                  <wp:posOffset>3648075</wp:posOffset>
                </wp:positionH>
                <wp:positionV relativeFrom="paragraph">
                  <wp:posOffset>621665</wp:posOffset>
                </wp:positionV>
                <wp:extent cx="2571750" cy="3057525"/>
                <wp:effectExtent l="8890" t="9525" r="10160" b="19050"/>
                <wp:wrapNone/>
                <wp:docPr id="12" name="任意多边形 12"/>
                <wp:cNvGraphicFramePr/>
                <a:graphic xmlns:a="http://schemas.openxmlformats.org/drawingml/2006/main">
                  <a:graphicData uri="http://schemas.microsoft.com/office/word/2010/wordprocessingShape">
                    <wps:wsp>
                      <wps:cNvSpPr/>
                      <wps:spPr>
                        <a:xfrm>
                          <a:off x="4589145" y="1498600"/>
                          <a:ext cx="2571750" cy="3057525"/>
                        </a:xfrm>
                        <a:custGeom>
                          <a:avLst/>
                          <a:gdLst>
                            <a:gd name="connisteX0" fmla="*/ 0 w 2571750"/>
                            <a:gd name="connsiteY0" fmla="*/ 742950 h 3057525"/>
                            <a:gd name="connisteX1" fmla="*/ 1647825 w 2571750"/>
                            <a:gd name="connsiteY1" fmla="*/ 3057525 h 3057525"/>
                            <a:gd name="connisteX2" fmla="*/ 2571750 w 2571750"/>
                            <a:gd name="connsiteY2" fmla="*/ 2305050 h 3057525"/>
                            <a:gd name="connisteX3" fmla="*/ 885825 w 2571750"/>
                            <a:gd name="connsiteY3" fmla="*/ 0 h 3057525"/>
                            <a:gd name="connisteX4" fmla="*/ 0 w 2571750"/>
                            <a:gd name="connsiteY4" fmla="*/ 742950 h 3057525"/>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2571750" h="3057525">
                              <a:moveTo>
                                <a:pt x="0" y="742950"/>
                              </a:moveTo>
                              <a:lnTo>
                                <a:pt x="1647825" y="3057525"/>
                              </a:lnTo>
                              <a:lnTo>
                                <a:pt x="2571750" y="2305050"/>
                              </a:lnTo>
                              <a:lnTo>
                                <a:pt x="885825" y="0"/>
                              </a:lnTo>
                              <a:lnTo>
                                <a:pt x="0" y="742950"/>
                              </a:lnTo>
                              <a:close/>
                            </a:path>
                          </a:pathLst>
                        </a:custGeom>
                        <a:solidFill>
                          <a:srgbClr val="4B4FE5">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287.25pt;margin-top:48.95pt;height:240.75pt;width:202.5pt;z-index:251675648;mso-width-relative:page;mso-height-relative:page;" fillcolor="#4B4FE5" filled="t" stroked="t" coordsize="2571750,3057525" o:gfxdata="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F2m/gjZ&#10;AAAACgEAAA8AAAAAAAAAAQAgAAAAIgAAAGRycy9kb3ducmV2LnhtbFBLAQIUABQAAAAIAIdO4kDk&#10;D+4OPAMAAM8IAAAOAAAAAAAAAAEAIAAAACgBAABkcnMvZTJvRG9jLnhtbFBLBQYAAAAABgAGAFkB&#10;AADWBgAAAAA=&#10;" path="m0,742950l1647825,3057525,2571750,2305050,885825,0,0,742950xe">
                <v:path o:connectlocs="0,742950;1647825,3057525;2571750,2305050;885825,0;0,742950" o:connectangles="0,0,0,0,0"/>
                <v:fill on="t" opacity="32768f" focussize="0,0"/>
                <v:stroke weight="1pt" color="#41719C [3204]" miterlimit="8" joinstyle="miter"/>
                <v:imagedata o:title=""/>
                <o:lock v:ext="edit" aspectratio="f"/>
              </v:shape>
            </w:pict>
          </mc:Fallback>
        </mc:AlternateContent>
      </w:r>
      <w:r>
        <w:rPr>
          <w:sz w:val="24"/>
        </w:rPr>
        <mc:AlternateContent>
          <mc:Choice Requires="wps">
            <w:drawing>
              <wp:anchor distT="0" distB="0" distL="114300" distR="114300" simplePos="0" relativeHeight="251676672" behindDoc="0" locked="0" layoutInCell="1" allowOverlap="1">
                <wp:simplePos x="0" y="0"/>
                <wp:positionH relativeFrom="column">
                  <wp:posOffset>2602865</wp:posOffset>
                </wp:positionH>
                <wp:positionV relativeFrom="paragraph">
                  <wp:posOffset>1357630</wp:posOffset>
                </wp:positionV>
                <wp:extent cx="2600325" cy="2943225"/>
                <wp:effectExtent l="8890" t="8890" r="19685" b="19685"/>
                <wp:wrapNone/>
                <wp:docPr id="13" name="任意多边形 13"/>
                <wp:cNvGraphicFramePr/>
                <a:graphic xmlns:a="http://schemas.openxmlformats.org/drawingml/2006/main">
                  <a:graphicData uri="http://schemas.microsoft.com/office/word/2010/wordprocessingShape">
                    <wps:wsp>
                      <wps:cNvSpPr/>
                      <wps:spPr>
                        <a:xfrm>
                          <a:off x="3617595" y="2212975"/>
                          <a:ext cx="2600325" cy="2943225"/>
                        </a:xfrm>
                        <a:custGeom>
                          <a:avLst/>
                          <a:gdLst>
                            <a:gd name="connisteX0" fmla="*/ 962025 w 2600325"/>
                            <a:gd name="connsiteY0" fmla="*/ 0 h 2943225"/>
                            <a:gd name="connisteX1" fmla="*/ 0 w 2600325"/>
                            <a:gd name="connsiteY1" fmla="*/ 723900 h 2943225"/>
                            <a:gd name="connisteX2" fmla="*/ 1657350 w 2600325"/>
                            <a:gd name="connsiteY2" fmla="*/ 2943225 h 2943225"/>
                            <a:gd name="connisteX3" fmla="*/ 2600325 w 2600325"/>
                            <a:gd name="connsiteY3" fmla="*/ 2343150 h 2943225"/>
                            <a:gd name="connisteX4" fmla="*/ 962025 w 2600325"/>
                            <a:gd name="connsiteY4" fmla="*/ 0 h 2943225"/>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2600325" h="2943225">
                              <a:moveTo>
                                <a:pt x="962025" y="0"/>
                              </a:moveTo>
                              <a:lnTo>
                                <a:pt x="0" y="723900"/>
                              </a:lnTo>
                              <a:lnTo>
                                <a:pt x="1657350" y="2943225"/>
                              </a:lnTo>
                              <a:lnTo>
                                <a:pt x="2600325" y="2343150"/>
                              </a:lnTo>
                              <a:lnTo>
                                <a:pt x="962025" y="0"/>
                              </a:lnTo>
                              <a:close/>
                            </a:path>
                          </a:pathLst>
                        </a:custGeom>
                        <a:solidFill>
                          <a:srgbClr val="FFFF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204.95pt;margin-top:106.9pt;height:231.75pt;width:204.75pt;z-index:251676672;mso-width-relative:page;mso-height-relative:page;" fillcolor="#FFFF00" filled="t" stroked="t" coordsize="2600325,2943225" o:gfxdata="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JAY&#10;qezZAAAACwEAAA8AAAAAAAAAAQAgAAAAIgAAAGRycy9kb3ducmV2LnhtbFBLAQIUABQAAAAIAIdO&#10;4kCAxRcYPwMAAM8IAAAOAAAAAAAAAAEAIAAAACgBAABkcnMvZTJvRG9jLnhtbFBLBQYAAAAABgAG&#10;AFkBAADZBgAAAAA=&#10;" path="m962025,0l0,723900,1657350,2943225,2600325,2343150,962025,0xe">
                <v:path o:connectlocs="962025,0;0,723900;1657350,2943225;2600325,2343150;962025,0" o:connectangles="0,0,0,0,0"/>
                <v:fill on="t" opacity="32768f" focussize="0,0"/>
                <v:stroke weight="1pt" color="#41719C [3204]" miterlimit="8" joinstyle="miter"/>
                <v:imagedata o:title=""/>
                <o:lock v:ext="edit" aspectratio="f"/>
              </v:shape>
            </w:pict>
          </mc:Fallback>
        </mc:AlternateContent>
      </w:r>
      <w:r>
        <w:rPr>
          <w:sz w:val="24"/>
        </w:rPr>
        <mc:AlternateContent>
          <mc:Choice Requires="wps">
            <w:drawing>
              <wp:anchor distT="0" distB="0" distL="114300" distR="114300" simplePos="0" relativeHeight="251678720" behindDoc="0" locked="0" layoutInCell="1" allowOverlap="1">
                <wp:simplePos x="0" y="0"/>
                <wp:positionH relativeFrom="column">
                  <wp:posOffset>4970780</wp:posOffset>
                </wp:positionH>
                <wp:positionV relativeFrom="paragraph">
                  <wp:posOffset>207645</wp:posOffset>
                </wp:positionV>
                <wp:extent cx="2533650" cy="2273300"/>
                <wp:effectExtent l="12065" t="6350" r="26035" b="25400"/>
                <wp:wrapNone/>
                <wp:docPr id="23" name="任意多边形 23"/>
                <wp:cNvGraphicFramePr/>
                <a:graphic xmlns:a="http://schemas.openxmlformats.org/drawingml/2006/main">
                  <a:graphicData uri="http://schemas.microsoft.com/office/word/2010/wordprocessingShape">
                    <wps:wsp>
                      <wps:cNvSpPr/>
                      <wps:spPr>
                        <a:xfrm>
                          <a:off x="5904230" y="1003935"/>
                          <a:ext cx="2533650" cy="2273300"/>
                        </a:xfrm>
                        <a:custGeom>
                          <a:avLst/>
                          <a:gdLst>
                            <a:gd name="connisteX0" fmla="*/ 0 w 2533650"/>
                            <a:gd name="connsiteY0" fmla="*/ 6350 h 2273300"/>
                            <a:gd name="connisteX1" fmla="*/ 1631950 w 2533650"/>
                            <a:gd name="connsiteY1" fmla="*/ 2273300 h 2273300"/>
                            <a:gd name="connisteX2" fmla="*/ 2533650 w 2533650"/>
                            <a:gd name="connsiteY2" fmla="*/ 1670050 h 2273300"/>
                            <a:gd name="connisteX3" fmla="*/ 1282700 w 2533650"/>
                            <a:gd name="connsiteY3" fmla="*/ 0 h 2273300"/>
                            <a:gd name="connisteX4" fmla="*/ 0 w 2533650"/>
                            <a:gd name="connsiteY4" fmla="*/ 6350 h 2273300"/>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2533650" h="2273300">
                              <a:moveTo>
                                <a:pt x="0" y="6350"/>
                              </a:moveTo>
                              <a:lnTo>
                                <a:pt x="1631950" y="2273300"/>
                              </a:lnTo>
                              <a:lnTo>
                                <a:pt x="2533650" y="1670050"/>
                              </a:lnTo>
                              <a:lnTo>
                                <a:pt x="1282700" y="0"/>
                              </a:lnTo>
                              <a:lnTo>
                                <a:pt x="0" y="6350"/>
                              </a:lnTo>
                              <a:close/>
                            </a:path>
                          </a:pathLst>
                        </a:custGeom>
                        <a:solidFill>
                          <a:srgbClr val="FFFF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391.4pt;margin-top:16.35pt;height:179pt;width:199.5pt;z-index:251678720;mso-width-relative:page;mso-height-relative:page;" fillcolor="#FFFF00" filled="t" stroked="t" coordsize="2533650,2273300" o:gfxdata="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I0qep/Z&#10;AAAACwEAAA8AAAAAAAAAAQAgAAAAIgAAAGRycy9kb3ducmV2LnhtbFBLAQIUABQAAAAIAIdO4kDw&#10;Mt6iPAMAAMkIAAAOAAAAAAAAAAEAIAAAACgBAABkcnMvZTJvRG9jLnhtbFBLBQYAAAAABgAGAFkB&#10;AADWBgAAAAA=&#10;" path="m0,6350l1631950,2273300,2533650,1670050,1282700,0,0,6350xe">
                <v:path o:connectlocs="0,6350;1631950,2273300;2533650,1670050;1282700,0;0,6350" o:connectangles="0,0,0,0,0"/>
                <v:fill on="t" opacity="32768f" focussize="0,0"/>
                <v:stroke weight="1pt" color="#41719C [3204]" miterlimit="8" joinstyle="miter"/>
                <v:imagedata o:title=""/>
                <o:lock v:ext="edit" aspectratio="f"/>
              </v:shape>
            </w:pict>
          </mc:Fallback>
        </mc:AlternateContent>
      </w:r>
      <w:r>
        <w:rPr>
          <w:sz w:val="24"/>
        </w:rPr>
        <mc:AlternateContent>
          <mc:Choice Requires="wps">
            <w:drawing>
              <wp:anchor distT="0" distB="0" distL="114300" distR="114300" simplePos="0" relativeHeight="251677696" behindDoc="0" locked="0" layoutInCell="1" allowOverlap="1">
                <wp:simplePos x="0" y="0"/>
                <wp:positionH relativeFrom="column">
                  <wp:posOffset>2617470</wp:posOffset>
                </wp:positionH>
                <wp:positionV relativeFrom="paragraph">
                  <wp:posOffset>229870</wp:posOffset>
                </wp:positionV>
                <wp:extent cx="1835150" cy="1238250"/>
                <wp:effectExtent l="12700" t="6350" r="19050" b="12700"/>
                <wp:wrapNone/>
                <wp:docPr id="20" name="任意多边形 20"/>
                <wp:cNvGraphicFramePr/>
                <a:graphic xmlns:a="http://schemas.openxmlformats.org/drawingml/2006/main">
                  <a:graphicData uri="http://schemas.microsoft.com/office/word/2010/wordprocessingShape">
                    <wps:wsp>
                      <wps:cNvSpPr/>
                      <wps:spPr>
                        <a:xfrm>
                          <a:off x="3624580" y="1003935"/>
                          <a:ext cx="1835150" cy="1238250"/>
                        </a:xfrm>
                        <a:custGeom>
                          <a:avLst/>
                          <a:gdLst>
                            <a:gd name="connisteX0" fmla="*/ 0 w 1835150"/>
                            <a:gd name="connsiteY0" fmla="*/ 25400 h 1238250"/>
                            <a:gd name="connisteX1" fmla="*/ 914400 w 1835150"/>
                            <a:gd name="connsiteY1" fmla="*/ 1238250 h 1238250"/>
                            <a:gd name="connisteX2" fmla="*/ 1835150 w 1835150"/>
                            <a:gd name="connsiteY2" fmla="*/ 501650 h 1238250"/>
                            <a:gd name="connisteX3" fmla="*/ 1441450 w 1835150"/>
                            <a:gd name="connsiteY3" fmla="*/ 0 h 1238250"/>
                            <a:gd name="connisteX4" fmla="*/ 0 w 1835150"/>
                            <a:gd name="connsiteY4" fmla="*/ 25400 h 1238250"/>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1835150" h="1238250">
                              <a:moveTo>
                                <a:pt x="0" y="25400"/>
                              </a:moveTo>
                              <a:lnTo>
                                <a:pt x="914400" y="1238250"/>
                              </a:lnTo>
                              <a:lnTo>
                                <a:pt x="1835150" y="501650"/>
                              </a:lnTo>
                              <a:lnTo>
                                <a:pt x="1441450" y="0"/>
                              </a:lnTo>
                              <a:lnTo>
                                <a:pt x="0" y="25400"/>
                              </a:lnTo>
                              <a:close/>
                            </a:path>
                          </a:pathLst>
                        </a:custGeom>
                        <a:solidFill>
                          <a:srgbClr val="FFFF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206.1pt;margin-top:18.1pt;height:97.5pt;width:144.5pt;z-index:251677696;mso-width-relative:page;mso-height-relative:page;" fillcolor="#FFFF00" filled="t" stroked="t" coordsize="1835150,1238250" o:gfxdata="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CP1+UY2QAAAAoB&#10;AAAPAAAAAAAAAAEAIAAAACIAAABkcnMvZG93bnJldi54bWxQSwECFAAUAAAACACHTuJA+FusNDcD&#10;AADJCAAADgAAAAAAAAABACAAAAAoAQAAZHJzL2Uyb0RvYy54bWxQSwUGAAAAAAYABgBZAQAA0QYA&#10;AAAA&#10;" path="m0,25400l914400,1238250,1835150,501650,1441450,0,0,25400xe">
                <v:path o:connectlocs="0,25400;914400,1238250;1835150,501650;1441450,0;0,25400" o:connectangles="0,0,0,0,0"/>
                <v:fill on="t" opacity="32768f" focussize="0,0"/>
                <v:stroke weight="1pt" color="#41719C [3204]" miterlimit="8" joinstyle="miter"/>
                <v:imagedata o:title=""/>
                <o:lock v:ext="edit" aspectratio="f"/>
              </v:shape>
            </w:pict>
          </mc:Fallback>
        </mc:AlternateContent>
      </w:r>
      <w:r>
        <w:rPr>
          <w:rFonts w:hint="default" w:ascii="Times New Roman" w:hAnsi="Times New Roman" w:cs="Times New Roman"/>
          <w:b/>
          <w:bCs/>
          <w:color w:val="auto"/>
          <w:sz w:val="24"/>
          <w:highlight w:val="none"/>
          <w:lang w:eastAsia="zh-CN"/>
        </w:rPr>
        <w:t>附</w:t>
      </w:r>
      <w:r>
        <w:rPr>
          <w:rFonts w:hint="default" w:ascii="Times New Roman" w:hAnsi="Times New Roman" w:cs="Times New Roman"/>
          <w:b/>
          <w:bCs/>
          <w:color w:val="auto"/>
          <w:sz w:val="24"/>
          <w:highlight w:val="none"/>
        </w:rPr>
        <w:t>图</w:t>
      </w:r>
      <w:r>
        <w:rPr>
          <w:rFonts w:hint="eastAsia" w:ascii="Times New Roman" w:hAnsi="Times New Roman" w:cs="Times New Roman"/>
          <w:b/>
          <w:bCs/>
          <w:color w:val="auto"/>
          <w:sz w:val="24"/>
          <w:highlight w:val="none"/>
          <w:lang w:val="en-US" w:eastAsia="zh-CN"/>
        </w:rPr>
        <w:t>3</w:t>
      </w:r>
      <w:r>
        <w:rPr>
          <w:rFonts w:hint="default" w:ascii="Times New Roman" w:hAnsi="Times New Roman" w:cs="Times New Roman"/>
          <w:b/>
          <w:bCs/>
          <w:color w:val="auto"/>
          <w:sz w:val="24"/>
          <w:highlight w:val="none"/>
        </w:rPr>
        <w:t xml:space="preserve">   项目</w:t>
      </w:r>
      <w:r>
        <w:rPr>
          <w:rFonts w:hint="eastAsia" w:ascii="Times New Roman" w:hAnsi="Times New Roman" w:cs="Times New Roman"/>
          <w:b/>
          <w:bCs/>
          <w:color w:val="auto"/>
          <w:sz w:val="24"/>
          <w:highlight w:val="none"/>
          <w:lang w:eastAsia="zh-CN"/>
        </w:rPr>
        <w:t>周边关系图</w:t>
      </w:r>
      <w:r>
        <w:rPr>
          <w:sz w:val="24"/>
        </w:rPr>
        <mc:AlternateContent>
          <mc:Choice Requires="wps">
            <w:drawing>
              <wp:anchor distT="0" distB="0" distL="114300" distR="114300" simplePos="0" relativeHeight="251684864" behindDoc="0" locked="0" layoutInCell="1" allowOverlap="1">
                <wp:simplePos x="0" y="0"/>
                <wp:positionH relativeFrom="column">
                  <wp:posOffset>4280535</wp:posOffset>
                </wp:positionH>
                <wp:positionV relativeFrom="paragraph">
                  <wp:posOffset>922020</wp:posOffset>
                </wp:positionV>
                <wp:extent cx="1384935" cy="761365"/>
                <wp:effectExtent l="6350" t="6350" r="18415" b="337185"/>
                <wp:wrapNone/>
                <wp:docPr id="34" name="矩形标注 34"/>
                <wp:cNvGraphicFramePr/>
                <a:graphic xmlns:a="http://schemas.openxmlformats.org/drawingml/2006/main">
                  <a:graphicData uri="http://schemas.microsoft.com/office/word/2010/wordprocessingShape">
                    <wps:wsp>
                      <wps:cNvSpPr/>
                      <wps:spPr>
                        <a:xfrm>
                          <a:off x="0" y="0"/>
                          <a:ext cx="1384935" cy="761365"/>
                        </a:xfrm>
                        <a:prstGeom prst="wedgeRectCallout">
                          <a:avLst>
                            <a:gd name="adj1" fmla="val -34915"/>
                            <a:gd name="adj2" fmla="val 90867"/>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锡林郭勒盟建安工贸有限责任公司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337.05pt;margin-top:72.6pt;height:59.95pt;width:109.05pt;z-index:251684864;v-text-anchor:middle;mso-width-relative:page;mso-height-relative:page;" fillcolor="#FFFF00" filled="t" stroked="t" coordsize="21600,21600" o:gfxdata="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dM8IHtsAAAAL&#10;AQAADwAAAAAAAAABACAAAAAiAAAAZHJzL2Rvd25yZXYueG1sUEsBAhQAFAAAAAgAh07iQK/e4E/E&#10;AgAAhgUAAA4AAAAAAAAAAQAgAAAAKgEAAGRycy9lMm9Eb2MueG1sUEsFBgAAAAAGAAYAWQEAAGAG&#10;AAAAAA==&#10;" adj="3258,30427">
                <v:fill on="t" focussize="0,0"/>
                <v:stroke weight="1pt" color="#41719C [3204]" miterlimit="8" joinstyle="miter"/>
                <v:imagedata o:title=""/>
                <o:lock v:ext="edit" aspectratio="f"/>
                <v:textbox>
                  <w:txbxContent>
                    <w:p>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锡林郭勒盟建安工贸有限责任公司</w:t>
                      </w:r>
                    </w:p>
                  </w:txbxContent>
                </v:textbox>
              </v:shape>
            </w:pict>
          </mc:Fallback>
        </mc:AlternateContent>
      </w:r>
      <w:r>
        <w:rPr>
          <w:sz w:val="24"/>
        </w:rPr>
        <mc:AlternateContent>
          <mc:Choice Requires="wps">
            <w:drawing>
              <wp:anchor distT="0" distB="0" distL="114300" distR="114300" simplePos="0" relativeHeight="251681792" behindDoc="0" locked="0" layoutInCell="1" allowOverlap="1">
                <wp:simplePos x="0" y="0"/>
                <wp:positionH relativeFrom="column">
                  <wp:posOffset>3021330</wp:posOffset>
                </wp:positionH>
                <wp:positionV relativeFrom="paragraph">
                  <wp:posOffset>4245610</wp:posOffset>
                </wp:positionV>
                <wp:extent cx="1840865" cy="550545"/>
                <wp:effectExtent l="6350" t="6350" r="686435" b="14605"/>
                <wp:wrapNone/>
                <wp:docPr id="31" name="矩形标注 31"/>
                <wp:cNvGraphicFramePr/>
                <a:graphic xmlns:a="http://schemas.openxmlformats.org/drawingml/2006/main">
                  <a:graphicData uri="http://schemas.microsoft.com/office/word/2010/wordprocessingShape">
                    <wps:wsp>
                      <wps:cNvSpPr/>
                      <wps:spPr>
                        <a:xfrm>
                          <a:off x="0" y="0"/>
                          <a:ext cx="1840865" cy="550545"/>
                        </a:xfrm>
                        <a:prstGeom prst="wedgeRectCallout">
                          <a:avLst>
                            <a:gd name="adj1" fmla="val 84011"/>
                            <a:gd name="adj2" fmla="val 11014"/>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锡林浩特市乐丰管业有限公司</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37.9pt;margin-top:334.3pt;height:43.35pt;width:144.95pt;z-index:251681792;v-text-anchor:middle;mso-width-relative:page;mso-height-relative:page;" fillcolor="#FFFF00" filled="t" stroked="t" coordsize="21600,21600" o:gfxdata="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DFcFjA2QAAAAsBAAAP&#10;AAAAAAAAAAEAIAAAACIAAABkcnMvZG93bnJldi54bWxQSwECFAAUAAAACACHTuJAGpWLdcICAACF&#10;BQAADgAAAAAAAAABACAAAAAoAQAAZHJzL2Uyb0RvYy54bWxQSwUGAAAAAAYABgBZAQAAXAYAAAAA&#10;" adj="28946,13179">
                <v:fill on="t" focussize="0,0"/>
                <v:stroke weight="1pt" color="#41719C [3204]" miterlimit="8" joinstyle="miter"/>
                <v:imagedata o:title=""/>
                <o:lock v:ext="edit" aspectratio="f"/>
                <v:textbo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锡林浩特市乐丰管业有限公司</w:t>
                      </w:r>
                    </w:p>
                    <w:p>
                      <w:pPr>
                        <w:jc w:val="center"/>
                      </w:pPr>
                    </w:p>
                  </w:txbxContent>
                </v:textbox>
              </v:shape>
            </w:pict>
          </mc:Fallback>
        </mc:AlternateContent>
      </w:r>
      <w:r>
        <w:rPr>
          <w:sz w:val="24"/>
        </w:rPr>
        <mc:AlternateContent>
          <mc:Choice Requires="wps">
            <w:drawing>
              <wp:anchor distT="0" distB="0" distL="114300" distR="114300" simplePos="0" relativeHeight="251682816" behindDoc="0" locked="0" layoutInCell="1" allowOverlap="1">
                <wp:simplePos x="0" y="0"/>
                <wp:positionH relativeFrom="column">
                  <wp:posOffset>1416685</wp:posOffset>
                </wp:positionH>
                <wp:positionV relativeFrom="paragraph">
                  <wp:posOffset>3466465</wp:posOffset>
                </wp:positionV>
                <wp:extent cx="1840865" cy="550545"/>
                <wp:effectExtent l="6350" t="534670" r="191135" b="19685"/>
                <wp:wrapNone/>
                <wp:docPr id="32" name="矩形标注 32"/>
                <wp:cNvGraphicFramePr/>
                <a:graphic xmlns:a="http://schemas.openxmlformats.org/drawingml/2006/main">
                  <a:graphicData uri="http://schemas.microsoft.com/office/word/2010/wordprocessingShape">
                    <wps:wsp>
                      <wps:cNvSpPr/>
                      <wps:spPr>
                        <a:xfrm>
                          <a:off x="0" y="0"/>
                          <a:ext cx="1840865" cy="550545"/>
                        </a:xfrm>
                        <a:prstGeom prst="wedgeRectCallout">
                          <a:avLst>
                            <a:gd name="adj1" fmla="val 58727"/>
                            <a:gd name="adj2" fmla="val -14270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蓬安工贸有限责任公司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11.55pt;margin-top:272.95pt;height:43.35pt;width:144.95pt;z-index:251682816;v-text-anchor:middle;mso-width-relative:page;mso-height-relative:page;" fillcolor="#FFFF00" filled="t" stroked="t" coordsize="21600,21600" o:gfxdata="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EBYF1HbAAAA&#10;CwEAAA8AAAAAAAAAAQAgAAAAIgAAAGRycy9kb3ducmV2LnhtbFBLAQIUABQAAAAIAIdO4kDlUX9H&#10;xQIAAIcFAAAOAAAAAAAAAAEAIAAAACoBAABkcnMvZTJvRG9jLnhtbFBLBQYAAAAABgAGAFkBAABh&#10;BgAAAAA=&#10;" adj="23485,-20024">
                <v:fill on="t" focussize="0,0"/>
                <v:stroke weight="1pt" color="#41719C [3204]" miterlimit="8" joinstyle="miter"/>
                <v:imagedata o:title=""/>
                <o:lock v:ext="edit" aspectratio="f"/>
                <v:textbox>
                  <w:txbxContent>
                    <w:p>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蓬安工贸有限责任公司</w:t>
                      </w:r>
                    </w:p>
                  </w:txbxContent>
                </v:textbox>
              </v:shape>
            </w:pict>
          </mc:Fallback>
        </mc:AlternateContent>
      </w:r>
      <w:r>
        <w:rPr>
          <w:sz w:val="24"/>
        </w:rPr>
        <mc:AlternateContent>
          <mc:Choice Requires="wps">
            <w:drawing>
              <wp:anchor distT="0" distB="0" distL="114300" distR="114300" simplePos="0" relativeHeight="251683840" behindDoc="0" locked="0" layoutInCell="1" allowOverlap="1">
                <wp:simplePos x="0" y="0"/>
                <wp:positionH relativeFrom="column">
                  <wp:posOffset>6437630</wp:posOffset>
                </wp:positionH>
                <wp:positionV relativeFrom="paragraph">
                  <wp:posOffset>2412365</wp:posOffset>
                </wp:positionV>
                <wp:extent cx="1840865" cy="550545"/>
                <wp:effectExtent l="6350" t="614680" r="19685" b="15875"/>
                <wp:wrapNone/>
                <wp:docPr id="33" name="矩形标注 33"/>
                <wp:cNvGraphicFramePr/>
                <a:graphic xmlns:a="http://schemas.openxmlformats.org/drawingml/2006/main">
                  <a:graphicData uri="http://schemas.microsoft.com/office/word/2010/wordprocessingShape">
                    <wps:wsp>
                      <wps:cNvSpPr/>
                      <wps:spPr>
                        <a:xfrm>
                          <a:off x="0" y="0"/>
                          <a:ext cx="1840865" cy="550545"/>
                        </a:xfrm>
                        <a:prstGeom prst="wedgeRectCallout">
                          <a:avLst>
                            <a:gd name="adj1" fmla="val -35546"/>
                            <a:gd name="adj2" fmla="val -158189"/>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锡林浩特市乾盛源混凝土有限公司</w:t>
                            </w:r>
                          </w:p>
                          <w:p>
                            <w:pPr>
                              <w:jc w:val="center"/>
                              <w:rPr>
                                <w:color w:val="000000" w:themeColor="text1"/>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506.9pt;margin-top:189.95pt;height:43.35pt;width:144.95pt;z-index:251683840;v-text-anchor:middle;mso-width-relative:page;mso-height-relative:page;" fillcolor="#FFFF00" filled="t" stroked="t" coordsize="21600,21600" o:gfxdata="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kpz/B90A&#10;AAANAQAADwAAAAAAAAABACAAAAAiAAAAZHJzL2Rvd25yZXYueG1sUEsBAhQAFAAAAAgAh07iQOes&#10;WGLFAgAAiAUAAA4AAAAAAAAAAQAgAAAALAEAAGRycy9lMm9Eb2MueG1sUEsFBgAAAAAGAAYAWQEA&#10;AGMGAAAAAA==&#10;" adj="3122,-23369">
                <v:fill on="t" focussize="0,0"/>
                <v:stroke weight="1pt" color="#41719C [3204]" miterlimit="8" joinstyle="miter"/>
                <v:imagedata o:title=""/>
                <o:lock v:ext="edit" aspectratio="f"/>
                <v:textbo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锡林浩特市乾盛源混凝土有限公司</w:t>
                      </w:r>
                    </w:p>
                    <w:p>
                      <w:pPr>
                        <w:jc w:val="center"/>
                        <w:rPr>
                          <w:color w:val="000000" w:themeColor="text1"/>
                          <w14:textFill>
                            <w14:solidFill>
                              <w14:schemeClr w14:val="tx1"/>
                            </w14:solidFill>
                          </w14:textFill>
                        </w:rPr>
                      </w:pPr>
                    </w:p>
                  </w:txbxContent>
                </v:textbox>
              </v:shape>
            </w:pict>
          </mc:Fallback>
        </mc:AlternateContent>
      </w:r>
      <w:r>
        <w:rPr>
          <w:sz w:val="24"/>
        </w:rPr>
        <mc:AlternateContent>
          <mc:Choice Requires="wps">
            <w:drawing>
              <wp:anchor distT="0" distB="0" distL="114300" distR="114300" simplePos="0" relativeHeight="251680768" behindDoc="0" locked="0" layoutInCell="1" allowOverlap="1">
                <wp:simplePos x="0" y="0"/>
                <wp:positionH relativeFrom="column">
                  <wp:posOffset>1365885</wp:posOffset>
                </wp:positionH>
                <wp:positionV relativeFrom="paragraph">
                  <wp:posOffset>843915</wp:posOffset>
                </wp:positionV>
                <wp:extent cx="1840865" cy="550545"/>
                <wp:effectExtent l="6350" t="534670" r="191135" b="19685"/>
                <wp:wrapNone/>
                <wp:docPr id="30" name="矩形标注 30"/>
                <wp:cNvGraphicFramePr/>
                <a:graphic xmlns:a="http://schemas.openxmlformats.org/drawingml/2006/main">
                  <a:graphicData uri="http://schemas.microsoft.com/office/word/2010/wordprocessingShape">
                    <wps:wsp>
                      <wps:cNvSpPr/>
                      <wps:spPr>
                        <a:xfrm>
                          <a:off x="3134360" y="2239010"/>
                          <a:ext cx="1840865" cy="550545"/>
                        </a:xfrm>
                        <a:prstGeom prst="wedgeRectCallout">
                          <a:avLst>
                            <a:gd name="adj1" fmla="val 58727"/>
                            <a:gd name="adj2" fmla="val -142706"/>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锡林浩特市勇盈工贸有限责任公司</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07.55pt;margin-top:66.45pt;height:43.35pt;width:144.95pt;z-index:251680768;v-text-anchor:middle;mso-width-relative:page;mso-height-relative:page;" fillcolor="#FFFF00" filled="t" stroked="t" coordsize="21600,21600" o:gfxdata="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Lgo2jaAAAACwEAAA8AAAAAAAAAAQAgAAAAIgAAAGRycy9kb3ducmV2LnhtbFBLAQIUABQAAAAI&#10;AIdO4kCh9ooyzwIAAJMFAAAOAAAAAAAAAAEAIAAAACkBAABkcnMvZTJvRG9jLnhtbFBLBQYAAAAA&#10;BgAGAFkBAABqBgAAAAA=&#10;" adj="23485,-20024">
                <v:fill on="t" focussize="0,0"/>
                <v:stroke weight="1pt" color="#41719C [3204]" miterlimit="8" joinstyle="miter"/>
                <v:imagedata o:title=""/>
                <o:lock v:ext="edit" aspectratio="f"/>
                <v:textbox>
                  <w:txbxContent>
                    <w:p>
                      <w:pPr>
                        <w:rPr>
                          <w:color w:val="000000" w:themeColor="text1"/>
                          <w14:textFill>
                            <w14:solidFill>
                              <w14:schemeClr w14:val="tx1"/>
                            </w14:solidFill>
                          </w14:textFill>
                        </w:rPr>
                      </w:pPr>
                      <w:r>
                        <w:rPr>
                          <w:rFonts w:hint="eastAsia" w:ascii="Times New Roman" w:hAnsi="Times New Roman" w:cs="Times New Roman"/>
                          <w:color w:val="000000" w:themeColor="text1"/>
                          <w:sz w:val="24"/>
                          <w:szCs w:val="24"/>
                          <w:highlight w:val="none"/>
                          <w:lang w:val="en-US" w:eastAsia="zh-CN"/>
                          <w14:textFill>
                            <w14:solidFill>
                              <w14:schemeClr w14:val="tx1"/>
                            </w14:solidFill>
                          </w14:textFill>
                        </w:rPr>
                        <w:t>锡林浩特市勇盈工贸有限责任公司</w:t>
                      </w:r>
                    </w:p>
                    <w:p>
                      <w:pPr>
                        <w:jc w:val="center"/>
                      </w:pPr>
                    </w:p>
                  </w:txbxContent>
                </v:textbox>
              </v:shape>
            </w:pict>
          </mc:Fallback>
        </mc:AlternateContent>
      </w:r>
      <w:r>
        <w:rPr>
          <w:sz w:val="24"/>
        </w:rPr>
        <mc:AlternateContent>
          <mc:Choice Requires="wps">
            <w:drawing>
              <wp:anchor distT="0" distB="0" distL="114300" distR="114300" simplePos="0" relativeHeight="251679744" behindDoc="0" locked="0" layoutInCell="1" allowOverlap="1">
                <wp:simplePos x="0" y="0"/>
                <wp:positionH relativeFrom="column">
                  <wp:posOffset>5281295</wp:posOffset>
                </wp:positionH>
                <wp:positionV relativeFrom="paragraph">
                  <wp:posOffset>3740150</wp:posOffset>
                </wp:positionV>
                <wp:extent cx="2286000" cy="1149350"/>
                <wp:effectExtent l="8890" t="8890" r="29210" b="22860"/>
                <wp:wrapNone/>
                <wp:docPr id="24" name="任意多边形 24"/>
                <wp:cNvGraphicFramePr/>
                <a:graphic xmlns:a="http://schemas.openxmlformats.org/drawingml/2006/main">
                  <a:graphicData uri="http://schemas.microsoft.com/office/word/2010/wordprocessingShape">
                    <wps:wsp>
                      <wps:cNvSpPr/>
                      <wps:spPr>
                        <a:xfrm>
                          <a:off x="6361430" y="4712335"/>
                          <a:ext cx="2286000" cy="1149350"/>
                        </a:xfrm>
                        <a:custGeom>
                          <a:avLst/>
                          <a:gdLst>
                            <a:gd name="connisteX0" fmla="*/ 0 w 2286000"/>
                            <a:gd name="connsiteY0" fmla="*/ 1035050 h 1149350"/>
                            <a:gd name="connisteX1" fmla="*/ 1346200 w 2286000"/>
                            <a:gd name="connsiteY1" fmla="*/ 0 h 1149350"/>
                            <a:gd name="connisteX2" fmla="*/ 2286000 w 2286000"/>
                            <a:gd name="connsiteY2" fmla="*/ 1149350 h 1149350"/>
                            <a:gd name="connisteX3" fmla="*/ 88900 w 2286000"/>
                            <a:gd name="connsiteY3" fmla="*/ 1143000 h 1149350"/>
                            <a:gd name="connisteX4" fmla="*/ 0 w 2286000"/>
                            <a:gd name="connsiteY4" fmla="*/ 1035050 h 1149350"/>
                          </a:gdLst>
                          <a:ahLst/>
                          <a:cxnLst>
                            <a:cxn ang="0">
                              <a:pos x="connisteX0" y="connsiteY0"/>
                            </a:cxn>
                            <a:cxn ang="0">
                              <a:pos x="connisteX1" y="connsiteY1"/>
                            </a:cxn>
                            <a:cxn ang="0">
                              <a:pos x="connisteX2" y="connsiteY2"/>
                            </a:cxn>
                            <a:cxn ang="0">
                              <a:pos x="connisteX3" y="connsiteY3"/>
                            </a:cxn>
                            <a:cxn ang="0">
                              <a:pos x="connisteX4" y="connsiteY4"/>
                            </a:cxn>
                          </a:cxnLst>
                          <a:rect l="l" t="t" r="r" b="b"/>
                          <a:pathLst>
                            <a:path w="2286000" h="1149350">
                              <a:moveTo>
                                <a:pt x="0" y="1035050"/>
                              </a:moveTo>
                              <a:lnTo>
                                <a:pt x="1346200" y="0"/>
                              </a:lnTo>
                              <a:lnTo>
                                <a:pt x="2286000" y="1149350"/>
                              </a:lnTo>
                              <a:lnTo>
                                <a:pt x="88900" y="1143000"/>
                              </a:lnTo>
                              <a:lnTo>
                                <a:pt x="0" y="1035050"/>
                              </a:lnTo>
                              <a:close/>
                            </a:path>
                          </a:pathLst>
                        </a:custGeom>
                        <a:solidFill>
                          <a:srgbClr val="FFFF00">
                            <a:alpha val="50000"/>
                          </a:srgbClr>
                        </a:solidFill>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id="_x0000_s1026" o:spid="_x0000_s1026" o:spt="100" style="position:absolute;left:0pt;margin-left:415.85pt;margin-top:294.5pt;height:90.5pt;width:180pt;z-index:251679744;mso-width-relative:page;mso-height-relative:page;" fillcolor="#FFFF00" filled="t" stroked="t" coordsize="2286000,1149350" o:gfxdata="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" path="m0,1035050l1346200,0,2286000,1149350,88900,1143000,0,1035050xe">
                <v:path o:connectlocs="0,1035050;1346200,0;2286000,1149350;88900,1143000;0,1035050" o:connectangles="0,0,0,0,0"/>
                <v:fill on="t" opacity="32768f" focussize="0,0"/>
                <v:stroke weight="1pt" color="#41719C [3204]" miterlimit="8" joinstyle="miter"/>
                <v:imagedata o:title=""/>
                <o:lock v:ext="edit" aspectratio="f"/>
              </v:shape>
            </w:pict>
          </mc:Fallback>
        </mc:AlternateContent>
      </w:r>
      <w:r>
        <w:rPr>
          <w:highlight w:val="none"/>
        </w:rPr>
        <w:drawing>
          <wp:inline distT="0" distB="0" distL="114300" distR="114300">
            <wp:extent cx="8526780" cy="4846320"/>
            <wp:effectExtent l="0" t="0" r="7620" b="11430"/>
            <wp:docPr id="5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0"/>
                    <pic:cNvPicPr>
                      <a:picLocks noChangeAspect="1"/>
                    </pic:cNvPicPr>
                  </pic:nvPicPr>
                  <pic:blipFill>
                    <a:blip r:embed="rId18"/>
                    <a:stretch>
                      <a:fillRect/>
                    </a:stretch>
                  </pic:blipFill>
                  <pic:spPr>
                    <a:xfrm>
                      <a:off x="0" y="0"/>
                      <a:ext cx="8526780" cy="4846320"/>
                    </a:xfrm>
                    <a:prstGeom prst="rect">
                      <a:avLst/>
                    </a:prstGeom>
                    <a:noFill/>
                    <a:ln>
                      <a:noFill/>
                    </a:ln>
                  </pic:spPr>
                </pic:pic>
              </a:graphicData>
            </a:graphic>
          </wp:inline>
        </w:drawing>
      </w:r>
      <w:r>
        <w:rPr>
          <w:sz w:val="28"/>
          <w:highlight w:val="none"/>
        </w:rPr>
        <mc:AlternateContent>
          <mc:Choice Requires="wps">
            <w:drawing>
              <wp:anchor distT="0" distB="0" distL="114300" distR="114300" simplePos="0" relativeHeight="251667456" behindDoc="0" locked="0" layoutInCell="1" allowOverlap="1">
                <wp:simplePos x="0" y="0"/>
                <wp:positionH relativeFrom="column">
                  <wp:posOffset>3034665</wp:posOffset>
                </wp:positionH>
                <wp:positionV relativeFrom="paragraph">
                  <wp:posOffset>4361180</wp:posOffset>
                </wp:positionV>
                <wp:extent cx="462280" cy="310515"/>
                <wp:effectExtent l="0" t="0" r="13970" b="13335"/>
                <wp:wrapNone/>
                <wp:docPr id="21" name="直接箭头连接符 21"/>
                <wp:cNvGraphicFramePr/>
                <a:graphic xmlns:a="http://schemas.openxmlformats.org/drawingml/2006/main">
                  <a:graphicData uri="http://schemas.microsoft.com/office/word/2010/wordprocessingShape">
                    <wps:wsp>
                      <wps:cNvCnPr/>
                      <wps:spPr>
                        <a:xfrm flipH="1">
                          <a:off x="3007360" y="5513705"/>
                          <a:ext cx="462280" cy="310515"/>
                        </a:xfrm>
                        <a:prstGeom prst="straightConnector1">
                          <a:avLst/>
                        </a:prstGeom>
                        <a:ln>
                          <a:headEnd type="arrow"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flip:x;margin-left:238.95pt;margin-top:343.4pt;height:24.45pt;width:36.4pt;z-index:251667456;mso-width-relative:page;mso-height-relative:page;" filled="f" stroked="t" coordsize="21600,21600" o:gfxdata="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tyY6EdoAAAALAQAADwAAAAAAAAABACAAAAAiAAAAZHJzL2Rvd25yZXYueG1s&#10;UEsBAhQAFAAAAAgAh07iQGRmUK8vAgAAOAQAAA4AAAAAAAAAAQAgAAAAKQEAAGRycy9lMm9Eb2Mu&#10;eG1sUEsFBgAAAAAGAAYAWQEAAMoFAAAAAA==&#10;">
                <v:fill on="f" focussize="0,0"/>
                <v:stroke weight="1.5pt" color="#000000 [3200]" miterlimit="8" joinstyle="miter" startarrow="open" endarrow="open"/>
                <v:imagedata o:title=""/>
                <o:lock v:ext="edit" aspectratio="f"/>
              </v:shape>
            </w:pict>
          </mc:Fallback>
        </mc:AlternateContent>
      </w:r>
    </w:p>
    <w:p>
      <w:pPr>
        <w:pStyle w:val="26"/>
        <w:ind w:left="0" w:leftChars="0" w:right="0" w:rightChars="0" w:firstLine="0" w:firstLineChars="0"/>
        <w:jc w:val="center"/>
        <w:rPr>
          <w:rFonts w:hint="eastAsia" w:ascii="Times New Roman" w:hAnsi="Times New Roman" w:eastAsia="ILPZD C+ T T 4 B B 2o 00" w:cs="Times New Roman"/>
          <w:b/>
          <w:bCs/>
          <w:color w:val="auto"/>
          <w:sz w:val="24"/>
          <w:highlight w:val="none"/>
          <w:lang w:val="en-US" w:eastAsia="zh-CN"/>
        </w:rPr>
        <w:sectPr>
          <w:footerReference r:id="rId7" w:type="default"/>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pPr>
        <w:pStyle w:val="26"/>
        <w:jc w:val="center"/>
        <w:rPr>
          <w:rFonts w:hint="default" w:ascii="Times New Roman" w:hAnsi="Times New Roman" w:cs="Times New Roman"/>
          <w:color w:val="auto"/>
          <w:sz w:val="52"/>
          <w:szCs w:val="52"/>
          <w:highlight w:val="none"/>
          <w:lang w:eastAsia="zh-CN"/>
        </w:rPr>
      </w:pPr>
      <w:r>
        <w:rPr>
          <w:rFonts w:hint="default" w:ascii="Times New Roman" w:hAnsi="Times New Roman" w:cs="Times New Roman"/>
          <w:color w:val="auto"/>
          <w:sz w:val="52"/>
          <w:szCs w:val="52"/>
          <w:highlight w:val="none"/>
          <w:lang w:eastAsia="zh-CN"/>
        </w:rPr>
        <w:t>委托函</w:t>
      </w:r>
    </w:p>
    <w:p>
      <w:pPr>
        <w:pStyle w:val="26"/>
        <w:jc w:val="center"/>
        <w:rPr>
          <w:rFonts w:hint="default" w:ascii="Times New Roman" w:hAnsi="Times New Roman" w:cs="Times New Roman"/>
          <w:color w:val="auto"/>
          <w:sz w:val="52"/>
          <w:szCs w:val="52"/>
          <w:highlight w:val="none"/>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default" w:ascii="Times New Roman" w:hAnsi="Times New Roman" w:cs="Times New Roman"/>
          <w:color w:val="auto"/>
          <w:sz w:val="32"/>
          <w:szCs w:val="32"/>
          <w:highlight w:val="none"/>
          <w:lang w:eastAsia="zh-CN"/>
        </w:rPr>
      </w:pPr>
      <w:r>
        <w:rPr>
          <w:rFonts w:hint="default" w:ascii="Times New Roman" w:hAnsi="Times New Roman" w:cs="Times New Roman"/>
          <w:color w:val="auto"/>
          <w:sz w:val="32"/>
          <w:szCs w:val="32"/>
          <w:highlight w:val="none"/>
          <w:lang w:eastAsia="zh-CN"/>
        </w:rPr>
        <w:t>内蒙古筹信环保科技有限公司：</w:t>
      </w:r>
    </w:p>
    <w:p>
      <w:pPr>
        <w:pStyle w:val="26"/>
        <w:rPr>
          <w:rFonts w:hint="default" w:ascii="Times New Roman" w:hAnsi="Times New Roman" w:cs="Times New Roman"/>
          <w:color w:val="auto"/>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cs="Times New Roman"/>
          <w:color w:val="auto"/>
          <w:sz w:val="32"/>
          <w:szCs w:val="32"/>
          <w:highlight w:val="none"/>
          <w:lang w:eastAsia="zh-CN"/>
        </w:rPr>
      </w:pPr>
      <w:r>
        <w:rPr>
          <w:rFonts w:hint="default" w:ascii="Times New Roman" w:hAnsi="Times New Roman" w:cs="Times New Roman"/>
          <w:color w:val="auto"/>
          <w:sz w:val="32"/>
          <w:szCs w:val="32"/>
          <w:highlight w:val="none"/>
          <w:lang w:eastAsia="zh-CN"/>
        </w:rPr>
        <w:t>根据国家的相关法规、条例和锡林郭勒盟生态环境局的要求，</w:t>
      </w:r>
      <w:r>
        <w:rPr>
          <w:rFonts w:hint="default" w:ascii="Times New Roman" w:hAnsi="Times New Roman" w:cs="Times New Roman"/>
          <w:color w:val="FF0000"/>
          <w:sz w:val="32"/>
          <w:szCs w:val="32"/>
          <w:highlight w:val="none"/>
          <w:lang w:val="en-US" w:eastAsia="zh-CN"/>
        </w:rPr>
        <w:t>锡林郭勒盟建安工贸有限责任公司彩钢板生产项目</w:t>
      </w:r>
      <w:r>
        <w:rPr>
          <w:rFonts w:hint="default" w:ascii="Times New Roman" w:hAnsi="Times New Roman" w:cs="Times New Roman"/>
          <w:color w:val="auto"/>
          <w:sz w:val="32"/>
          <w:szCs w:val="32"/>
          <w:highlight w:val="none"/>
          <w:lang w:eastAsia="zh-CN"/>
        </w:rPr>
        <w:t>需要进行环境影响评价，编制环境影响报告表，现委托贵公司进行该项目的环境影响评价工作，望接收委托后，尽早开展工作为盼！</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Times New Roman" w:hAnsi="Times New Roman" w:cs="Times New Roman"/>
          <w:color w:val="auto"/>
          <w:sz w:val="24"/>
          <w:szCs w:val="24"/>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rPr>
          <w:rFonts w:hint="default" w:ascii="Times New Roman" w:hAnsi="Times New Roman" w:cs="Times New Roman"/>
          <w:color w:val="auto"/>
          <w:highlight w:val="none"/>
        </w:rPr>
      </w:pPr>
    </w:p>
    <w:p>
      <w:pPr>
        <w:pStyle w:val="26"/>
        <w:spacing w:line="360" w:lineRule="auto"/>
        <w:jc w:val="right"/>
        <w:rPr>
          <w:rFonts w:hint="default" w:ascii="Times New Roman" w:hAnsi="Times New Roman" w:eastAsia="宋体" w:cs="Times New Roman"/>
          <w:color w:val="auto"/>
          <w:sz w:val="30"/>
          <w:szCs w:val="30"/>
          <w:highlight w:val="none"/>
          <w:lang w:val="en-US" w:eastAsia="zh-CN"/>
        </w:rPr>
      </w:pPr>
      <w:r>
        <w:rPr>
          <w:rFonts w:hint="default" w:ascii="Times New Roman" w:hAnsi="Times New Roman" w:cs="Times New Roman"/>
          <w:color w:val="auto"/>
          <w:sz w:val="30"/>
          <w:szCs w:val="30"/>
          <w:highlight w:val="none"/>
          <w:lang w:eastAsia="zh-CN"/>
        </w:rPr>
        <w:t>委托单位：</w:t>
      </w:r>
      <w:r>
        <w:rPr>
          <w:rFonts w:hint="eastAsia" w:ascii="Times New Roman" w:hAnsi="Times New Roman" w:cs="Times New Roman"/>
          <w:color w:val="auto"/>
          <w:sz w:val="30"/>
          <w:szCs w:val="30"/>
          <w:highlight w:val="none"/>
          <w:lang w:eastAsia="zh-CN"/>
        </w:rPr>
        <w:t>锡林郭勒盟建安工贸有限责任公司</w:t>
      </w:r>
    </w:p>
    <w:p>
      <w:pPr>
        <w:bidi w:val="0"/>
        <w:jc w:val="right"/>
        <w:rPr>
          <w:rFonts w:hint="default" w:ascii="Times New Roman" w:hAnsi="Times New Roman" w:eastAsia="宋体" w:cs="Times New Roman"/>
          <w:color w:val="auto"/>
          <w:sz w:val="30"/>
          <w:szCs w:val="30"/>
          <w:highlight w:val="none"/>
          <w:lang w:val="en-US" w:eastAsia="zh-CN"/>
        </w:rPr>
      </w:pPr>
      <w:r>
        <w:rPr>
          <w:rFonts w:hint="default" w:ascii="Times New Roman" w:hAnsi="Times New Roman" w:eastAsia="宋体" w:cs="Times New Roman"/>
          <w:color w:val="auto"/>
          <w:sz w:val="30"/>
          <w:szCs w:val="30"/>
          <w:highlight w:val="none"/>
          <w:lang w:val="en-US" w:eastAsia="zh-CN"/>
        </w:rPr>
        <w:t>202</w:t>
      </w:r>
      <w:r>
        <w:rPr>
          <w:rFonts w:hint="eastAsia" w:ascii="Times New Roman" w:hAnsi="Times New Roman" w:cs="Times New Roman"/>
          <w:color w:val="auto"/>
          <w:sz w:val="30"/>
          <w:szCs w:val="30"/>
          <w:highlight w:val="none"/>
          <w:lang w:val="en-US" w:eastAsia="zh-CN"/>
        </w:rPr>
        <w:t>2</w:t>
      </w:r>
      <w:r>
        <w:rPr>
          <w:rFonts w:hint="default" w:ascii="Times New Roman" w:hAnsi="Times New Roman" w:eastAsia="宋体" w:cs="Times New Roman"/>
          <w:color w:val="auto"/>
          <w:sz w:val="30"/>
          <w:szCs w:val="30"/>
          <w:highlight w:val="none"/>
          <w:lang w:val="en-US" w:eastAsia="zh-CN"/>
        </w:rPr>
        <w:t>年</w:t>
      </w:r>
      <w:r>
        <w:rPr>
          <w:rFonts w:hint="eastAsia" w:ascii="Times New Roman" w:hAnsi="Times New Roman" w:cs="Times New Roman"/>
          <w:color w:val="auto"/>
          <w:sz w:val="30"/>
          <w:szCs w:val="30"/>
          <w:highlight w:val="none"/>
          <w:lang w:val="en-US" w:eastAsia="zh-CN"/>
        </w:rPr>
        <w:t>3</w:t>
      </w:r>
      <w:r>
        <w:rPr>
          <w:rFonts w:hint="default" w:ascii="Times New Roman" w:hAnsi="Times New Roman" w:eastAsia="宋体" w:cs="Times New Roman"/>
          <w:color w:val="auto"/>
          <w:sz w:val="30"/>
          <w:szCs w:val="30"/>
          <w:highlight w:val="none"/>
          <w:lang w:val="en-US" w:eastAsia="zh-CN"/>
        </w:rPr>
        <w:t>月</w:t>
      </w:r>
      <w:r>
        <w:rPr>
          <w:rFonts w:hint="eastAsia" w:ascii="Times New Roman" w:hAnsi="Times New Roman" w:cs="Times New Roman"/>
          <w:color w:val="auto"/>
          <w:sz w:val="30"/>
          <w:szCs w:val="30"/>
          <w:highlight w:val="none"/>
          <w:lang w:val="en-US" w:eastAsia="zh-CN"/>
        </w:rPr>
        <w:t>28</w:t>
      </w:r>
      <w:r>
        <w:rPr>
          <w:rFonts w:hint="default" w:ascii="Times New Roman" w:hAnsi="Times New Roman" w:eastAsia="宋体" w:cs="Times New Roman"/>
          <w:color w:val="auto"/>
          <w:sz w:val="30"/>
          <w:szCs w:val="30"/>
          <w:highlight w:val="none"/>
          <w:lang w:val="en-US" w:eastAsia="zh-CN"/>
        </w:rPr>
        <w:t>日</w:t>
      </w:r>
    </w:p>
    <w:p>
      <w:pPr>
        <w:pStyle w:val="26"/>
        <w:ind w:left="0" w:leftChars="0" w:right="0" w:rightChars="0" w:firstLine="0" w:firstLineChars="0"/>
        <w:jc w:val="both"/>
        <w:rPr>
          <w:rFonts w:hint="default" w:ascii="Times New Roman" w:hAnsi="Times New Roman" w:cs="Times New Roman"/>
          <w:b/>
          <w:bCs/>
          <w:color w:val="auto"/>
          <w:sz w:val="24"/>
          <w:highlight w:val="none"/>
          <w:lang w:val="en-US" w:eastAsia="zh-CN"/>
        </w:rPr>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p>
    <w:p>
      <w:pPr>
        <w:pStyle w:val="26"/>
        <w:ind w:left="0" w:leftChars="0" w:right="0" w:rightChars="0" w:firstLine="0" w:firstLineChars="0"/>
        <w:jc w:val="both"/>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附件一、营业执照</w:t>
      </w:r>
    </w:p>
    <w:p>
      <w:pPr>
        <w:pStyle w:val="26"/>
        <w:ind w:left="0" w:leftChars="0" w:right="0" w:rightChars="0" w:firstLine="0" w:firstLineChars="0"/>
        <w:jc w:val="center"/>
        <w:rPr>
          <w:rFonts w:hint="eastAsia" w:ascii="Times New Roman" w:hAnsi="Times New Roman" w:cs="Times New Roman"/>
          <w:b/>
          <w:bCs/>
          <w:color w:val="auto"/>
          <w:sz w:val="24"/>
          <w:highlight w:val="none"/>
          <w:lang w:val="en-US" w:eastAsia="zh-CN"/>
        </w:rPr>
        <w:sectPr>
          <w:pgSz w:w="16838" w:h="11906" w:orient="landscape"/>
          <w:pgMar w:top="1531" w:right="1701" w:bottom="1531" w:left="170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pPr>
      <w:r>
        <w:rPr>
          <w:rFonts w:hint="eastAsia" w:ascii="Times New Roman" w:hAnsi="Times New Roman" w:cs="Times New Roman"/>
          <w:b/>
          <w:bCs/>
          <w:color w:val="auto"/>
          <w:sz w:val="24"/>
          <w:highlight w:val="none"/>
          <w:lang w:val="en-US" w:eastAsia="zh-CN"/>
        </w:rPr>
        <w:drawing>
          <wp:inline distT="0" distB="0" distL="114300" distR="114300">
            <wp:extent cx="6310630" cy="4734560"/>
            <wp:effectExtent l="0" t="0" r="13970" b="8890"/>
            <wp:docPr id="8" name="图片 8" descr="63244a345a6472cb1ea11537b656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63244a345a6472cb1ea11537b656108"/>
                    <pic:cNvPicPr>
                      <a:picLocks noChangeAspect="1"/>
                    </pic:cNvPicPr>
                  </pic:nvPicPr>
                  <pic:blipFill>
                    <a:blip r:embed="rId19"/>
                    <a:stretch>
                      <a:fillRect/>
                    </a:stretch>
                  </pic:blipFill>
                  <pic:spPr>
                    <a:xfrm rot="10800000">
                      <a:off x="0" y="0"/>
                      <a:ext cx="6310630" cy="4734560"/>
                    </a:xfrm>
                    <a:prstGeom prst="rect">
                      <a:avLst/>
                    </a:prstGeom>
                  </pic:spPr>
                </pic:pic>
              </a:graphicData>
            </a:graphic>
          </wp:inline>
        </w:drawing>
      </w:r>
    </w:p>
    <w:p>
      <w:pPr>
        <w:pStyle w:val="26"/>
        <w:ind w:left="0" w:leftChars="0" w:right="0" w:rightChars="0" w:firstLine="0" w:firstLineChars="0"/>
        <w:jc w:val="both"/>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附件二、法人身份证</w:t>
      </w:r>
    </w:p>
    <w:p>
      <w:pPr>
        <w:pStyle w:val="26"/>
        <w:ind w:left="0" w:leftChars="0" w:right="0" w:rightChars="0" w:firstLine="0" w:firstLineChars="0"/>
        <w:jc w:val="both"/>
        <w:rPr>
          <w:rFonts w:hint="eastAsia"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drawing>
          <wp:inline distT="0" distB="0" distL="114300" distR="114300">
            <wp:extent cx="8032750" cy="5212080"/>
            <wp:effectExtent l="0" t="0" r="7620" b="6350"/>
            <wp:docPr id="11" name="图片 11" descr="f217d97241d1388f81592af57ee45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f217d97241d1388f81592af57ee45f9"/>
                    <pic:cNvPicPr>
                      <a:picLocks noChangeAspect="1"/>
                    </pic:cNvPicPr>
                  </pic:nvPicPr>
                  <pic:blipFill>
                    <a:blip r:embed="rId20"/>
                    <a:srcRect t="4399" b="1332"/>
                    <a:stretch>
                      <a:fillRect/>
                    </a:stretch>
                  </pic:blipFill>
                  <pic:spPr>
                    <a:xfrm rot="16200000">
                      <a:off x="0" y="0"/>
                      <a:ext cx="8032750" cy="5212080"/>
                    </a:xfrm>
                    <a:prstGeom prst="rect">
                      <a:avLst/>
                    </a:prstGeom>
                  </pic:spPr>
                </pic:pic>
              </a:graphicData>
            </a:graphic>
          </wp:inline>
        </w:drawing>
      </w:r>
    </w:p>
    <w:p>
      <w:pPr>
        <w:pStyle w:val="26"/>
        <w:ind w:left="0" w:leftChars="0" w:right="0" w:rightChars="0" w:firstLine="0" w:firstLineChars="0"/>
        <w:jc w:val="both"/>
        <w:rPr>
          <w:rFonts w:hint="default" w:ascii="Times New Roman" w:hAnsi="Times New Roman" w:cs="Times New Roman"/>
          <w:b/>
          <w:bCs/>
          <w:color w:val="auto"/>
          <w:sz w:val="24"/>
          <w:highlight w:val="none"/>
          <w:lang w:val="en-US" w:eastAsia="zh-CN"/>
        </w:rPr>
      </w:pPr>
    </w:p>
    <w:p>
      <w:pPr>
        <w:pStyle w:val="26"/>
        <w:ind w:left="0" w:leftChars="0" w:right="0" w:rightChars="0" w:firstLine="0" w:firstLineChars="0"/>
        <w:jc w:val="both"/>
        <w:rPr>
          <w:rFonts w:hint="default" w:ascii="Times New Roman" w:hAnsi="Times New Roman" w:cs="Times New Roman"/>
          <w:b/>
          <w:bCs/>
          <w:color w:val="auto"/>
          <w:sz w:val="24"/>
          <w:highlight w:val="none"/>
          <w:lang w:val="en-US" w:eastAsia="zh-CN"/>
        </w:rPr>
      </w:pPr>
      <w:r>
        <w:rPr>
          <w:rFonts w:hint="eastAsia" w:ascii="Times New Roman" w:hAnsi="Times New Roman" w:cs="Times New Roman"/>
          <w:b/>
          <w:bCs/>
          <w:color w:val="auto"/>
          <w:sz w:val="24"/>
          <w:highlight w:val="none"/>
          <w:lang w:val="en-US" w:eastAsia="zh-CN"/>
        </w:rPr>
        <w:t>附件二、2020年5月之前运营发票</w:t>
      </w:r>
    </w:p>
    <w:p>
      <w:pPr>
        <w:pStyle w:val="26"/>
        <w:ind w:left="0" w:leftChars="0" w:right="0" w:rightChars="0" w:firstLine="0" w:firstLineChars="0"/>
        <w:jc w:val="center"/>
        <w:rPr>
          <w:rFonts w:hint="default" w:ascii="Times New Roman" w:hAnsi="Times New Roman" w:cs="Times New Roman"/>
          <w:b/>
          <w:bCs/>
          <w:color w:val="auto"/>
          <w:sz w:val="24"/>
          <w:highlight w:val="none"/>
          <w:lang w:val="en-US" w:eastAsia="zh-CN"/>
        </w:rPr>
      </w:pPr>
      <w:r>
        <w:rPr>
          <w:rFonts w:hint="default" w:ascii="Times New Roman" w:hAnsi="Times New Roman" w:cs="Times New Roman"/>
          <w:b/>
          <w:bCs/>
          <w:color w:val="auto"/>
          <w:sz w:val="24"/>
          <w:highlight w:val="none"/>
          <w:lang w:val="en-US" w:eastAsia="zh-CN"/>
        </w:rPr>
        <w:drawing>
          <wp:inline distT="0" distB="0" distL="114300" distR="114300">
            <wp:extent cx="4084955" cy="7200265"/>
            <wp:effectExtent l="0" t="0" r="10795" b="635"/>
            <wp:docPr id="19" name="图片 19" descr="6cb1407c0b1ab0d9ce9be38368b2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6cb1407c0b1ab0d9ce9be38368b2561"/>
                    <pic:cNvPicPr>
                      <a:picLocks noChangeAspect="1"/>
                    </pic:cNvPicPr>
                  </pic:nvPicPr>
                  <pic:blipFill>
                    <a:blip r:embed="rId21"/>
                    <a:srcRect t="13725" b="3837"/>
                    <a:stretch>
                      <a:fillRect/>
                    </a:stretch>
                  </pic:blipFill>
                  <pic:spPr>
                    <a:xfrm rot="10800000">
                      <a:off x="0" y="0"/>
                      <a:ext cx="4084955" cy="7200265"/>
                    </a:xfrm>
                    <a:prstGeom prst="rect">
                      <a:avLst/>
                    </a:prstGeom>
                  </pic:spPr>
                </pic:pic>
              </a:graphicData>
            </a:graphic>
          </wp:inline>
        </w:drawing>
      </w:r>
      <w:r>
        <w:rPr>
          <w:rFonts w:hint="default" w:ascii="Times New Roman" w:hAnsi="Times New Roman" w:cs="Times New Roman"/>
          <w:b/>
          <w:bCs/>
          <w:color w:val="auto"/>
          <w:sz w:val="24"/>
          <w:highlight w:val="none"/>
          <w:lang w:val="en-US" w:eastAsia="zh-CN"/>
        </w:rPr>
        <w:drawing>
          <wp:inline distT="0" distB="0" distL="114300" distR="114300">
            <wp:extent cx="3903345" cy="7200265"/>
            <wp:effectExtent l="0" t="0" r="1905" b="635"/>
            <wp:docPr id="22" name="图片 22" descr="2d5161ab0c6638acb0f655b8b3eb03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2d5161ab0c6638acb0f655b8b3eb03e"/>
                    <pic:cNvPicPr>
                      <a:picLocks noChangeAspect="1"/>
                    </pic:cNvPicPr>
                  </pic:nvPicPr>
                  <pic:blipFill>
                    <a:blip r:embed="rId22"/>
                    <a:srcRect t="8941" b="4791"/>
                    <a:stretch>
                      <a:fillRect/>
                    </a:stretch>
                  </pic:blipFill>
                  <pic:spPr>
                    <a:xfrm rot="10800000">
                      <a:off x="0" y="0"/>
                      <a:ext cx="3903345" cy="7200265"/>
                    </a:xfrm>
                    <a:prstGeom prst="rect">
                      <a:avLst/>
                    </a:prstGeom>
                  </pic:spPr>
                </pic:pic>
              </a:graphicData>
            </a:graphic>
          </wp:inline>
        </w:drawing>
      </w:r>
      <w:r>
        <w:rPr>
          <w:rFonts w:hint="default" w:ascii="Times New Roman" w:hAnsi="Times New Roman" w:cs="Times New Roman"/>
          <w:b/>
          <w:bCs/>
          <w:color w:val="auto"/>
          <w:sz w:val="24"/>
          <w:highlight w:val="none"/>
          <w:lang w:val="en-US" w:eastAsia="zh-CN"/>
        </w:rPr>
        <w:drawing>
          <wp:inline distT="0" distB="0" distL="114300" distR="114300">
            <wp:extent cx="7200265" cy="4100830"/>
            <wp:effectExtent l="0" t="0" r="13970" b="635"/>
            <wp:docPr id="25" name="图片 25" descr="2aeafa993b70a4e78435ab7f74b3e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2aeafa993b70a4e78435ab7f74b3e1f"/>
                    <pic:cNvPicPr>
                      <a:picLocks noChangeAspect="1"/>
                    </pic:cNvPicPr>
                  </pic:nvPicPr>
                  <pic:blipFill>
                    <a:blip r:embed="rId23"/>
                    <a:srcRect l="11012" r="6869"/>
                    <a:stretch>
                      <a:fillRect/>
                    </a:stretch>
                  </pic:blipFill>
                  <pic:spPr>
                    <a:xfrm rot="16200000">
                      <a:off x="0" y="0"/>
                      <a:ext cx="7200265" cy="4100830"/>
                    </a:xfrm>
                    <a:prstGeom prst="rect">
                      <a:avLst/>
                    </a:prstGeom>
                  </pic:spPr>
                </pic:pic>
              </a:graphicData>
            </a:graphic>
          </wp:inline>
        </w:drawing>
      </w:r>
    </w:p>
    <w:sectPr>
      <w:pgSz w:w="11906" w:h="16838"/>
      <w:pgMar w:top="1701" w:right="1531" w:bottom="1701" w:left="1531" w:header="851" w:footer="851" w:gutter="0"/>
      <w:pgBorders>
        <w:top w:val="none" w:sz="0" w:space="0"/>
        <w:left w:val="none" w:sz="0" w:space="0"/>
        <w:bottom w:val="none" w:sz="0" w:space="0"/>
        <w:right w:val="none" w:sz="0" w:space="0"/>
      </w:pgBorders>
      <w:lnNumType w:countBy="0" w:distance="36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D5CDE570-D5DE-4976-A553-3A36A01583AF}"/>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68D2CB73-6515-4571-9648-F56B4DEB2EC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78532B8-32F4-4785-A354-0CF749F8AB8D}"/>
  </w:font>
  <w:font w:name="Arial Unicode MS">
    <w:panose1 w:val="020B0604020202020204"/>
    <w:charset w:val="86"/>
    <w:family w:val="swiss"/>
    <w:pitch w:val="default"/>
    <w:sig w:usb0="FFFFFFFF" w:usb1="E9FFFFFF" w:usb2="0000003F" w:usb3="00000000" w:csb0="603F01FF" w:csb1="FFFF0000"/>
  </w:font>
  <w:font w:name="ILPZD C+ T T 4 B B 2o 00">
    <w:altName w:val="宋体"/>
    <w:panose1 w:val="00000000000000000000"/>
    <w:charset w:val="86"/>
    <w:family w:val="swiss"/>
    <w:pitch w:val="default"/>
    <w:sig w:usb0="00000000" w:usb1="00000000" w:usb2="00000010" w:usb3="00000000" w:csb0="00040000" w:csb1="00000000"/>
    <w:embedRegular r:id="rId4" w:fontKey="{36D111E5-71C1-4B60-BCE0-DD03029314A3}"/>
  </w:font>
  <w:font w:name="仿宋_GB2312">
    <w:panose1 w:val="02010609030101010101"/>
    <w:charset w:val="86"/>
    <w:family w:val="modern"/>
    <w:pitch w:val="default"/>
    <w:sig w:usb0="00000001" w:usb1="080E0000" w:usb2="00000000" w:usb3="00000000" w:csb0="00040000" w:csb1="00000000"/>
    <w:embedRegular r:id="rId5" w:fontKey="{BA4D7497-3121-4723-8ADB-C41074AB537C}"/>
  </w:font>
  <w:font w:name="Cambria Math">
    <w:panose1 w:val="02040503050406030204"/>
    <w:charset w:val="00"/>
    <w:family w:val="auto"/>
    <w:pitch w:val="default"/>
    <w:sig w:usb0="E00006FF" w:usb1="420024FF" w:usb2="02000000" w:usb3="00000000" w:csb0="2000019F" w:csb1="00000000"/>
    <w:embedRegular r:id="rId6" w:fontKey="{82413907-9479-4330-B8F6-2DA443D78B77}"/>
  </w:font>
  <w:font w:name="方正小标宋_GBK">
    <w:panose1 w:val="02000000000000000000"/>
    <w:charset w:val="86"/>
    <w:family w:val="script"/>
    <w:pitch w:val="default"/>
    <w:sig w:usb0="A00002BF" w:usb1="38CF7CFA" w:usb2="00082016" w:usb3="00000000" w:csb0="00040001" w:csb1="00000000"/>
    <w:embedRegular r:id="rId7" w:fontKey="{1F656C0E-86A4-4333-9CF7-34F236787E2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spacing w:beforeLines="0" w:afterLines="0"/>
      <w:ind w:right="360" w:firstLine="360"/>
      <w:rPr>
        <w:rFonts w:hint="default"/>
        <w:sz w:val="18"/>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spacing w:beforeLines="0" w:afterLines="0"/>
      <w:ind w:right="360" w:firstLine="360"/>
      <w:jc w:val="center"/>
      <w:rPr>
        <w:rFonts w:hint="default"/>
        <w:sz w:val="18"/>
        <w:szCs w:val="24"/>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pPr>
                      <w:pStyle w:val="16"/>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spacing w:beforeLines="0" w:afterLines="0"/>
      <w:ind w:right="360" w:firstLine="360"/>
      <w:rPr>
        <w:rFonts w:hint="default"/>
        <w:sz w:val="18"/>
        <w:szCs w:val="24"/>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fldChar w:fldCharType="begin"/>
                          </w:r>
                          <w:r>
                            <w:instrText xml:space="preserve"> PAGE  \* MERGEFORMAT </w:instrText>
                          </w:r>
                          <w:r>
                            <w:fldChar w:fldCharType="separate"/>
                          </w:r>
                          <w:r>
                            <w:t>25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pPr>
                      <w:pStyle w:val="16"/>
                    </w:pPr>
                    <w:r>
                      <w:fldChar w:fldCharType="begin"/>
                    </w:r>
                    <w:r>
                      <w:instrText xml:space="preserve"> PAGE  \* MERGEFORMAT </w:instrText>
                    </w:r>
                    <w:r>
                      <w:fldChar w:fldCharType="separate"/>
                    </w:r>
                    <w:r>
                      <w:t>25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spacing w:beforeLines="0" w:afterLines="0"/>
      <w:ind w:right="360" w:firstLine="360"/>
      <w:rPr>
        <w:rFonts w:hint="default"/>
        <w:sz w:val="18"/>
        <w:szCs w:val="24"/>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fldChar w:fldCharType="begin"/>
                          </w:r>
                          <w:r>
                            <w:instrText xml:space="preserve"> PAGE  \* MERGEFORMAT </w:instrText>
                          </w:r>
                          <w:r>
                            <w:fldChar w:fldCharType="separate"/>
                          </w:r>
                          <w:r>
                            <w:t>26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Edhgz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EdhgzAgAAYwQAAA4AAAAAAAAAAQAgAAAAHwEAAGRycy9lMm9Eb2MueG1sUEsF&#10;BgAAAAAGAAYAWQEAAMQFAAAAAA==&#10;">
              <v:fill on="f" focussize="0,0"/>
              <v:stroke on="f" weight="0.5pt"/>
              <v:imagedata o:title=""/>
              <o:lock v:ext="edit" aspectratio="f"/>
              <v:textbox inset="0mm,0mm,0mm,0mm" style="mso-fit-shape-to-text:t;">
                <w:txbxContent>
                  <w:p>
                    <w:pPr>
                      <w:pStyle w:val="16"/>
                    </w:pPr>
                    <w:r>
                      <w:fldChar w:fldCharType="begin"/>
                    </w:r>
                    <w:r>
                      <w:instrText xml:space="preserve"> PAGE  \* MERGEFORMAT </w:instrText>
                    </w:r>
                    <w:r>
                      <w:fldChar w:fldCharType="separate"/>
                    </w:r>
                    <w:r>
                      <w:t>26</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85F400"/>
    <w:multiLevelType w:val="singleLevel"/>
    <w:tmpl w:val="AA85F400"/>
    <w:lvl w:ilvl="0" w:tentative="0">
      <w:start w:val="1"/>
      <w:numFmt w:val="decimal"/>
      <w:lvlText w:val="%1."/>
      <w:lvlJc w:val="left"/>
      <w:pPr>
        <w:tabs>
          <w:tab w:val="left" w:pos="312"/>
        </w:tabs>
      </w:pPr>
    </w:lvl>
  </w:abstractNum>
  <w:abstractNum w:abstractNumId="1">
    <w:nsid w:val="C1E4F3A0"/>
    <w:multiLevelType w:val="singleLevel"/>
    <w:tmpl w:val="C1E4F3A0"/>
    <w:lvl w:ilvl="0" w:tentative="0">
      <w:start w:val="8"/>
      <w:numFmt w:val="chineseCounting"/>
      <w:suff w:val="nothing"/>
      <w:lvlText w:val="%1、"/>
      <w:lvlJc w:val="left"/>
      <w:pPr>
        <w:ind w:left="480" w:leftChars="0" w:firstLine="0" w:firstLineChars="0"/>
      </w:pPr>
      <w:rPr>
        <w:rFonts w:hint="eastAsia"/>
      </w:rPr>
    </w:lvl>
  </w:abstractNum>
  <w:abstractNum w:abstractNumId="2">
    <w:nsid w:val="4725123C"/>
    <w:multiLevelType w:val="singleLevel"/>
    <w:tmpl w:val="4725123C"/>
    <w:lvl w:ilvl="0" w:tentative="0">
      <w:start w:val="1"/>
      <w:numFmt w:val="decimal"/>
      <w:suff w:val="nothing"/>
      <w:lvlText w:val="（%1）"/>
      <w:lvlJc w:val="left"/>
    </w:lvl>
  </w:abstractNum>
  <w:abstractNum w:abstractNumId="3">
    <w:nsid w:val="6E09D809"/>
    <w:multiLevelType w:val="singleLevel"/>
    <w:tmpl w:val="6E09D809"/>
    <w:lvl w:ilvl="0" w:tentative="0">
      <w:start w:val="2"/>
      <w:numFmt w:val="chineseCounting"/>
      <w:suff w:val="nothing"/>
      <w:lvlText w:val="%1、"/>
      <w:lvlJc w:val="left"/>
      <w:rPr>
        <w:rFonts w:hint="eastAsia"/>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g0OWFlYTA2ZWE3ZDdhMTIzMTJlNDIwOWUxNDA0NzUifQ=="/>
  </w:docVars>
  <w:rsids>
    <w:rsidRoot w:val="00172A27"/>
    <w:rsid w:val="001D6BCF"/>
    <w:rsid w:val="001F5AB7"/>
    <w:rsid w:val="00FA1FB5"/>
    <w:rsid w:val="0113520A"/>
    <w:rsid w:val="01551DB3"/>
    <w:rsid w:val="01571E23"/>
    <w:rsid w:val="01897322"/>
    <w:rsid w:val="01AE5E4D"/>
    <w:rsid w:val="021F7CB6"/>
    <w:rsid w:val="02444D9E"/>
    <w:rsid w:val="024C58CC"/>
    <w:rsid w:val="027F3E24"/>
    <w:rsid w:val="02E56E3F"/>
    <w:rsid w:val="02EF6735"/>
    <w:rsid w:val="03044C87"/>
    <w:rsid w:val="03912F64"/>
    <w:rsid w:val="03A13339"/>
    <w:rsid w:val="03B94CD1"/>
    <w:rsid w:val="0448717E"/>
    <w:rsid w:val="0493497A"/>
    <w:rsid w:val="04B27A41"/>
    <w:rsid w:val="04DE31DC"/>
    <w:rsid w:val="05766AF5"/>
    <w:rsid w:val="058B5C8A"/>
    <w:rsid w:val="05AD1831"/>
    <w:rsid w:val="064F7CA8"/>
    <w:rsid w:val="075456F6"/>
    <w:rsid w:val="0785400C"/>
    <w:rsid w:val="079335B5"/>
    <w:rsid w:val="08605622"/>
    <w:rsid w:val="08670714"/>
    <w:rsid w:val="09375BB6"/>
    <w:rsid w:val="099C1636"/>
    <w:rsid w:val="09B23B29"/>
    <w:rsid w:val="09E76569"/>
    <w:rsid w:val="0A205C65"/>
    <w:rsid w:val="0A256C71"/>
    <w:rsid w:val="0AAE4CBD"/>
    <w:rsid w:val="0ADE2FD6"/>
    <w:rsid w:val="0BD677E4"/>
    <w:rsid w:val="0C271830"/>
    <w:rsid w:val="0CF72DF2"/>
    <w:rsid w:val="0D8A6296"/>
    <w:rsid w:val="0E520D9E"/>
    <w:rsid w:val="0E5E1CEC"/>
    <w:rsid w:val="0EB57882"/>
    <w:rsid w:val="0EE24E4B"/>
    <w:rsid w:val="0F5B1535"/>
    <w:rsid w:val="0FE22CD5"/>
    <w:rsid w:val="0FEA6F4E"/>
    <w:rsid w:val="0FF617C6"/>
    <w:rsid w:val="101D0E93"/>
    <w:rsid w:val="103053D3"/>
    <w:rsid w:val="1068105A"/>
    <w:rsid w:val="10DB5CE9"/>
    <w:rsid w:val="112445EA"/>
    <w:rsid w:val="113960CC"/>
    <w:rsid w:val="114A4701"/>
    <w:rsid w:val="11514DDE"/>
    <w:rsid w:val="120D7D54"/>
    <w:rsid w:val="127E44CB"/>
    <w:rsid w:val="13472C53"/>
    <w:rsid w:val="1348720E"/>
    <w:rsid w:val="134B585C"/>
    <w:rsid w:val="13A95498"/>
    <w:rsid w:val="13DA415E"/>
    <w:rsid w:val="13EA2F2D"/>
    <w:rsid w:val="15EC4D86"/>
    <w:rsid w:val="162A0E6A"/>
    <w:rsid w:val="16930D65"/>
    <w:rsid w:val="16D61723"/>
    <w:rsid w:val="1740526B"/>
    <w:rsid w:val="18A92904"/>
    <w:rsid w:val="19FD3E2C"/>
    <w:rsid w:val="1B491C41"/>
    <w:rsid w:val="1BA52E1E"/>
    <w:rsid w:val="1C54484D"/>
    <w:rsid w:val="1E032E67"/>
    <w:rsid w:val="1E0C5B52"/>
    <w:rsid w:val="1E1E4F79"/>
    <w:rsid w:val="1E65513D"/>
    <w:rsid w:val="1FBD4147"/>
    <w:rsid w:val="20674D1F"/>
    <w:rsid w:val="20F12E93"/>
    <w:rsid w:val="21515700"/>
    <w:rsid w:val="21BC2D7A"/>
    <w:rsid w:val="21D50943"/>
    <w:rsid w:val="220A2E6A"/>
    <w:rsid w:val="22545A75"/>
    <w:rsid w:val="23553D1B"/>
    <w:rsid w:val="23852EF1"/>
    <w:rsid w:val="23951E1D"/>
    <w:rsid w:val="24401254"/>
    <w:rsid w:val="24C43CE5"/>
    <w:rsid w:val="2513206A"/>
    <w:rsid w:val="25710473"/>
    <w:rsid w:val="25F91780"/>
    <w:rsid w:val="26457013"/>
    <w:rsid w:val="26F32740"/>
    <w:rsid w:val="27731819"/>
    <w:rsid w:val="27EC36E6"/>
    <w:rsid w:val="28DC3F59"/>
    <w:rsid w:val="2A6A38FA"/>
    <w:rsid w:val="2A716822"/>
    <w:rsid w:val="2AAF3E7B"/>
    <w:rsid w:val="2AC91A36"/>
    <w:rsid w:val="2B1A5FBB"/>
    <w:rsid w:val="2B5D6A3D"/>
    <w:rsid w:val="2B6E4C3A"/>
    <w:rsid w:val="2B861B79"/>
    <w:rsid w:val="2B9D6CE0"/>
    <w:rsid w:val="2BF1242A"/>
    <w:rsid w:val="2C3E2F8D"/>
    <w:rsid w:val="2CEF2574"/>
    <w:rsid w:val="2D702E31"/>
    <w:rsid w:val="2DA44895"/>
    <w:rsid w:val="2DDA43D8"/>
    <w:rsid w:val="2F2E260A"/>
    <w:rsid w:val="30530C90"/>
    <w:rsid w:val="306A72CA"/>
    <w:rsid w:val="30B91050"/>
    <w:rsid w:val="30E70A3F"/>
    <w:rsid w:val="317D79D5"/>
    <w:rsid w:val="31CF69DC"/>
    <w:rsid w:val="31D22AA9"/>
    <w:rsid w:val="31DE115B"/>
    <w:rsid w:val="33196A5F"/>
    <w:rsid w:val="332C00D6"/>
    <w:rsid w:val="33D15ED0"/>
    <w:rsid w:val="34AE4E51"/>
    <w:rsid w:val="35A11CA5"/>
    <w:rsid w:val="35B06739"/>
    <w:rsid w:val="35D972F8"/>
    <w:rsid w:val="36C32B8F"/>
    <w:rsid w:val="37996F25"/>
    <w:rsid w:val="37A91CDC"/>
    <w:rsid w:val="37D82774"/>
    <w:rsid w:val="382C4A0B"/>
    <w:rsid w:val="387007B9"/>
    <w:rsid w:val="395C14DF"/>
    <w:rsid w:val="39B649FE"/>
    <w:rsid w:val="39CD73EB"/>
    <w:rsid w:val="3A4A1CB2"/>
    <w:rsid w:val="3A6E1318"/>
    <w:rsid w:val="3A7618E5"/>
    <w:rsid w:val="3B2F328C"/>
    <w:rsid w:val="3BB241ED"/>
    <w:rsid w:val="3BBA33BD"/>
    <w:rsid w:val="3C4B7FBD"/>
    <w:rsid w:val="3C9562F5"/>
    <w:rsid w:val="3CA65218"/>
    <w:rsid w:val="3CD03A45"/>
    <w:rsid w:val="3D107DBA"/>
    <w:rsid w:val="3D673E1F"/>
    <w:rsid w:val="3D8C166B"/>
    <w:rsid w:val="3DA03F6C"/>
    <w:rsid w:val="3E382AD9"/>
    <w:rsid w:val="3E8900BD"/>
    <w:rsid w:val="3F7A4F3C"/>
    <w:rsid w:val="3F7C2851"/>
    <w:rsid w:val="405B278F"/>
    <w:rsid w:val="40650DCD"/>
    <w:rsid w:val="40AB3BE8"/>
    <w:rsid w:val="40E73B37"/>
    <w:rsid w:val="413C0E6F"/>
    <w:rsid w:val="41503348"/>
    <w:rsid w:val="41F04390"/>
    <w:rsid w:val="42957B16"/>
    <w:rsid w:val="42C1052A"/>
    <w:rsid w:val="42FA1C63"/>
    <w:rsid w:val="43260D47"/>
    <w:rsid w:val="43561376"/>
    <w:rsid w:val="43667CF8"/>
    <w:rsid w:val="441709A1"/>
    <w:rsid w:val="4436276D"/>
    <w:rsid w:val="444F7557"/>
    <w:rsid w:val="445E73B1"/>
    <w:rsid w:val="458A7D66"/>
    <w:rsid w:val="45A2229E"/>
    <w:rsid w:val="45A2455E"/>
    <w:rsid w:val="462A6302"/>
    <w:rsid w:val="46374CEA"/>
    <w:rsid w:val="4671332B"/>
    <w:rsid w:val="46E91CF8"/>
    <w:rsid w:val="474674CF"/>
    <w:rsid w:val="47975C19"/>
    <w:rsid w:val="48633C20"/>
    <w:rsid w:val="4886025C"/>
    <w:rsid w:val="48922976"/>
    <w:rsid w:val="48A51C70"/>
    <w:rsid w:val="48DF681D"/>
    <w:rsid w:val="48E22D2D"/>
    <w:rsid w:val="4904307D"/>
    <w:rsid w:val="492412FE"/>
    <w:rsid w:val="493C1756"/>
    <w:rsid w:val="494505B0"/>
    <w:rsid w:val="494717BE"/>
    <w:rsid w:val="49FF2180"/>
    <w:rsid w:val="4A33079C"/>
    <w:rsid w:val="4A5C1C70"/>
    <w:rsid w:val="4A840D27"/>
    <w:rsid w:val="4AF708AB"/>
    <w:rsid w:val="4B043288"/>
    <w:rsid w:val="4BA8782D"/>
    <w:rsid w:val="4BAF6BCC"/>
    <w:rsid w:val="4BD225EB"/>
    <w:rsid w:val="4BFD6935"/>
    <w:rsid w:val="4CD51E95"/>
    <w:rsid w:val="4E8F0694"/>
    <w:rsid w:val="4F0E4DD1"/>
    <w:rsid w:val="4FD751AA"/>
    <w:rsid w:val="50BB43AE"/>
    <w:rsid w:val="51381097"/>
    <w:rsid w:val="5157299F"/>
    <w:rsid w:val="526041CF"/>
    <w:rsid w:val="532D0BEB"/>
    <w:rsid w:val="53877722"/>
    <w:rsid w:val="54200D37"/>
    <w:rsid w:val="54410C83"/>
    <w:rsid w:val="544414DC"/>
    <w:rsid w:val="54447041"/>
    <w:rsid w:val="556B48E1"/>
    <w:rsid w:val="556D4576"/>
    <w:rsid w:val="557E19FB"/>
    <w:rsid w:val="5666279B"/>
    <w:rsid w:val="56C46B46"/>
    <w:rsid w:val="56FA5483"/>
    <w:rsid w:val="57144222"/>
    <w:rsid w:val="571A3089"/>
    <w:rsid w:val="571B6CCF"/>
    <w:rsid w:val="589A17E8"/>
    <w:rsid w:val="58C81A2F"/>
    <w:rsid w:val="59186D49"/>
    <w:rsid w:val="592D7EBC"/>
    <w:rsid w:val="598A51FE"/>
    <w:rsid w:val="5A1A0ACF"/>
    <w:rsid w:val="5A311F31"/>
    <w:rsid w:val="5A5B2F40"/>
    <w:rsid w:val="5B290D37"/>
    <w:rsid w:val="5B4F5CEF"/>
    <w:rsid w:val="5B541CCB"/>
    <w:rsid w:val="5BE84974"/>
    <w:rsid w:val="5BFA48B6"/>
    <w:rsid w:val="5C743393"/>
    <w:rsid w:val="5C8D2126"/>
    <w:rsid w:val="5CB971AE"/>
    <w:rsid w:val="5CC44ED2"/>
    <w:rsid w:val="5CE82AAC"/>
    <w:rsid w:val="5D417392"/>
    <w:rsid w:val="5DE11AD5"/>
    <w:rsid w:val="5E143B1E"/>
    <w:rsid w:val="5E444C81"/>
    <w:rsid w:val="5FCE0AF6"/>
    <w:rsid w:val="60991A0D"/>
    <w:rsid w:val="60A44C28"/>
    <w:rsid w:val="613C6EDC"/>
    <w:rsid w:val="615A41E6"/>
    <w:rsid w:val="61E14408"/>
    <w:rsid w:val="61FE0E14"/>
    <w:rsid w:val="623940AD"/>
    <w:rsid w:val="628D1544"/>
    <w:rsid w:val="62CC4063"/>
    <w:rsid w:val="62D35C05"/>
    <w:rsid w:val="62DE6C26"/>
    <w:rsid w:val="634A234A"/>
    <w:rsid w:val="636467D4"/>
    <w:rsid w:val="63A25979"/>
    <w:rsid w:val="63A7189A"/>
    <w:rsid w:val="646105E0"/>
    <w:rsid w:val="64722A87"/>
    <w:rsid w:val="64BC28D6"/>
    <w:rsid w:val="65052576"/>
    <w:rsid w:val="65DE5E07"/>
    <w:rsid w:val="664B56C2"/>
    <w:rsid w:val="66A52173"/>
    <w:rsid w:val="66B15D46"/>
    <w:rsid w:val="670D0C1A"/>
    <w:rsid w:val="674F4911"/>
    <w:rsid w:val="67B630BA"/>
    <w:rsid w:val="6832156D"/>
    <w:rsid w:val="689E15B0"/>
    <w:rsid w:val="68DB2765"/>
    <w:rsid w:val="68EC14C9"/>
    <w:rsid w:val="691B0BA5"/>
    <w:rsid w:val="69431305"/>
    <w:rsid w:val="69656604"/>
    <w:rsid w:val="6A1A18CD"/>
    <w:rsid w:val="6A7149AE"/>
    <w:rsid w:val="6A7774B8"/>
    <w:rsid w:val="6B773A93"/>
    <w:rsid w:val="6BDC771A"/>
    <w:rsid w:val="6BEB0C0F"/>
    <w:rsid w:val="6CDF7BE6"/>
    <w:rsid w:val="6CE93C96"/>
    <w:rsid w:val="6CEA0BB5"/>
    <w:rsid w:val="6D2D5C8A"/>
    <w:rsid w:val="6D5A2BB1"/>
    <w:rsid w:val="6DC2041E"/>
    <w:rsid w:val="6E3B3669"/>
    <w:rsid w:val="6E5540F3"/>
    <w:rsid w:val="6E9454F1"/>
    <w:rsid w:val="6ED639E8"/>
    <w:rsid w:val="6F001C2C"/>
    <w:rsid w:val="6F2B0257"/>
    <w:rsid w:val="6F5F686C"/>
    <w:rsid w:val="6FE0425B"/>
    <w:rsid w:val="702B386A"/>
    <w:rsid w:val="70664497"/>
    <w:rsid w:val="716D06FC"/>
    <w:rsid w:val="71A662E1"/>
    <w:rsid w:val="72151A00"/>
    <w:rsid w:val="725C677C"/>
    <w:rsid w:val="72FB6C32"/>
    <w:rsid w:val="73207978"/>
    <w:rsid w:val="73C12A3F"/>
    <w:rsid w:val="73DF23E2"/>
    <w:rsid w:val="73FB1F1D"/>
    <w:rsid w:val="743C54F7"/>
    <w:rsid w:val="746630DA"/>
    <w:rsid w:val="74F211FB"/>
    <w:rsid w:val="75295258"/>
    <w:rsid w:val="757A1C0A"/>
    <w:rsid w:val="761633FA"/>
    <w:rsid w:val="763149BF"/>
    <w:rsid w:val="76404C20"/>
    <w:rsid w:val="768D53A7"/>
    <w:rsid w:val="76AC6C37"/>
    <w:rsid w:val="76C76C4E"/>
    <w:rsid w:val="77C92594"/>
    <w:rsid w:val="77F11AD5"/>
    <w:rsid w:val="781D2FE5"/>
    <w:rsid w:val="78AB3B83"/>
    <w:rsid w:val="78C94195"/>
    <w:rsid w:val="78CB7529"/>
    <w:rsid w:val="78E42C17"/>
    <w:rsid w:val="79B003D4"/>
    <w:rsid w:val="79C330DF"/>
    <w:rsid w:val="79F74F54"/>
    <w:rsid w:val="7A03105A"/>
    <w:rsid w:val="7A49604F"/>
    <w:rsid w:val="7ACC2383"/>
    <w:rsid w:val="7BE41C3E"/>
    <w:rsid w:val="7C4176DD"/>
    <w:rsid w:val="7C6F6779"/>
    <w:rsid w:val="7D634FBE"/>
    <w:rsid w:val="7D763EFA"/>
    <w:rsid w:val="7D9E4538"/>
    <w:rsid w:val="7DB82A92"/>
    <w:rsid w:val="7DDC053F"/>
    <w:rsid w:val="7E245CEB"/>
    <w:rsid w:val="7EAE20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eastAsia="宋体" w:asciiTheme="minorAscii" w:hAnsiTheme="minorAscii" w:cstheme="minorBidi"/>
      <w:kern w:val="2"/>
      <w:sz w:val="24"/>
      <w:szCs w:val="24"/>
      <w:lang w:val="en-US" w:eastAsia="zh-CN" w:bidi="ar-SA"/>
    </w:rPr>
  </w:style>
  <w:style w:type="paragraph" w:styleId="7">
    <w:name w:val="heading 1"/>
    <w:basedOn w:val="1"/>
    <w:next w:val="1"/>
    <w:link w:val="27"/>
    <w:qFormat/>
    <w:uiPriority w:val="0"/>
    <w:pPr>
      <w:keepNext/>
      <w:keepLines/>
      <w:spacing w:before="100" w:beforeLines="100" w:line="360" w:lineRule="auto"/>
      <w:ind w:firstLine="0" w:firstLineChars="0"/>
      <w:jc w:val="center"/>
      <w:outlineLvl w:val="0"/>
    </w:pPr>
    <w:rPr>
      <w:rFonts w:eastAsia="黑体" w:cstheme="minorBidi"/>
      <w:kern w:val="44"/>
      <w:sz w:val="36"/>
      <w:szCs w:val="30"/>
      <w:lang w:eastAsia="zh-CN" w:bidi="ar-SA"/>
    </w:rPr>
  </w:style>
  <w:style w:type="paragraph" w:styleId="8">
    <w:name w:val="heading 2"/>
    <w:basedOn w:val="1"/>
    <w:next w:val="1"/>
    <w:link w:val="30"/>
    <w:semiHidden/>
    <w:unhideWhenUsed/>
    <w:qFormat/>
    <w:uiPriority w:val="0"/>
    <w:pPr>
      <w:keepNext/>
      <w:keepLines/>
      <w:spacing w:before="100" w:beforeLines="100" w:beforeAutospacing="0" w:afterLines="0" w:afterAutospacing="0" w:line="360" w:lineRule="auto"/>
      <w:ind w:firstLine="0" w:firstLineChars="0"/>
      <w:outlineLvl w:val="1"/>
    </w:pPr>
    <w:rPr>
      <w:rFonts w:ascii="Times New Roman" w:hAnsi="Times New Roman" w:eastAsia="黑体" w:cstheme="minorBidi"/>
      <w:kern w:val="2"/>
      <w:sz w:val="32"/>
      <w:szCs w:val="28"/>
      <w:lang w:eastAsia="zh-CN" w:bidi="ar-SA"/>
    </w:rPr>
  </w:style>
  <w:style w:type="paragraph" w:styleId="9">
    <w:name w:val="heading 3"/>
    <w:basedOn w:val="1"/>
    <w:next w:val="1"/>
    <w:link w:val="31"/>
    <w:semiHidden/>
    <w:unhideWhenUsed/>
    <w:qFormat/>
    <w:uiPriority w:val="0"/>
    <w:pPr>
      <w:keepNext/>
      <w:keepLines/>
      <w:spacing w:before="50" w:beforeLines="50" w:beforeAutospacing="0" w:afterLines="0" w:afterAutospacing="0" w:line="360" w:lineRule="auto"/>
      <w:ind w:firstLine="0" w:firstLineChars="0"/>
      <w:outlineLvl w:val="2"/>
    </w:pPr>
    <w:rPr>
      <w:rFonts w:ascii="Times New Roman" w:hAnsi="Times New Roman" w:eastAsia="黑体" w:cs="Times New Roman"/>
      <w:kern w:val="2"/>
      <w:sz w:val="30"/>
      <w:lang w:eastAsia="zh-CN" w:bidi="ar-SA"/>
    </w:rPr>
  </w:style>
  <w:style w:type="paragraph" w:styleId="10">
    <w:name w:val="heading 4"/>
    <w:basedOn w:val="1"/>
    <w:next w:val="1"/>
    <w:semiHidden/>
    <w:unhideWhenUsed/>
    <w:qFormat/>
    <w:uiPriority w:val="0"/>
    <w:pPr>
      <w:keepNext/>
      <w:keepLines/>
      <w:spacing w:before="200" w:beforeLines="0" w:beforeAutospacing="0" w:after="200" w:afterLines="0" w:afterAutospacing="0" w:line="240" w:lineRule="auto"/>
      <w:ind w:firstLine="0" w:firstLineChars="0"/>
      <w:outlineLvl w:val="3"/>
    </w:pPr>
    <w:rPr>
      <w:rFonts w:ascii="Times New Roman" w:hAnsi="Times New Roman" w:eastAsia="黑体" w:cs="Times New Roman"/>
    </w:rPr>
  </w:style>
  <w:style w:type="paragraph" w:styleId="11">
    <w:name w:val="heading 5"/>
    <w:basedOn w:val="1"/>
    <w:next w:val="1"/>
    <w:semiHidden/>
    <w:unhideWhenUsed/>
    <w:qFormat/>
    <w:uiPriority w:val="0"/>
    <w:pPr>
      <w:keepNext/>
      <w:keepLines/>
      <w:spacing w:beforeLines="0" w:beforeAutospacing="0" w:afterLines="0" w:afterAutospacing="0" w:line="440" w:lineRule="exact"/>
      <w:ind w:firstLine="0" w:firstLineChars="0"/>
      <w:jc w:val="left"/>
      <w:outlineLvl w:val="4"/>
    </w:pPr>
    <w:rPr>
      <w:rFonts w:ascii="Times New Roman" w:hAnsi="Times New Roman"/>
      <w:szCs w:val="22"/>
    </w:rPr>
  </w:style>
  <w:style w:type="character" w:default="1" w:styleId="23">
    <w:name w:val="Default Paragraph Font"/>
    <w:semiHidden/>
    <w:qFormat/>
    <w:uiPriority w:val="0"/>
  </w:style>
  <w:style w:type="table" w:default="1" w:styleId="21">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spacing w:after="120" w:afterLines="0" w:afterAutospacing="0"/>
      <w:ind w:left="420" w:leftChars="200"/>
    </w:pPr>
  </w:style>
  <w:style w:type="paragraph" w:styleId="4">
    <w:name w:val="Body Text First Indent"/>
    <w:basedOn w:val="5"/>
    <w:next w:val="1"/>
    <w:qFormat/>
    <w:uiPriority w:val="0"/>
    <w:pPr>
      <w:ind w:firstLine="420" w:firstLineChars="100"/>
    </w:pPr>
  </w:style>
  <w:style w:type="paragraph" w:styleId="5">
    <w:name w:val="Body Text"/>
    <w:basedOn w:val="1"/>
    <w:next w:val="6"/>
    <w:qFormat/>
    <w:uiPriority w:val="99"/>
    <w:pPr>
      <w:spacing w:after="120"/>
    </w:p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12">
    <w:name w:val="Normal Indent"/>
    <w:basedOn w:val="1"/>
    <w:next w:val="2"/>
    <w:qFormat/>
    <w:uiPriority w:val="99"/>
    <w:pPr>
      <w:ind w:firstLine="420" w:firstLineChars="200"/>
    </w:pPr>
  </w:style>
  <w:style w:type="paragraph" w:styleId="13">
    <w:name w:val="annotation text"/>
    <w:basedOn w:val="1"/>
    <w:qFormat/>
    <w:uiPriority w:val="99"/>
    <w:pPr>
      <w:jc w:val="left"/>
    </w:pPr>
  </w:style>
  <w:style w:type="paragraph" w:styleId="14">
    <w:name w:val="Plain Text"/>
    <w:basedOn w:val="1"/>
    <w:qFormat/>
    <w:uiPriority w:val="0"/>
    <w:rPr>
      <w:rFonts w:ascii="宋体" w:hAnsi="Courier New" w:cs="Courier New"/>
      <w:szCs w:val="21"/>
    </w:rPr>
  </w:style>
  <w:style w:type="paragraph" w:styleId="15">
    <w:name w:val="Body Text Indent 2"/>
    <w:basedOn w:val="1"/>
    <w:qFormat/>
    <w:uiPriority w:val="99"/>
    <w:pPr>
      <w:spacing w:after="120" w:line="480" w:lineRule="auto"/>
      <w:ind w:left="420" w:leftChars="200"/>
    </w:pPr>
  </w:style>
  <w:style w:type="paragraph" w:styleId="16">
    <w:name w:val="footer"/>
    <w:basedOn w:val="1"/>
    <w:unhideWhenUsed/>
    <w:qFormat/>
    <w:uiPriority w:val="99"/>
    <w:pPr>
      <w:tabs>
        <w:tab w:val="center" w:pos="4153"/>
        <w:tab w:val="right" w:pos="8306"/>
      </w:tabs>
      <w:snapToGrid w:val="0"/>
      <w:spacing w:beforeLines="0" w:afterLines="0"/>
      <w:jc w:val="left"/>
    </w:pPr>
    <w:rPr>
      <w:rFonts w:hint="default"/>
      <w:kern w:val="0"/>
      <w:sz w:val="18"/>
      <w:szCs w:val="24"/>
    </w:rPr>
  </w:style>
  <w:style w:type="paragraph" w:styleId="1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8">
    <w:name w:val="List"/>
    <w:basedOn w:val="1"/>
    <w:unhideWhenUsed/>
    <w:qFormat/>
    <w:uiPriority w:val="99"/>
    <w:pPr>
      <w:ind w:left="200" w:hanging="200" w:hangingChars="200"/>
    </w:pPr>
    <w:rPr>
      <w:szCs w:val="21"/>
    </w:rPr>
  </w:style>
  <w:style w:type="paragraph" w:styleId="19">
    <w:name w:val="Body Text 2"/>
    <w:basedOn w:val="1"/>
    <w:qFormat/>
    <w:uiPriority w:val="99"/>
    <w:pPr>
      <w:spacing w:after="120" w:line="480" w:lineRule="auto"/>
    </w:pPr>
  </w:style>
  <w:style w:type="paragraph" w:styleId="20">
    <w:name w:val="Normal (Web)"/>
    <w:basedOn w:val="1"/>
    <w:unhideWhenUsed/>
    <w:qFormat/>
    <w:uiPriority w:val="0"/>
    <w:pPr>
      <w:widowControl/>
      <w:spacing w:before="100" w:beforeLines="0" w:beforeAutospacing="1" w:after="100" w:afterLines="0" w:afterAutospacing="1"/>
      <w:jc w:val="left"/>
    </w:pPr>
    <w:rPr>
      <w:rFonts w:hint="eastAsia" w:ascii="宋体" w:hAnsi="宋体" w:eastAsia="宋体"/>
      <w:kern w:val="0"/>
      <w:sz w:val="24"/>
      <w:szCs w:val="24"/>
    </w:rPr>
  </w:style>
  <w:style w:type="table" w:styleId="22">
    <w:name w:val="Table Grid"/>
    <w:basedOn w:val="21"/>
    <w:unhideWhenUsed/>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4">
    <w:name w:val="page number"/>
    <w:basedOn w:val="23"/>
    <w:unhideWhenUsed/>
    <w:qFormat/>
    <w:uiPriority w:val="0"/>
    <w:rPr>
      <w:rFonts w:hint="default"/>
      <w:sz w:val="24"/>
      <w:szCs w:val="24"/>
    </w:rPr>
  </w:style>
  <w:style w:type="character" w:styleId="25">
    <w:name w:val="annotation reference"/>
    <w:basedOn w:val="23"/>
    <w:qFormat/>
    <w:uiPriority w:val="99"/>
    <w:rPr>
      <w:rFonts w:cs="Times New Roman"/>
      <w:sz w:val="21"/>
      <w:szCs w:val="21"/>
    </w:rPr>
  </w:style>
  <w:style w:type="paragraph" w:customStyle="1" w:styleId="26">
    <w:name w:val="Default"/>
    <w:qFormat/>
    <w:uiPriority w:val="0"/>
    <w:pPr>
      <w:widowControl w:val="0"/>
      <w:autoSpaceDE w:val="0"/>
      <w:autoSpaceDN w:val="0"/>
      <w:adjustRightInd w:val="0"/>
    </w:pPr>
    <w:rPr>
      <w:rFonts w:ascii="ILPZD C+ T T 4 B B 2o 00" w:hAnsi="Calibri" w:eastAsia="ILPZD C+ T T 4 B B 2o 00" w:cs="Times New Roman"/>
      <w:color w:val="000000"/>
      <w:sz w:val="24"/>
      <w:szCs w:val="24"/>
      <w:lang w:val="en-US" w:eastAsia="zh-CN" w:bidi="ar-SA"/>
    </w:rPr>
  </w:style>
  <w:style w:type="character" w:customStyle="1" w:styleId="27">
    <w:name w:val="标题 1 Char"/>
    <w:link w:val="7"/>
    <w:qFormat/>
    <w:uiPriority w:val="9"/>
    <w:rPr>
      <w:rFonts w:ascii="Times New Roman" w:hAnsi="Times New Roman" w:eastAsia="黑体" w:cstheme="minorBidi"/>
      <w:kern w:val="44"/>
      <w:sz w:val="36"/>
      <w:szCs w:val="30"/>
      <w:lang w:eastAsia="zh-CN" w:bidi="ar-SA"/>
    </w:rPr>
  </w:style>
  <w:style w:type="paragraph" w:customStyle="1" w:styleId="28">
    <w:name w:val="表格、图片文字"/>
    <w:basedOn w:val="1"/>
    <w:qFormat/>
    <w:uiPriority w:val="0"/>
    <w:pPr>
      <w:ind w:firstLine="0" w:firstLineChars="0"/>
      <w:jc w:val="center"/>
    </w:pPr>
    <w:rPr>
      <w:rFonts w:ascii="Times New Roman" w:hAnsi="Times New Roman" w:eastAsia="宋体"/>
      <w:b/>
      <w:color w:val="000000"/>
      <w:szCs w:val="24"/>
    </w:rPr>
  </w:style>
  <w:style w:type="paragraph" w:customStyle="1" w:styleId="29">
    <w:name w:val="表格文字"/>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character" w:customStyle="1" w:styleId="30">
    <w:name w:val="标题 2 Char"/>
    <w:link w:val="8"/>
    <w:qFormat/>
    <w:uiPriority w:val="0"/>
    <w:rPr>
      <w:rFonts w:hint="default" w:ascii="Times New Roman" w:hAnsi="Times New Roman" w:eastAsia="黑体" w:cstheme="minorBidi"/>
      <w:kern w:val="2"/>
      <w:sz w:val="32"/>
      <w:szCs w:val="32"/>
      <w:lang w:eastAsia="zh-CN" w:bidi="ar-SA"/>
    </w:rPr>
  </w:style>
  <w:style w:type="character" w:customStyle="1" w:styleId="31">
    <w:name w:val="标题 3 Char"/>
    <w:link w:val="9"/>
    <w:qFormat/>
    <w:uiPriority w:val="0"/>
    <w:rPr>
      <w:rFonts w:ascii="Times New Roman" w:hAnsi="Times New Roman" w:eastAsia="黑体" w:cs="Times New Roman"/>
      <w:kern w:val="2"/>
      <w:sz w:val="30"/>
      <w:szCs w:val="32"/>
      <w:lang w:eastAsia="zh-CN" w:bidi="ar-SA"/>
    </w:rPr>
  </w:style>
  <w:style w:type="paragraph" w:customStyle="1" w:styleId="32">
    <w:name w:val="图片、表格标题"/>
    <w:qFormat/>
    <w:uiPriority w:val="0"/>
    <w:pPr>
      <w:ind w:leftChars="0"/>
      <w:jc w:val="center"/>
    </w:pPr>
    <w:rPr>
      <w:rFonts w:ascii="Times New Roman" w:hAnsi="Times New Roman" w:eastAsia="宋体" w:cs="Times New Roman"/>
      <w:sz w:val="24"/>
      <w:szCs w:val="24"/>
    </w:rPr>
  </w:style>
  <w:style w:type="paragraph" w:customStyle="1" w:styleId="33">
    <w:name w:val="表格首行两字符"/>
    <w:basedOn w:val="34"/>
    <w:qFormat/>
    <w:uiPriority w:val="0"/>
    <w:pPr>
      <w:spacing w:line="240" w:lineRule="auto"/>
      <w:ind w:firstLine="920" w:firstLineChars="200"/>
      <w:jc w:val="both"/>
    </w:pPr>
    <w:rPr>
      <w:rFonts w:ascii="Times New Roman" w:hAnsi="Times New Roman"/>
    </w:rPr>
  </w:style>
  <w:style w:type="paragraph" w:customStyle="1" w:styleId="34">
    <w:name w:val="表格居中对齐"/>
    <w:qFormat/>
    <w:uiPriority w:val="0"/>
    <w:pPr>
      <w:widowControl w:val="0"/>
      <w:adjustRightInd w:val="0"/>
      <w:spacing w:line="240" w:lineRule="auto"/>
      <w:jc w:val="center"/>
      <w:textAlignment w:val="baseline"/>
    </w:pPr>
    <w:rPr>
      <w:rFonts w:ascii="Times New Roman" w:hAnsi="Times New Roman" w:eastAsia="宋体" w:cs="Times New Roman"/>
      <w:kern w:val="2"/>
      <w:sz w:val="21"/>
      <w:szCs w:val="21"/>
      <w:lang w:val="en-US" w:eastAsia="zh-CN" w:bidi="ar-SA"/>
    </w:rPr>
  </w:style>
  <w:style w:type="paragraph" w:customStyle="1" w:styleId="35">
    <w:name w:val="表头"/>
    <w:basedOn w:val="18"/>
    <w:next w:val="1"/>
    <w:qFormat/>
    <w:uiPriority w:val="0"/>
    <w:pPr>
      <w:spacing w:line="360" w:lineRule="auto"/>
      <w:ind w:firstLine="0" w:firstLineChars="0"/>
      <w:jc w:val="center"/>
    </w:pPr>
    <w:rPr>
      <w:rFonts w:ascii="Times New Roman" w:hAnsi="Times New Roman" w:eastAsia="黑体"/>
      <w:kern w:val="2"/>
      <w:lang w:eastAsia="zh-CN" w:bidi="ar-SA"/>
    </w:rPr>
  </w:style>
  <w:style w:type="paragraph" w:customStyle="1" w:styleId="36">
    <w:name w:val="表格"/>
    <w:basedOn w:val="1"/>
    <w:next w:val="1"/>
    <w:unhideWhenUsed/>
    <w:qFormat/>
    <w:uiPriority w:val="0"/>
    <w:pPr>
      <w:adjustRightInd w:val="0"/>
      <w:snapToGrid w:val="0"/>
      <w:spacing w:beforeLines="10" w:afterLines="10" w:line="259" w:lineRule="auto"/>
      <w:jc w:val="center"/>
    </w:pPr>
    <w:rPr>
      <w:rFonts w:hint="eastAsia" w:ascii="宋体" w:hAnsi="Times New Roman" w:eastAsia="宋体"/>
      <w:kern w:val="0"/>
      <w:sz w:val="21"/>
      <w:szCs w:val="24"/>
    </w:rPr>
  </w:style>
  <w:style w:type="paragraph" w:customStyle="1" w:styleId="37">
    <w:name w:val="样式 正文缩进正文缩进2正文缩进 Char Char正文缩进 Char Char Char Char正文缩进 Char ..."/>
    <w:basedOn w:val="12"/>
    <w:qFormat/>
    <w:uiPriority w:val="0"/>
    <w:pPr>
      <w:spacing w:line="360" w:lineRule="auto"/>
      <w:ind w:firstLine="200"/>
    </w:pPr>
    <w:rPr>
      <w:rFonts w:cs="宋体"/>
      <w:sz w:val="24"/>
    </w:rPr>
  </w:style>
  <w:style w:type="paragraph" w:customStyle="1" w:styleId="38">
    <w:name w:val="列出段落1"/>
    <w:basedOn w:val="1"/>
    <w:qFormat/>
    <w:uiPriority w:val="99"/>
    <w:pPr>
      <w:ind w:firstLine="420" w:firstLineChars="200"/>
    </w:pPr>
    <w:rPr>
      <w:rFonts w:ascii="Calibri" w:hAnsi="Calibri"/>
      <w:sz w:val="28"/>
      <w:szCs w:val="22"/>
    </w:rPr>
  </w:style>
  <w:style w:type="paragraph" w:customStyle="1" w:styleId="39">
    <w:name w:val="Table Paragraph"/>
    <w:basedOn w:val="1"/>
    <w:qFormat/>
    <w:uiPriority w:val="1"/>
  </w:style>
  <w:style w:type="paragraph" w:customStyle="1" w:styleId="40">
    <w:name w:val="表格居中"/>
    <w:basedOn w:val="1"/>
    <w:qFormat/>
    <w:uiPriority w:val="0"/>
    <w:pPr>
      <w:spacing w:line="240" w:lineRule="auto"/>
      <w:jc w:val="center"/>
    </w:pPr>
    <w:rPr>
      <w:rFonts w:ascii="Calibri" w:hAnsi="Calibri" w:cs="Times New Roman"/>
    </w:rPr>
  </w:style>
  <w:style w:type="paragraph" w:customStyle="1" w:styleId="41">
    <w:name w:val="表内容"/>
    <w:basedOn w:val="1"/>
    <w:next w:val="1"/>
    <w:qFormat/>
    <w:uiPriority w:val="0"/>
    <w:pPr>
      <w:spacing w:line="0" w:lineRule="atLeast"/>
      <w:ind w:firstLine="0" w:firstLineChars="0"/>
      <w:jc w:val="center"/>
    </w:pPr>
    <w:rPr>
      <w:rFonts w:eastAsia="宋体"/>
      <w:sz w:val="21"/>
    </w:rPr>
  </w:style>
  <w:style w:type="table" w:customStyle="1" w:styleId="42">
    <w:name w:val="网格型12"/>
    <w:basedOn w:val="21"/>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3">
    <w:name w:val="网格型11"/>
    <w:basedOn w:val="21"/>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4">
    <w:name w:val="1正文"/>
    <w:basedOn w:val="1"/>
    <w:qFormat/>
    <w:uiPriority w:val="99"/>
    <w:pPr>
      <w:ind w:firstLine="198" w:firstLineChars="200"/>
    </w:pPr>
    <w:rPr>
      <w:sz w:val="24"/>
    </w:rPr>
  </w:style>
  <w:style w:type="paragraph" w:customStyle="1" w:styleId="45">
    <w:name w:val="Other|1"/>
    <w:basedOn w:val="1"/>
    <w:qFormat/>
    <w:uiPriority w:val="0"/>
    <w:pPr>
      <w:widowControl w:val="0"/>
      <w:shd w:val="clear" w:color="auto" w:fill="auto"/>
      <w:spacing w:line="427" w:lineRule="auto"/>
      <w:ind w:firstLine="400"/>
    </w:pPr>
    <w:rPr>
      <w:rFonts w:ascii="宋体" w:hAnsi="宋体" w:eastAsia="宋体" w:cs="宋体"/>
      <w:sz w:val="22"/>
      <w:szCs w:val="22"/>
      <w:u w:val="none"/>
      <w:shd w:val="clear" w:color="auto" w:fill="auto"/>
      <w:lang w:val="zh-TW" w:eastAsia="zh-TW" w:bidi="zh-TW"/>
    </w:rPr>
  </w:style>
  <w:style w:type="paragraph" w:customStyle="1" w:styleId="46">
    <w:name w:val="正文1"/>
    <w:basedOn w:val="1"/>
    <w:qFormat/>
    <w:uiPriority w:val="0"/>
    <w:pPr>
      <w:adjustRightInd w:val="0"/>
      <w:snapToGrid w:val="0"/>
      <w:spacing w:line="480" w:lineRule="exact"/>
      <w:ind w:firstLine="200" w:firstLineChars="200"/>
    </w:pPr>
    <w:rPr>
      <w:snapToGrid w:val="0"/>
      <w:sz w:val="24"/>
      <w:szCs w:val="20"/>
    </w:rPr>
  </w:style>
  <w:style w:type="paragraph" w:customStyle="1" w:styleId="47">
    <w:name w:val="地理段落"/>
    <w:basedOn w:val="1"/>
    <w:qFormat/>
    <w:uiPriority w:val="0"/>
    <w:pPr>
      <w:adjustRightInd w:val="0"/>
      <w:snapToGrid w:val="0"/>
      <w:spacing w:line="360" w:lineRule="auto"/>
      <w:ind w:firstLine="200" w:firstLineChars="200"/>
    </w:pPr>
    <w:rPr>
      <w:rFonts w:ascii="仿宋_GB2312" w:eastAsia="仿宋_GB2312"/>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5.jpeg"/><Relationship Id="rId22" Type="http://schemas.openxmlformats.org/officeDocument/2006/relationships/image" Target="media/image14.jpeg"/><Relationship Id="rId21" Type="http://schemas.openxmlformats.org/officeDocument/2006/relationships/image" Target="media/image13.jpeg"/><Relationship Id="rId20" Type="http://schemas.openxmlformats.org/officeDocument/2006/relationships/image" Target="media/image12.jpeg"/><Relationship Id="rId2" Type="http://schemas.openxmlformats.org/officeDocument/2006/relationships/settings" Target="settings.xml"/><Relationship Id="rId19" Type="http://schemas.openxmlformats.org/officeDocument/2006/relationships/image" Target="media/image11.jpe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emf"/><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12255</Words>
  <Characters>13941</Characters>
  <Lines>0</Lines>
  <Paragraphs>0</Paragraphs>
  <TotalTime>0</TotalTime>
  <ScaleCrop>false</ScaleCrop>
  <LinksUpToDate>false</LinksUpToDate>
  <CharactersWithSpaces>14061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2020-05-25T01:09:00Z</dcterms:created>
  <dc:creator>Administrator</dc:creator>
  <cp:lastModifiedBy>勋有千千结</cp:lastModifiedBy>
  <dcterms:modified xsi:type="dcterms:W3CDTF">2023-04-26T08:34:23Z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F0E4DE5ED7BB4EC4B0A5DA83695A134C</vt:lpwstr>
  </property>
  <property fmtid="{D5CDD505-2E9C-101B-9397-08002B2CF9AE}" pid="4" name="KSOSaveFontToCloudKey">
    <vt:lpwstr>289212702_cloud</vt:lpwstr>
  </property>
  <property fmtid="{D5CDD505-2E9C-101B-9397-08002B2CF9AE}" pid="5" name="commondata">
    <vt:lpwstr>eyJoZGlkIjoiZjM2NzE3ZGZhNzRlMDkzZGU1ZjUxOWRkNGViY2Q1NTgifQ==</vt:lpwstr>
  </property>
</Properties>
</file>