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b/>
          <w:bCs/>
          <w:color w:val="auto"/>
          <w:sz w:val="32"/>
          <w:szCs w:val="32"/>
        </w:rPr>
      </w:pPr>
      <w:bookmarkStart w:id="0" w:name="_Hlk124747957"/>
    </w:p>
    <w:p>
      <w:pPr>
        <w:adjustRightInd w:val="0"/>
        <w:snapToGrid w:val="0"/>
        <w:spacing w:line="360" w:lineRule="auto"/>
        <w:jc w:val="center"/>
        <w:rPr>
          <w:b/>
          <w:bCs/>
          <w:color w:val="auto"/>
          <w:sz w:val="32"/>
          <w:szCs w:val="32"/>
        </w:rPr>
      </w:pPr>
    </w:p>
    <w:p>
      <w:pPr>
        <w:pStyle w:val="2"/>
        <w:rPr>
          <w:b/>
          <w:bCs/>
          <w:color w:val="auto"/>
          <w:sz w:val="32"/>
          <w:szCs w:val="32"/>
        </w:rPr>
      </w:pPr>
    </w:p>
    <w:p>
      <w:pPr>
        <w:rPr>
          <w:b/>
          <w:bCs/>
          <w:color w:val="auto"/>
          <w:sz w:val="32"/>
          <w:szCs w:val="32"/>
        </w:rPr>
      </w:pPr>
    </w:p>
    <w:p>
      <w:pPr>
        <w:pStyle w:val="2"/>
        <w:rPr>
          <w:b/>
          <w:bCs/>
          <w:color w:val="auto"/>
          <w:sz w:val="32"/>
          <w:szCs w:val="32"/>
        </w:rPr>
      </w:pPr>
    </w:p>
    <w:p>
      <w:pPr>
        <w:pStyle w:val="2"/>
        <w:ind w:left="0" w:leftChars="0" w:firstLine="0" w:firstLineChars="0"/>
        <w:rPr>
          <w:b/>
          <w:bCs/>
          <w:color w:val="auto"/>
          <w:sz w:val="32"/>
          <w:szCs w:val="32"/>
        </w:rPr>
      </w:pPr>
    </w:p>
    <w:p>
      <w:pPr>
        <w:rPr>
          <w:color w:val="auto"/>
        </w:rPr>
      </w:pPr>
    </w:p>
    <w:p>
      <w:pPr>
        <w:pStyle w:val="2"/>
        <w:rPr>
          <w:color w:val="auto"/>
        </w:rPr>
      </w:pPr>
    </w:p>
    <w:p>
      <w:pPr>
        <w:rPr>
          <w:color w:val="auto"/>
        </w:rPr>
      </w:pPr>
    </w:p>
    <w:p>
      <w:pPr>
        <w:autoSpaceDE w:val="0"/>
        <w:autoSpaceDN w:val="0"/>
        <w:adjustRightInd w:val="0"/>
        <w:snapToGrid w:val="0"/>
        <w:spacing w:line="560" w:lineRule="exact"/>
        <w:jc w:val="center"/>
        <w:rPr>
          <w:rFonts w:ascii="仿宋_GB2312" w:hAnsi="Times New Roman" w:eastAsia="仿宋_GB2312" w:cs="Arial"/>
          <w:color w:val="auto"/>
          <w:sz w:val="32"/>
          <w:szCs w:val="32"/>
          <w:lang w:bidi="en-US"/>
        </w:rPr>
      </w:pPr>
      <w:r>
        <w:rPr>
          <w:rFonts w:hint="eastAsia" w:ascii="仿宋_GB2312" w:hAnsi="Times New Roman" w:eastAsia="仿宋_GB2312" w:cs="Arial"/>
          <w:color w:val="auto"/>
          <w:sz w:val="32"/>
          <w:szCs w:val="32"/>
          <w:lang w:bidi="en-US"/>
        </w:rPr>
        <w:t>锡署环审书〔2023〕</w:t>
      </w:r>
      <w:r>
        <w:rPr>
          <w:rFonts w:hint="default" w:ascii="仿宋_GB2312" w:hAnsi="Times New Roman" w:eastAsia="仿宋_GB2312" w:cs="Arial"/>
          <w:color w:val="auto"/>
          <w:sz w:val="32"/>
          <w:szCs w:val="32"/>
          <w:lang w:val="en-US" w:bidi="en-US"/>
        </w:rPr>
        <w:t>2</w:t>
      </w:r>
      <w:r>
        <w:rPr>
          <w:rFonts w:hint="eastAsia" w:ascii="仿宋_GB2312" w:hAnsi="Times New Roman" w:eastAsia="仿宋_GB2312" w:cs="Arial"/>
          <w:color w:val="auto"/>
          <w:sz w:val="32"/>
          <w:szCs w:val="32"/>
          <w:lang w:val="en-US" w:eastAsia="zh-CN" w:bidi="en-US"/>
        </w:rPr>
        <w:t>7</w:t>
      </w:r>
      <w:bookmarkStart w:id="2" w:name="_GoBack"/>
      <w:bookmarkEnd w:id="2"/>
      <w:r>
        <w:rPr>
          <w:rFonts w:hint="eastAsia" w:ascii="仿宋_GB2312" w:hAnsi="Times New Roman" w:eastAsia="仿宋_GB2312" w:cs="Arial"/>
          <w:color w:val="auto"/>
          <w:sz w:val="32"/>
          <w:szCs w:val="32"/>
          <w:lang w:bidi="en-US"/>
        </w:rPr>
        <w:t>号</w:t>
      </w:r>
    </w:p>
    <w:p>
      <w:pPr>
        <w:adjustRightInd w:val="0"/>
        <w:snapToGrid w:val="0"/>
        <w:spacing w:line="360" w:lineRule="auto"/>
        <w:jc w:val="center"/>
        <w:rPr>
          <w:b/>
          <w:bCs/>
          <w:color w:val="auto"/>
          <w:sz w:val="32"/>
          <w:szCs w:val="32"/>
        </w:rPr>
      </w:pPr>
    </w:p>
    <w:p>
      <w:pPr>
        <w:widowControl/>
        <w:spacing w:line="700" w:lineRule="exact"/>
        <w:jc w:val="center"/>
        <w:textAlignment w:val="baseline"/>
        <w:rPr>
          <w:rFonts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锡林郭勒盟生态环境局</w:t>
      </w:r>
    </w:p>
    <w:bookmarkEnd w:id="0"/>
    <w:p>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关于</w:t>
      </w:r>
      <w:bookmarkStart w:id="1" w:name="_Hlk120300932"/>
      <w:r>
        <w:rPr>
          <w:rFonts w:hint="eastAsia" w:ascii="方正小标宋简体" w:hAnsi="方正小标宋简体" w:eastAsia="方正小标宋简体" w:cs="方正小标宋简体"/>
          <w:bCs/>
          <w:color w:val="auto"/>
          <w:sz w:val="44"/>
          <w:szCs w:val="44"/>
        </w:rPr>
        <w:t>西乌珠穆沁旗2023年度草原畜牧业转型升级试点项目</w:t>
      </w:r>
      <w:bookmarkEnd w:id="1"/>
      <w:r>
        <w:rPr>
          <w:rFonts w:hint="eastAsia" w:ascii="方正小标宋简体" w:hAnsi="方正小标宋简体" w:eastAsia="方正小标宋简体" w:cs="方正小标宋简体"/>
          <w:bCs/>
          <w:color w:val="auto"/>
          <w:sz w:val="44"/>
          <w:szCs w:val="44"/>
        </w:rPr>
        <w:t>环境影响报告书的批复</w:t>
      </w:r>
    </w:p>
    <w:p>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pPr>
        <w:keepNext w:val="0"/>
        <w:keepLines w:val="0"/>
        <w:pageBreakBefore w:val="0"/>
        <w:widowControl w:val="0"/>
        <w:kinsoku/>
        <w:wordWrap/>
        <w:overflowPunct/>
        <w:autoSpaceDE w:val="0"/>
        <w:autoSpaceDN w:val="0"/>
        <w:bidi w:val="0"/>
        <w:adjustRightInd w:val="0"/>
        <w:snapToGrid w:val="0"/>
        <w:spacing w:line="500" w:lineRule="exact"/>
        <w:jc w:val="both"/>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西乌珠穆沁旗农牧和科技局：</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你单位报送的《西乌珠穆沁旗202</w:t>
      </w:r>
      <w:r>
        <w:rPr>
          <w:rFonts w:hint="default" w:ascii="仿宋_GB2312" w:hAnsi="仿宋_GB2312" w:eastAsia="仿宋_GB2312" w:cs="仿宋_GB2312"/>
          <w:color w:val="auto"/>
          <w:sz w:val="32"/>
          <w:szCs w:val="32"/>
          <w:lang w:val="en-US" w:bidi="en-US"/>
        </w:rPr>
        <w:t>3</w:t>
      </w:r>
      <w:r>
        <w:rPr>
          <w:rFonts w:hint="eastAsia" w:ascii="仿宋_GB2312" w:hAnsi="仿宋_GB2312" w:eastAsia="仿宋_GB2312" w:cs="仿宋_GB2312"/>
          <w:color w:val="auto"/>
          <w:sz w:val="32"/>
          <w:szCs w:val="32"/>
          <w:lang w:bidi="en-US"/>
        </w:rPr>
        <w:t>年度草原畜牧业转型升级试点项目环境影响报告书》</w:t>
      </w:r>
      <w:r>
        <w:rPr>
          <w:rFonts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eastAsia="zh-Hans" w:bidi="en-US"/>
        </w:rPr>
        <w:t>以下简称</w:t>
      </w:r>
      <w:r>
        <w:rPr>
          <w:rFonts w:ascii="仿宋_GB2312" w:hAnsi="仿宋_GB2312" w:eastAsia="仿宋_GB2312" w:cs="仿宋_GB2312"/>
          <w:color w:val="auto"/>
          <w:sz w:val="32"/>
          <w:szCs w:val="32"/>
          <w:lang w:eastAsia="zh-Hans" w:bidi="en-US"/>
        </w:rPr>
        <w:t>《</w:t>
      </w:r>
      <w:r>
        <w:rPr>
          <w:rFonts w:hint="eastAsia" w:ascii="仿宋_GB2312" w:hAnsi="仿宋_GB2312" w:eastAsia="仿宋_GB2312" w:cs="仿宋_GB2312"/>
          <w:color w:val="auto"/>
          <w:sz w:val="32"/>
          <w:szCs w:val="32"/>
          <w:lang w:eastAsia="zh-Hans" w:bidi="en-US"/>
        </w:rPr>
        <w:t>报告书</w:t>
      </w:r>
      <w:r>
        <w:rPr>
          <w:rFonts w:ascii="仿宋_GB2312" w:hAnsi="仿宋_GB2312" w:eastAsia="仿宋_GB2312" w:cs="仿宋_GB2312"/>
          <w:color w:val="auto"/>
          <w:sz w:val="32"/>
          <w:szCs w:val="32"/>
          <w:lang w:eastAsia="zh-Hans" w:bidi="en-US"/>
        </w:rPr>
        <w:t>》</w:t>
      </w:r>
      <w:r>
        <w:rPr>
          <w:rFonts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bidi="en-US"/>
        </w:rPr>
        <w:t>收悉。经研究，批复如下</w:t>
      </w:r>
      <w:r>
        <w:rPr>
          <w:rFonts w:ascii="仿宋_GB2312" w:hAnsi="仿宋_GB2312" w:eastAsia="仿宋_GB2312" w:cs="仿宋_GB2312"/>
          <w:color w:val="auto"/>
          <w:sz w:val="32"/>
          <w:szCs w:val="32"/>
          <w:lang w:bidi="en-US"/>
        </w:rPr>
        <w:t>：</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一、</w:t>
      </w:r>
      <w:r>
        <w:rPr>
          <w:rFonts w:hint="eastAsia" w:ascii="仿宋_GB2312" w:hAnsi="仿宋_GB2312" w:eastAsia="仿宋_GB2312" w:cs="仿宋_GB2312"/>
          <w:color w:val="auto"/>
          <w:sz w:val="32"/>
          <w:szCs w:val="32"/>
          <w:lang w:bidi="en-US"/>
        </w:rPr>
        <w:t>西乌珠穆沁旗202</w:t>
      </w:r>
      <w:r>
        <w:rPr>
          <w:rFonts w:hint="default" w:ascii="仿宋_GB2312" w:hAnsi="仿宋_GB2312" w:eastAsia="仿宋_GB2312" w:cs="仿宋_GB2312"/>
          <w:color w:val="auto"/>
          <w:sz w:val="32"/>
          <w:szCs w:val="32"/>
          <w:lang w:val="en-US" w:bidi="en-US"/>
        </w:rPr>
        <w:t>3</w:t>
      </w:r>
      <w:r>
        <w:rPr>
          <w:rFonts w:hint="eastAsia" w:ascii="仿宋_GB2312" w:hAnsi="仿宋_GB2312" w:eastAsia="仿宋_GB2312" w:cs="仿宋_GB2312"/>
          <w:color w:val="auto"/>
          <w:sz w:val="32"/>
          <w:szCs w:val="32"/>
          <w:lang w:bidi="en-US"/>
        </w:rPr>
        <w:t>年度草原畜牧业转型升级试点项目</w:t>
      </w:r>
      <w:r>
        <w:rPr>
          <w:rFonts w:hint="eastAsia" w:ascii="仿宋_GB2312" w:hAnsi="仿宋_GB2312" w:eastAsia="仿宋_GB2312" w:cs="仿宋_GB2312"/>
          <w:color w:val="auto"/>
          <w:sz w:val="32"/>
          <w:szCs w:val="32"/>
          <w:lang w:val="en-US" w:eastAsia="zh-CN" w:bidi="en-US"/>
        </w:rPr>
        <w:t>共</w:t>
      </w:r>
      <w:r>
        <w:rPr>
          <w:rFonts w:hint="eastAsia" w:ascii="仿宋_GB2312" w:hAnsi="仿宋_GB2312" w:eastAsia="仿宋_GB2312" w:cs="仿宋_GB2312"/>
          <w:color w:val="auto"/>
          <w:sz w:val="32"/>
          <w:szCs w:val="32"/>
          <w:lang w:bidi="en-US"/>
        </w:rPr>
        <w:t>实施</w:t>
      </w:r>
      <w:r>
        <w:rPr>
          <w:rFonts w:hint="default" w:ascii="仿宋_GB2312" w:hAnsi="仿宋_GB2312" w:eastAsia="仿宋_GB2312" w:cs="仿宋_GB2312"/>
          <w:color w:val="auto"/>
          <w:sz w:val="32"/>
          <w:szCs w:val="32"/>
          <w:lang w:val="en-US" w:bidi="en-US"/>
        </w:rPr>
        <w:t>6</w:t>
      </w:r>
      <w:r>
        <w:rPr>
          <w:rFonts w:hint="eastAsia" w:ascii="仿宋_GB2312" w:hAnsi="仿宋_GB2312" w:eastAsia="仿宋_GB2312" w:cs="仿宋_GB2312"/>
          <w:color w:val="auto"/>
          <w:sz w:val="32"/>
          <w:szCs w:val="32"/>
          <w:lang w:bidi="en-US"/>
        </w:rPr>
        <w:t>个子项目</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val="en-US" w:eastAsia="zh-CN" w:bidi="en-US"/>
        </w:rPr>
        <w:t>分别为</w:t>
      </w:r>
      <w:r>
        <w:rPr>
          <w:rFonts w:hint="eastAsia" w:ascii="仿宋_GB2312" w:hAnsi="仿宋_GB2312" w:eastAsia="仿宋_GB2312" w:cs="仿宋_GB2312"/>
          <w:color w:val="auto"/>
          <w:sz w:val="32"/>
          <w:szCs w:val="32"/>
          <w:lang w:bidi="en-US"/>
        </w:rPr>
        <w:t>优质牧草种植示范基地建设项目</w:t>
      </w:r>
      <w:r>
        <w:rPr>
          <w:rFonts w:hint="eastAsia" w:ascii="仿宋_GB2312" w:hAnsi="仿宋_GB2312" w:eastAsia="仿宋_GB2312" w:cs="仿宋_GB2312"/>
          <w:color w:val="auto"/>
          <w:sz w:val="32"/>
          <w:szCs w:val="32"/>
          <w:lang w:eastAsia="zh-CN" w:bidi="en-US"/>
        </w:rPr>
        <w:t>（</w:t>
      </w:r>
      <w:r>
        <w:rPr>
          <w:rFonts w:hint="default" w:ascii="仿宋_GB2312" w:hAnsi="仿宋_GB2312" w:eastAsia="仿宋_GB2312" w:cs="仿宋_GB2312"/>
          <w:color w:val="auto"/>
          <w:sz w:val="32"/>
          <w:szCs w:val="32"/>
          <w:lang w:val="en-US" w:eastAsia="zh-CN" w:bidi="en-US"/>
        </w:rPr>
        <w:t>2023</w:t>
      </w:r>
      <w:r>
        <w:rPr>
          <w:rFonts w:hint="eastAsia" w:ascii="仿宋_GB2312" w:hAnsi="仿宋_GB2312" w:eastAsia="仿宋_GB2312" w:cs="仿宋_GB2312"/>
          <w:color w:val="auto"/>
          <w:sz w:val="32"/>
          <w:szCs w:val="32"/>
          <w:lang w:val="en-US" w:eastAsia="zh-CN" w:bidi="en-US"/>
        </w:rPr>
        <w:t>年度）</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西乌珠穆沁旗现代良种牛繁育基地及肉牛生态牧场示范项目</w:t>
      </w:r>
      <w:r>
        <w:rPr>
          <w:rFonts w:hint="eastAsia" w:ascii="仿宋_GB2312" w:hAnsi="仿宋_GB2312" w:eastAsia="仿宋_GB2312" w:cs="仿宋_GB2312"/>
          <w:color w:val="auto"/>
          <w:sz w:val="32"/>
          <w:szCs w:val="32"/>
          <w:lang w:eastAsia="zh-CN" w:bidi="en-US"/>
        </w:rPr>
        <w:t>（</w:t>
      </w:r>
      <w:r>
        <w:rPr>
          <w:rFonts w:hint="default" w:ascii="仿宋_GB2312" w:hAnsi="仿宋_GB2312" w:eastAsia="仿宋_GB2312" w:cs="仿宋_GB2312"/>
          <w:color w:val="auto"/>
          <w:sz w:val="32"/>
          <w:szCs w:val="32"/>
          <w:lang w:val="en-US" w:eastAsia="zh-CN" w:bidi="en-US"/>
        </w:rPr>
        <w:t>2023</w:t>
      </w:r>
      <w:r>
        <w:rPr>
          <w:rFonts w:hint="eastAsia" w:ascii="仿宋_GB2312" w:hAnsi="仿宋_GB2312" w:eastAsia="仿宋_GB2312" w:cs="仿宋_GB2312"/>
          <w:color w:val="auto"/>
          <w:sz w:val="32"/>
          <w:szCs w:val="32"/>
          <w:lang w:val="en-US" w:eastAsia="zh-CN" w:bidi="en-US"/>
        </w:rPr>
        <w:t>年度）</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西乌珠穆沁旗畜牧诊疗研究示范中心项目</w:t>
      </w:r>
      <w:r>
        <w:rPr>
          <w:rFonts w:hint="eastAsia" w:ascii="仿宋_GB2312" w:hAnsi="仿宋_GB2312" w:eastAsia="仿宋_GB2312" w:cs="仿宋_GB2312"/>
          <w:color w:val="auto"/>
          <w:sz w:val="32"/>
          <w:szCs w:val="32"/>
          <w:lang w:eastAsia="zh-CN" w:bidi="en-US"/>
        </w:rPr>
        <w:t>（</w:t>
      </w:r>
      <w:r>
        <w:rPr>
          <w:rFonts w:hint="default" w:ascii="仿宋_GB2312" w:hAnsi="仿宋_GB2312" w:eastAsia="仿宋_GB2312" w:cs="仿宋_GB2312"/>
          <w:color w:val="auto"/>
          <w:sz w:val="32"/>
          <w:szCs w:val="32"/>
          <w:lang w:val="en-US" w:eastAsia="zh-CN" w:bidi="en-US"/>
        </w:rPr>
        <w:t>2023</w:t>
      </w:r>
      <w:r>
        <w:rPr>
          <w:rFonts w:hint="eastAsia" w:ascii="仿宋_GB2312" w:hAnsi="仿宋_GB2312" w:eastAsia="仿宋_GB2312" w:cs="仿宋_GB2312"/>
          <w:color w:val="auto"/>
          <w:sz w:val="32"/>
          <w:szCs w:val="32"/>
          <w:lang w:val="en-US" w:eastAsia="zh-CN" w:bidi="en-US"/>
        </w:rPr>
        <w:t>年度）</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示范家庭牧场培育认定项目</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现代饲草料储备加工一体化项目</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乌珠穆沁白牛核心育种场创建和认定项目</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项目总投资为8079万元。</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仿宋_GB2312" w:hAnsi="仿宋_GB2312" w:eastAsia="仿宋_GB2312" w:cs="仿宋_GB2312"/>
          <w:color w:val="auto"/>
          <w:sz w:val="32"/>
          <w:szCs w:val="32"/>
          <w:lang w:bidi="en-US"/>
        </w:rPr>
        <w:t>报告书对其中的</w:t>
      </w:r>
      <w:r>
        <w:rPr>
          <w:rFonts w:hint="eastAsia" w:ascii="仿宋_GB2312" w:hAnsi="仿宋_GB2312" w:eastAsia="仿宋_GB2312" w:cs="仿宋_GB2312"/>
          <w:color w:val="auto"/>
          <w:sz w:val="32"/>
          <w:szCs w:val="32"/>
          <w:lang w:val="en-US" w:eastAsia="zh-CN" w:bidi="en-US"/>
        </w:rPr>
        <w:t>三</w:t>
      </w:r>
      <w:r>
        <w:rPr>
          <w:rFonts w:hint="eastAsia" w:ascii="仿宋_GB2312" w:hAnsi="仿宋_GB2312" w:eastAsia="仿宋_GB2312" w:cs="仿宋_GB2312"/>
          <w:color w:val="auto"/>
          <w:sz w:val="32"/>
          <w:szCs w:val="32"/>
          <w:lang w:bidi="en-US"/>
        </w:rPr>
        <w:t>个子项目进行评价</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val="en-US" w:eastAsia="zh-CN" w:bidi="en-US"/>
        </w:rPr>
        <w:t>其他项目豁免</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val="en-US" w:eastAsia="zh-CN" w:bidi="en-US"/>
        </w:rPr>
        <w:t>建设性质为扩建，</w:t>
      </w:r>
      <w:r>
        <w:rPr>
          <w:rFonts w:hint="eastAsia" w:ascii="仿宋_GB2312" w:hAnsi="仿宋_GB2312" w:eastAsia="仿宋_GB2312" w:cs="仿宋_GB2312"/>
          <w:color w:val="auto"/>
          <w:sz w:val="32"/>
          <w:szCs w:val="32"/>
          <w:lang w:bidi="en-US"/>
        </w:rPr>
        <w:t>建设地点</w:t>
      </w:r>
      <w:r>
        <w:rPr>
          <w:rFonts w:hint="eastAsia" w:ascii="仿宋_GB2312" w:hAnsi="仿宋_GB2312" w:eastAsia="仿宋_GB2312" w:cs="仿宋_GB2312"/>
          <w:color w:val="auto"/>
          <w:sz w:val="32"/>
          <w:szCs w:val="32"/>
          <w:lang w:val="en-US" w:eastAsia="zh-CN" w:bidi="en-US"/>
        </w:rPr>
        <w:t>均在</w:t>
      </w:r>
      <w:r>
        <w:rPr>
          <w:rFonts w:hint="eastAsia" w:ascii="仿宋_GB2312" w:hAnsi="仿宋_GB2312" w:eastAsia="仿宋_GB2312" w:cs="仿宋_GB2312"/>
          <w:color w:val="auto"/>
          <w:sz w:val="32"/>
          <w:szCs w:val="32"/>
          <w:lang w:bidi="en-US"/>
        </w:rPr>
        <w:t>西乌珠穆沁旗巴拉嘎尔高勒镇</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val="en-US" w:eastAsia="zh-CN" w:bidi="en-US"/>
        </w:rPr>
        <w:t>项目建设内容主要有</w:t>
      </w:r>
      <w:r>
        <w:rPr>
          <w:rFonts w:hint="eastAsia" w:ascii="仿宋_GB2312" w:hAnsi="仿宋_GB2312" w:eastAsia="仿宋_GB2312" w:cs="仿宋_GB2312"/>
          <w:color w:val="auto"/>
          <w:sz w:val="32"/>
          <w:szCs w:val="32"/>
          <w:lang w:eastAsia="zh-CN" w:bidi="en-US"/>
        </w:rPr>
        <w:t>：</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（一）优质牧草种植示范基地建设项目（</w:t>
      </w:r>
      <w:r>
        <w:rPr>
          <w:rFonts w:hint="default" w:ascii="楷体" w:hAnsi="楷体" w:eastAsia="楷体" w:cs="楷体"/>
          <w:color w:val="auto"/>
          <w:kern w:val="2"/>
          <w:sz w:val="32"/>
          <w:szCs w:val="32"/>
          <w:lang w:val="en-US" w:eastAsia="zh-CN" w:bidi="ar-SA"/>
        </w:rPr>
        <w:t>2023</w:t>
      </w:r>
      <w:r>
        <w:rPr>
          <w:rFonts w:hint="eastAsia" w:ascii="楷体" w:hAnsi="楷体" w:eastAsia="楷体" w:cs="楷体"/>
          <w:color w:val="auto"/>
          <w:kern w:val="2"/>
          <w:sz w:val="32"/>
          <w:szCs w:val="32"/>
          <w:lang w:val="en-US" w:eastAsia="zh-CN" w:bidi="ar-SA"/>
        </w:rPr>
        <w:t>年度）：</w:t>
      </w:r>
      <w:r>
        <w:rPr>
          <w:rFonts w:hint="eastAsia" w:ascii="仿宋_GB2312" w:hAnsi="仿宋_GB2312" w:eastAsia="仿宋_GB2312" w:cs="仿宋_GB2312"/>
          <w:color w:val="auto"/>
          <w:sz w:val="32"/>
          <w:szCs w:val="32"/>
          <w:lang w:bidi="en-US"/>
        </w:rPr>
        <w:t>种植全株玉米，建设80m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管理用房、1500m</w:t>
      </w:r>
      <w:r>
        <w:rPr>
          <w:rFonts w:hint="eastAsia" w:ascii="仿宋_GB2312" w:hAnsi="仿宋_GB2312" w:eastAsia="仿宋_GB2312" w:cs="仿宋_GB2312"/>
          <w:color w:val="auto"/>
          <w:sz w:val="32"/>
          <w:szCs w:val="32"/>
          <w:vertAlign w:val="superscript"/>
          <w:lang w:bidi="en-US"/>
        </w:rPr>
        <w:t>3</w:t>
      </w:r>
      <w:r>
        <w:rPr>
          <w:rFonts w:hint="eastAsia" w:ascii="仿宋_GB2312" w:hAnsi="仿宋_GB2312" w:eastAsia="仿宋_GB2312" w:cs="仿宋_GB2312"/>
          <w:color w:val="auto"/>
          <w:sz w:val="32"/>
          <w:szCs w:val="32"/>
          <w:lang w:bidi="en-US"/>
        </w:rPr>
        <w:t>青贮窖五座、围栏、打井及井房（成品）6个、喷灌8个等，配套</w:t>
      </w:r>
      <w:r>
        <w:rPr>
          <w:rFonts w:hint="eastAsia" w:ascii="仿宋_GB2312" w:hAnsi="仿宋_GB2312" w:eastAsia="仿宋_GB2312" w:cs="仿宋_GB2312"/>
          <w:color w:val="auto"/>
          <w:sz w:val="32"/>
          <w:szCs w:val="32"/>
          <w:lang w:val="en-US" w:eastAsia="zh-CN" w:bidi="en-US"/>
        </w:rPr>
        <w:t>建设</w:t>
      </w:r>
      <w:r>
        <w:rPr>
          <w:rFonts w:hint="eastAsia" w:ascii="仿宋_GB2312" w:hAnsi="仿宋_GB2312" w:eastAsia="仿宋_GB2312" w:cs="仿宋_GB2312"/>
          <w:color w:val="auto"/>
          <w:sz w:val="32"/>
          <w:szCs w:val="32"/>
          <w:lang w:bidi="en-US"/>
        </w:rPr>
        <w:t>附属设施。</w:t>
      </w:r>
    </w:p>
    <w:p>
      <w:pPr>
        <w:keepNext w:val="0"/>
        <w:keepLines w:val="0"/>
        <w:pageBreakBefore w:val="0"/>
        <w:widowControl w:val="0"/>
        <w:numPr>
          <w:ilvl w:val="0"/>
          <w:numId w:val="0"/>
        </w:numPr>
        <w:kinsoku/>
        <w:wordWrap/>
        <w:overflowPunct/>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（二）西乌珠穆沁旗现代良种牛繁育基地及肉牛生态牧场示范项目（</w:t>
      </w:r>
      <w:r>
        <w:rPr>
          <w:rFonts w:hint="default" w:ascii="楷体" w:hAnsi="楷体" w:eastAsia="楷体" w:cs="楷体"/>
          <w:color w:val="auto"/>
          <w:kern w:val="2"/>
          <w:sz w:val="32"/>
          <w:szCs w:val="32"/>
          <w:lang w:val="en-US" w:eastAsia="zh-CN" w:bidi="ar-SA"/>
        </w:rPr>
        <w:t>2023</w:t>
      </w:r>
      <w:r>
        <w:rPr>
          <w:rFonts w:hint="eastAsia" w:ascii="楷体" w:hAnsi="楷体" w:eastAsia="楷体" w:cs="楷体"/>
          <w:color w:val="auto"/>
          <w:kern w:val="2"/>
          <w:sz w:val="32"/>
          <w:szCs w:val="32"/>
          <w:lang w:val="en-US" w:eastAsia="zh-CN" w:bidi="ar-SA"/>
        </w:rPr>
        <w:t>年度）：</w:t>
      </w:r>
      <w:r>
        <w:rPr>
          <w:rFonts w:hint="eastAsia" w:ascii="仿宋_GB2312" w:hAnsi="仿宋_GB2312" w:eastAsia="仿宋_GB2312" w:cs="仿宋_GB2312"/>
          <w:color w:val="auto"/>
          <w:sz w:val="32"/>
          <w:szCs w:val="32"/>
          <w:lang w:bidi="en-US"/>
        </w:rPr>
        <w:t>建设1750头牛规模养殖基地</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val="en-US" w:eastAsia="zh-CN" w:bidi="en-US"/>
        </w:rPr>
        <w:t>建设</w:t>
      </w:r>
      <w:r>
        <w:rPr>
          <w:rFonts w:hint="eastAsia" w:ascii="仿宋_GB2312" w:hAnsi="仿宋_GB2312" w:eastAsia="仿宋_GB2312" w:cs="仿宋_GB2312"/>
          <w:color w:val="auto"/>
          <w:sz w:val="32"/>
          <w:szCs w:val="32"/>
          <w:lang w:bidi="en-US"/>
        </w:rPr>
        <w:t>1040m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牛舍13栋，总建筑面积13520m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；隔离牛舍1栋，建筑面积518m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；综合管理设施1栋，建筑面积300m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，含办公、住宿、食堂、病死牛临时存储场所、兽医室等；日粮车间2座、饲料库一座、青储窖1座。</w:t>
      </w:r>
    </w:p>
    <w:p>
      <w:pPr>
        <w:pStyle w:val="25"/>
        <w:keepNext w:val="0"/>
        <w:keepLines w:val="0"/>
        <w:pageBreakBefore w:val="0"/>
        <w:widowControl w:val="0"/>
        <w:numPr>
          <w:ilvl w:val="0"/>
          <w:numId w:val="0"/>
        </w:numPr>
        <w:kinsoku/>
        <w:wordWrap/>
        <w:overflowPunct/>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（三）西乌珠穆沁旗畜牧诊疗研究示范中心项目（</w:t>
      </w:r>
      <w:r>
        <w:rPr>
          <w:rFonts w:hint="default" w:ascii="楷体" w:hAnsi="楷体" w:eastAsia="楷体" w:cs="楷体"/>
          <w:color w:val="auto"/>
          <w:kern w:val="2"/>
          <w:sz w:val="32"/>
          <w:szCs w:val="32"/>
          <w:lang w:val="en-US" w:eastAsia="zh-CN" w:bidi="ar-SA"/>
        </w:rPr>
        <w:t>2023</w:t>
      </w:r>
      <w:r>
        <w:rPr>
          <w:rFonts w:hint="eastAsia" w:ascii="楷体" w:hAnsi="楷体" w:eastAsia="楷体" w:cs="楷体"/>
          <w:color w:val="auto"/>
          <w:kern w:val="2"/>
          <w:sz w:val="32"/>
          <w:szCs w:val="32"/>
          <w:lang w:val="en-US" w:eastAsia="zh-CN" w:bidi="ar-SA"/>
        </w:rPr>
        <w:t>年度）：</w:t>
      </w:r>
      <w:r>
        <w:rPr>
          <w:rFonts w:hint="eastAsia" w:ascii="仿宋_GB2312" w:hAnsi="仿宋_GB2312" w:eastAsia="仿宋_GB2312" w:cs="仿宋_GB2312"/>
          <w:color w:val="auto"/>
          <w:sz w:val="32"/>
          <w:szCs w:val="32"/>
          <w:lang w:val="en-US" w:eastAsia="zh-CN" w:bidi="en-US"/>
        </w:rPr>
        <w:t>建设</w:t>
      </w:r>
      <w:r>
        <w:rPr>
          <w:rFonts w:hint="eastAsia" w:ascii="仿宋_GB2312" w:hAnsi="仿宋_GB2312" w:eastAsia="仿宋_GB2312" w:cs="仿宋_GB2312"/>
          <w:color w:val="auto"/>
          <w:sz w:val="32"/>
          <w:szCs w:val="32"/>
          <w:lang w:bidi="en-US"/>
        </w:rPr>
        <w:t>848m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诊疗用房一座、80m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储草棚一座、180m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留观棚舍两座、239m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消防水池泵房及柴发机房一座、30m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生活垃圾存放点一处、30m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医疗固体废弃物暂存点、直埋式一体化医疗废水处理罐一座、死畜暂存点1处，88m</w:t>
      </w:r>
      <w:r>
        <w:rPr>
          <w:rFonts w:hint="eastAsia" w:ascii="仿宋_GB2312" w:hAnsi="仿宋_GB2312" w:eastAsia="仿宋_GB2312" w:cs="仿宋_GB2312"/>
          <w:color w:val="auto"/>
          <w:sz w:val="32"/>
          <w:szCs w:val="32"/>
          <w:vertAlign w:val="superscript"/>
          <w:lang w:bidi="en-US"/>
        </w:rPr>
        <w:t>2</w:t>
      </w:r>
      <w:r>
        <w:rPr>
          <w:rFonts w:hint="eastAsia" w:ascii="仿宋_GB2312" w:hAnsi="仿宋_GB2312" w:eastAsia="仿宋_GB2312" w:cs="仿宋_GB2312"/>
          <w:color w:val="auto"/>
          <w:sz w:val="32"/>
          <w:szCs w:val="32"/>
          <w:lang w:bidi="en-US"/>
        </w:rPr>
        <w:t>门卫室</w:t>
      </w:r>
      <w:r>
        <w:rPr>
          <w:rFonts w:hint="eastAsia" w:ascii="仿宋_GB2312" w:hAnsi="仿宋_GB2312" w:eastAsia="仿宋_GB2312" w:cs="仿宋_GB2312"/>
          <w:color w:val="auto"/>
          <w:sz w:val="32"/>
          <w:szCs w:val="32"/>
          <w:lang w:val="en-US" w:eastAsia="zh-CN" w:bidi="en-US"/>
        </w:rPr>
        <w:t>及</w:t>
      </w:r>
      <w:r>
        <w:rPr>
          <w:rFonts w:hint="eastAsia" w:ascii="仿宋_GB2312" w:hAnsi="仿宋_GB2312" w:eastAsia="仿宋_GB2312" w:cs="仿宋_GB2312"/>
          <w:color w:val="auto"/>
          <w:sz w:val="32"/>
          <w:szCs w:val="32"/>
          <w:lang w:bidi="en-US"/>
        </w:rPr>
        <w:t>配套附属设施。</w:t>
      </w:r>
    </w:p>
    <w:p>
      <w:pPr>
        <w:pStyle w:val="25"/>
        <w:keepNext w:val="0"/>
        <w:keepLines w:val="0"/>
        <w:pageBreakBefore w:val="0"/>
        <w:widowControl w:val="0"/>
        <w:kinsoku/>
        <w:wordWrap/>
        <w:overflowPunct/>
        <w:bidi w:val="0"/>
        <w:adjustRightInd w:val="0"/>
        <w:snapToGrid w:val="0"/>
        <w:spacing w:line="500" w:lineRule="exact"/>
        <w:ind w:firstLine="601"/>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项目总投资8079万元，其中环保投资386万元，占总投资的4.78%。</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养殖区采用干清粪工艺，要求日产日清；牛棚内的清污通道每天定时喷洒除臭剂；科学、合理设置饲料配方；粪污堆砌区采取定时喷洒除臭剂，及时清运。诊疗过程加强诊疗室通风，项目厂界氨气、硫化氢需满足《恶</w:t>
      </w:r>
      <w:r>
        <w:rPr>
          <w:rFonts w:hint="eastAsia" w:ascii="仿宋_GB2312" w:hAnsi="仿宋_GB2312" w:eastAsia="仿宋_GB2312" w:cs="仿宋_GB2312"/>
          <w:color w:val="auto"/>
          <w:sz w:val="32"/>
          <w:szCs w:val="32"/>
          <w:lang w:bidi="en-US"/>
        </w:rPr>
        <w:t>臭污染物排放标准》（GB14554-93）表1二级标准；臭气浓度</w:t>
      </w:r>
      <w:r>
        <w:rPr>
          <w:rFonts w:hint="eastAsia" w:ascii="仿宋_GB2312" w:hAnsi="仿宋_GB2312" w:eastAsia="仿宋_GB2312" w:cs="仿宋_GB2312"/>
          <w:color w:val="auto"/>
          <w:sz w:val="32"/>
          <w:szCs w:val="32"/>
          <w:lang w:val="en-US" w:eastAsia="zh-CN" w:bidi="en-US"/>
        </w:rPr>
        <w:t>需</w:t>
      </w:r>
      <w:r>
        <w:rPr>
          <w:rFonts w:hint="eastAsia" w:ascii="仿宋_GB2312" w:hAnsi="仿宋_GB2312" w:eastAsia="仿宋_GB2312" w:cs="仿宋_GB2312"/>
          <w:color w:val="auto"/>
          <w:sz w:val="32"/>
          <w:szCs w:val="32"/>
          <w:lang w:bidi="en-US"/>
        </w:rPr>
        <w:t>满足《畜禽养殖业污染物排放标准》（GB18596-2001）表7集约化畜禽养殖业恶臭污染物排放标准。</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color w:val="auto"/>
          <w:sz w:val="32"/>
          <w:szCs w:val="32"/>
          <w:lang w:bidi="en-US"/>
        </w:rPr>
        <w:t>西乌珠穆沁旗现代良种牛繁育基地及肉牛生态牧场示范项目（202</w:t>
      </w:r>
      <w:r>
        <w:rPr>
          <w:rFonts w:hint="default" w:ascii="仿宋_GB2312" w:hAnsi="仿宋_GB2312" w:eastAsia="仿宋_GB2312" w:cs="仿宋_GB2312"/>
          <w:color w:val="auto"/>
          <w:sz w:val="32"/>
          <w:szCs w:val="32"/>
          <w:lang w:val="en-US" w:bidi="en-US"/>
        </w:rPr>
        <w:t>3</w:t>
      </w:r>
      <w:r>
        <w:rPr>
          <w:rFonts w:hint="eastAsia" w:ascii="仿宋_GB2312" w:hAnsi="仿宋_GB2312" w:eastAsia="仿宋_GB2312" w:cs="仿宋_GB2312"/>
          <w:color w:val="auto"/>
          <w:sz w:val="32"/>
          <w:szCs w:val="32"/>
          <w:lang w:bidi="en-US"/>
        </w:rPr>
        <w:t>年度）养殖场牛粪及废垫料场区粪便堆砌区暂存，及时外售制有机肥和生物质压块燃料</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病死牛及分娩废物委托西乌珠穆沁旗病死畜无害化处理厂处理。西乌珠穆沁旗现代良种牛繁育基地及肉牛生态牧场示范项目（202</w:t>
      </w:r>
      <w:r>
        <w:rPr>
          <w:rFonts w:hint="default" w:ascii="仿宋_GB2312" w:hAnsi="仿宋_GB2312" w:eastAsia="仿宋_GB2312" w:cs="仿宋_GB2312"/>
          <w:color w:val="auto"/>
          <w:sz w:val="32"/>
          <w:szCs w:val="32"/>
          <w:lang w:val="en-US" w:bidi="en-US"/>
        </w:rPr>
        <w:t>3</w:t>
      </w:r>
      <w:r>
        <w:rPr>
          <w:rFonts w:hint="eastAsia" w:ascii="仿宋_GB2312" w:hAnsi="仿宋_GB2312" w:eastAsia="仿宋_GB2312" w:cs="仿宋_GB2312"/>
          <w:color w:val="auto"/>
          <w:sz w:val="32"/>
          <w:szCs w:val="32"/>
          <w:lang w:bidi="en-US"/>
        </w:rPr>
        <w:t>年度）</w:t>
      </w:r>
      <w:r>
        <w:rPr>
          <w:rFonts w:hint="eastAsia" w:ascii="仿宋_GB2312" w:hAnsi="仿宋_GB2312" w:eastAsia="仿宋_GB2312" w:cs="仿宋_GB2312"/>
          <w:color w:val="auto"/>
          <w:sz w:val="32"/>
          <w:szCs w:val="32"/>
          <w:lang w:val="en-US" w:eastAsia="zh-CN" w:bidi="en-US"/>
        </w:rPr>
        <w:t>和</w:t>
      </w:r>
      <w:r>
        <w:rPr>
          <w:rFonts w:hint="eastAsia" w:ascii="仿宋_GB2312" w:hAnsi="仿宋_GB2312" w:eastAsia="仿宋_GB2312" w:cs="仿宋_GB2312"/>
          <w:color w:val="auto"/>
          <w:sz w:val="32"/>
          <w:szCs w:val="32"/>
          <w:lang w:bidi="en-US"/>
        </w:rPr>
        <w:t>西乌珠穆沁旗畜牧诊疗研究示范中心项目（202</w:t>
      </w:r>
      <w:r>
        <w:rPr>
          <w:rFonts w:hint="default" w:ascii="仿宋_GB2312" w:hAnsi="仿宋_GB2312" w:eastAsia="仿宋_GB2312" w:cs="仿宋_GB2312"/>
          <w:color w:val="auto"/>
          <w:sz w:val="32"/>
          <w:szCs w:val="32"/>
          <w:lang w:val="en-US" w:bidi="en-US"/>
        </w:rPr>
        <w:t>3</w:t>
      </w:r>
      <w:r>
        <w:rPr>
          <w:rFonts w:hint="eastAsia" w:ascii="仿宋_GB2312" w:hAnsi="仿宋_GB2312" w:eastAsia="仿宋_GB2312" w:cs="仿宋_GB2312"/>
          <w:color w:val="auto"/>
          <w:sz w:val="32"/>
          <w:szCs w:val="32"/>
          <w:lang w:bidi="en-US"/>
        </w:rPr>
        <w:t>年度）</w:t>
      </w:r>
      <w:r>
        <w:rPr>
          <w:rFonts w:hint="eastAsia" w:ascii="仿宋_GB2312" w:hAnsi="仿宋_GB2312" w:eastAsia="仿宋_GB2312" w:cs="仿宋_GB2312"/>
          <w:color w:val="auto"/>
          <w:sz w:val="32"/>
          <w:szCs w:val="32"/>
          <w:lang w:val="en-US" w:eastAsia="zh-CN" w:bidi="en-US"/>
        </w:rPr>
        <w:t>均设置有医疗废物</w:t>
      </w:r>
      <w:r>
        <w:rPr>
          <w:rFonts w:hint="eastAsia" w:ascii="仿宋_GB2312" w:hAnsi="仿宋_GB2312" w:eastAsia="仿宋_GB2312" w:cs="仿宋_GB2312"/>
          <w:color w:val="auto"/>
          <w:sz w:val="32"/>
          <w:szCs w:val="32"/>
          <w:lang w:bidi="en-US"/>
        </w:rPr>
        <w:t>暂存间</w:t>
      </w:r>
      <w:r>
        <w:rPr>
          <w:rFonts w:hint="eastAsia" w:ascii="仿宋_GB2312" w:hAnsi="仿宋_GB2312" w:eastAsia="仿宋_GB2312" w:cs="仿宋_GB2312"/>
          <w:color w:val="auto"/>
          <w:sz w:val="32"/>
          <w:szCs w:val="32"/>
          <w:lang w:val="en-US" w:eastAsia="zh-CN" w:bidi="en-US"/>
        </w:rPr>
        <w:t>，</w:t>
      </w:r>
      <w:r>
        <w:rPr>
          <w:rFonts w:hint="eastAsia" w:ascii="仿宋_GB2312" w:hAnsi="仿宋_GB2312" w:eastAsia="仿宋_GB2312" w:cs="仿宋_GB2312"/>
          <w:color w:val="auto"/>
          <w:sz w:val="32"/>
          <w:szCs w:val="32"/>
          <w:highlight w:val="none"/>
        </w:rPr>
        <w:t>医疗废物</w:t>
      </w:r>
      <w:r>
        <w:rPr>
          <w:rFonts w:hint="eastAsia" w:ascii="仿宋_GB2312" w:hAnsi="仿宋_GB2312" w:eastAsia="仿宋_GB2312" w:cs="仿宋_GB2312"/>
          <w:color w:val="auto"/>
          <w:sz w:val="32"/>
          <w:szCs w:val="32"/>
          <w:highlight w:val="none"/>
          <w:lang w:val="en-US" w:eastAsia="zh-CN"/>
        </w:rPr>
        <w:t>按要求</w:t>
      </w:r>
      <w:r>
        <w:rPr>
          <w:rFonts w:hint="eastAsia" w:ascii="仿宋_GB2312" w:hAnsi="仿宋_GB2312" w:eastAsia="仿宋_GB2312" w:cs="仿宋_GB2312"/>
          <w:color w:val="auto"/>
          <w:sz w:val="32"/>
          <w:szCs w:val="32"/>
          <w:highlight w:val="none"/>
        </w:rPr>
        <w:t>暂存</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lang w:bidi="en-US"/>
        </w:rPr>
        <w:t>定期交有资质</w:t>
      </w:r>
      <w:r>
        <w:rPr>
          <w:rFonts w:hint="eastAsia" w:ascii="仿宋_GB2312" w:hAnsi="仿宋_GB2312" w:eastAsia="仿宋_GB2312" w:cs="仿宋_GB2312"/>
          <w:color w:val="auto"/>
          <w:sz w:val="32"/>
          <w:szCs w:val="32"/>
          <w:lang w:val="en-US" w:eastAsia="zh-CN" w:bidi="en-US"/>
        </w:rPr>
        <w:t>单位</w:t>
      </w:r>
      <w:r>
        <w:rPr>
          <w:rFonts w:hint="eastAsia" w:ascii="仿宋_GB2312" w:hAnsi="仿宋_GB2312" w:eastAsia="仿宋_GB2312" w:cs="仿宋_GB2312"/>
          <w:color w:val="auto"/>
          <w:sz w:val="32"/>
          <w:szCs w:val="32"/>
          <w:lang w:bidi="en-US"/>
        </w:rPr>
        <w:t>处置</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highlight w:val="none"/>
        </w:rPr>
        <w:t>病死牛和分娩废物</w:t>
      </w:r>
      <w:r>
        <w:rPr>
          <w:rFonts w:hint="eastAsia" w:ascii="仿宋_GB2312" w:hAnsi="仿宋_GB2312" w:eastAsia="仿宋_GB2312" w:cs="仿宋_GB2312"/>
          <w:color w:val="auto"/>
          <w:sz w:val="32"/>
          <w:szCs w:val="32"/>
          <w:highlight w:val="none"/>
          <w:lang w:val="en-US" w:eastAsia="zh-CN"/>
        </w:rPr>
        <w:t>按动物防疫要求</w:t>
      </w:r>
      <w:r>
        <w:rPr>
          <w:rFonts w:hint="eastAsia" w:ascii="仿宋_GB2312" w:hAnsi="仿宋_GB2312" w:eastAsia="仿宋_GB2312" w:cs="仿宋_GB2312"/>
          <w:color w:val="auto"/>
          <w:sz w:val="32"/>
          <w:szCs w:val="32"/>
          <w:highlight w:val="none"/>
        </w:rPr>
        <w:t>处理</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lang w:bidi="en-US"/>
        </w:rPr>
        <w:t>严格执行《危险废物贮存污染控制标准》（GB18597-2023）</w:t>
      </w:r>
      <w:r>
        <w:rPr>
          <w:rFonts w:hint="eastAsia" w:ascii="仿宋_GB2312" w:hAnsi="仿宋_GB2312" w:eastAsia="仿宋_GB2312" w:cs="仿宋_GB2312"/>
          <w:color w:val="auto"/>
          <w:sz w:val="32"/>
          <w:szCs w:val="32"/>
          <w:lang w:val="en-US" w:eastAsia="zh-CN" w:bidi="en-US"/>
        </w:rPr>
        <w:t>和</w:t>
      </w:r>
      <w:r>
        <w:rPr>
          <w:rFonts w:hint="eastAsia" w:ascii="仿宋_GB2312" w:hAnsi="仿宋_GB2312" w:eastAsia="仿宋_GB2312" w:cs="仿宋_GB2312"/>
          <w:color w:val="auto"/>
          <w:sz w:val="32"/>
          <w:szCs w:val="32"/>
          <w:lang w:bidi="en-US"/>
        </w:rPr>
        <w:t>《医疗废物集中处置技术规范》相应标准中相关规定</w:t>
      </w:r>
      <w:r>
        <w:rPr>
          <w:rFonts w:hint="eastAsia" w:ascii="仿宋_GB2312" w:hAnsi="仿宋_GB2312" w:eastAsia="仿宋_GB2312" w:cs="仿宋_GB2312"/>
          <w:color w:val="auto"/>
          <w:sz w:val="32"/>
          <w:szCs w:val="32"/>
          <w:lang w:eastAsia="zh-CN" w:bidi="en-US"/>
        </w:rPr>
        <w:t>。</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highlight w:val="none"/>
          <w:lang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cs="仿宋_GB2312"/>
          <w:color w:val="auto"/>
          <w:sz w:val="32"/>
          <w:szCs w:val="32"/>
          <w:lang w:bidi="en-US"/>
        </w:rPr>
        <w:t>西乌珠穆沁旗现代良种牛繁育基地及肉牛生态牧场示范项目（202</w:t>
      </w:r>
      <w:r>
        <w:rPr>
          <w:rFonts w:hint="default" w:ascii="仿宋_GB2312" w:hAnsi="仿宋_GB2312" w:eastAsia="仿宋_GB2312" w:cs="仿宋_GB2312"/>
          <w:color w:val="auto"/>
          <w:sz w:val="32"/>
          <w:szCs w:val="32"/>
          <w:lang w:val="en-US" w:bidi="en-US"/>
        </w:rPr>
        <w:t>3</w:t>
      </w:r>
      <w:r>
        <w:rPr>
          <w:rFonts w:hint="eastAsia" w:ascii="仿宋_GB2312" w:hAnsi="仿宋_GB2312" w:eastAsia="仿宋_GB2312" w:cs="仿宋_GB2312"/>
          <w:color w:val="auto"/>
          <w:sz w:val="32"/>
          <w:szCs w:val="32"/>
          <w:lang w:bidi="en-US"/>
        </w:rPr>
        <w:t>年度）</w:t>
      </w:r>
      <w:r>
        <w:rPr>
          <w:rFonts w:hint="eastAsia" w:ascii="仿宋_GB2312" w:hAnsi="仿宋_GB2312" w:eastAsia="仿宋_GB2312" w:cs="仿宋_GB2312"/>
          <w:color w:val="auto"/>
          <w:sz w:val="32"/>
          <w:szCs w:val="32"/>
          <w:lang w:eastAsia="zh-CN" w:bidi="en-US"/>
        </w:rPr>
        <w:t>青贮窖</w:t>
      </w:r>
      <w:r>
        <w:rPr>
          <w:rFonts w:hint="eastAsia" w:ascii="仿宋_GB2312" w:hAnsi="仿宋_GB2312" w:eastAsia="仿宋_GB2312" w:cs="仿宋_GB2312"/>
          <w:color w:val="auto"/>
          <w:sz w:val="32"/>
          <w:szCs w:val="32"/>
        </w:rPr>
        <w:t>渗滤液由收集池收集后，与青贮窖一同作为饲料</w:t>
      </w:r>
      <w:r>
        <w:rPr>
          <w:rFonts w:hint="eastAsia" w:ascii="仿宋_GB2312" w:hAnsi="仿宋_GB2312" w:eastAsia="仿宋_GB2312" w:cs="仿宋_GB2312"/>
          <w:color w:val="auto"/>
          <w:sz w:val="32"/>
          <w:szCs w:val="32"/>
          <w:lang w:val="en-US" w:eastAsia="zh-CN"/>
        </w:rPr>
        <w:t>利用</w:t>
      </w:r>
      <w:r>
        <w:rPr>
          <w:rFonts w:hint="eastAsia" w:ascii="仿宋_GB2312" w:hAnsi="仿宋_GB2312" w:eastAsia="仿宋_GB2312" w:cs="仿宋_GB2312"/>
          <w:color w:val="auto"/>
          <w:sz w:val="32"/>
          <w:szCs w:val="32"/>
        </w:rPr>
        <w:t>；生活污水经化粪池处理后，定期清掏作农肥</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val="en-US" w:eastAsia="zh-CN"/>
        </w:rPr>
        <w:t>产生的废水</w:t>
      </w:r>
      <w:r>
        <w:rPr>
          <w:rFonts w:hint="eastAsia" w:ascii="仿宋_GB2312" w:hAnsi="仿宋_GB2312" w:eastAsia="仿宋_GB2312" w:cs="仿宋_GB2312"/>
          <w:color w:val="auto"/>
          <w:sz w:val="32"/>
          <w:szCs w:val="32"/>
        </w:rPr>
        <w:t>不外排。</w:t>
      </w:r>
      <w:r>
        <w:rPr>
          <w:rFonts w:hint="eastAsia" w:ascii="仿宋_GB2312" w:hAnsi="仿宋_GB2312" w:eastAsia="仿宋_GB2312" w:cs="仿宋_GB2312"/>
          <w:color w:val="auto"/>
          <w:sz w:val="32"/>
          <w:szCs w:val="32"/>
          <w:highlight w:val="none"/>
          <w:lang w:bidi="en-US"/>
        </w:rPr>
        <w:t>西乌珠穆沁旗畜牧诊疗研究示范中心项目（202</w:t>
      </w:r>
      <w:r>
        <w:rPr>
          <w:rFonts w:hint="default" w:ascii="仿宋_GB2312" w:hAnsi="仿宋_GB2312" w:eastAsia="仿宋_GB2312" w:cs="仿宋_GB2312"/>
          <w:color w:val="auto"/>
          <w:sz w:val="32"/>
          <w:szCs w:val="32"/>
          <w:highlight w:val="none"/>
          <w:lang w:val="en-US" w:bidi="en-US"/>
        </w:rPr>
        <w:t>3</w:t>
      </w:r>
      <w:r>
        <w:rPr>
          <w:rFonts w:hint="eastAsia" w:ascii="仿宋_GB2312" w:hAnsi="仿宋_GB2312" w:eastAsia="仿宋_GB2312" w:cs="仿宋_GB2312"/>
          <w:color w:val="auto"/>
          <w:sz w:val="32"/>
          <w:szCs w:val="32"/>
          <w:highlight w:val="none"/>
          <w:lang w:bidi="en-US"/>
        </w:rPr>
        <w:t>年度）医疗废水</w:t>
      </w:r>
      <w:r>
        <w:rPr>
          <w:rFonts w:hint="eastAsia" w:ascii="仿宋_GB2312" w:hAnsi="仿宋_GB2312" w:eastAsia="仿宋_GB2312" w:cs="仿宋_GB2312"/>
          <w:color w:val="auto"/>
          <w:sz w:val="32"/>
          <w:szCs w:val="32"/>
          <w:highlight w:val="none"/>
          <w:lang w:val="en-US" w:eastAsia="zh-CN" w:bidi="en-US"/>
        </w:rPr>
        <w:t>经</w:t>
      </w:r>
      <w:r>
        <w:rPr>
          <w:rFonts w:hint="eastAsia" w:ascii="仿宋_GB2312" w:hAnsi="仿宋_GB2312" w:eastAsia="仿宋_GB2312" w:cs="仿宋_GB2312"/>
          <w:color w:val="auto"/>
          <w:kern w:val="2"/>
          <w:sz w:val="32"/>
          <w:szCs w:val="32"/>
          <w:highlight w:val="none"/>
          <w:lang w:val="en-US" w:eastAsia="zh-CN" w:bidi="ar-SA"/>
        </w:rPr>
        <w:t>直埋式</w:t>
      </w:r>
      <w:r>
        <w:rPr>
          <w:rFonts w:hint="eastAsia" w:ascii="仿宋_GB2312" w:hAnsi="仿宋_GB2312" w:eastAsia="仿宋_GB2312" w:cs="仿宋_GB2312"/>
          <w:color w:val="auto"/>
          <w:sz w:val="32"/>
          <w:szCs w:val="32"/>
          <w:highlight w:val="none"/>
          <w:lang w:bidi="en-US"/>
        </w:rPr>
        <w:t>一体化设备臭氧消毒处理，出水水质</w:t>
      </w:r>
      <w:r>
        <w:rPr>
          <w:rFonts w:hint="eastAsia" w:ascii="仿宋_GB2312" w:hAnsi="仿宋_GB2312" w:eastAsia="仿宋_GB2312" w:cs="仿宋_GB2312"/>
          <w:color w:val="auto"/>
          <w:sz w:val="32"/>
          <w:szCs w:val="32"/>
          <w:highlight w:val="none"/>
          <w:lang w:val="en-US" w:eastAsia="zh-CN" w:bidi="en-US"/>
        </w:rPr>
        <w:t>需满足</w:t>
      </w:r>
      <w:r>
        <w:rPr>
          <w:rFonts w:hint="eastAsia" w:ascii="仿宋_GB2312" w:hAnsi="仿宋_GB2312" w:eastAsia="仿宋_GB2312" w:cs="仿宋_GB2312"/>
          <w:color w:val="auto"/>
          <w:sz w:val="32"/>
          <w:szCs w:val="32"/>
          <w:highlight w:val="none"/>
          <w:lang w:bidi="en-US"/>
        </w:rPr>
        <w:t>《医疗机构水污染物排放标准》</w:t>
      </w:r>
      <w:r>
        <w:rPr>
          <w:rFonts w:hint="eastAsia" w:ascii="仿宋_GB2312" w:hAnsi="仿宋_GB2312" w:eastAsia="仿宋_GB2312" w:cs="仿宋_GB2312"/>
          <w:color w:val="auto"/>
          <w:sz w:val="32"/>
          <w:szCs w:val="32"/>
          <w:highlight w:val="none"/>
          <w:lang w:val="en-US" w:eastAsia="zh-CN" w:bidi="en-US"/>
        </w:rPr>
        <w:t>要求</w:t>
      </w:r>
      <w:r>
        <w:rPr>
          <w:rFonts w:hint="eastAsia" w:ascii="仿宋_GB2312" w:hAnsi="仿宋_GB2312" w:eastAsia="仿宋_GB2312" w:cs="仿宋_GB2312"/>
          <w:color w:val="auto"/>
          <w:sz w:val="32"/>
          <w:szCs w:val="32"/>
          <w:highlight w:val="none"/>
          <w:lang w:bidi="en-US"/>
        </w:rPr>
        <w:t>，经消毒处理后的医疗废水与生活污水排入化粪池，定期清运至西乌珠穆沁旗污水处理厂处理。化粪池出口水质</w:t>
      </w:r>
      <w:r>
        <w:rPr>
          <w:rFonts w:hint="eastAsia" w:ascii="仿宋_GB2312" w:hAnsi="仿宋_GB2312" w:eastAsia="仿宋_GB2312" w:cs="仿宋_GB2312"/>
          <w:color w:val="auto"/>
          <w:sz w:val="32"/>
          <w:szCs w:val="32"/>
          <w:highlight w:val="none"/>
          <w:lang w:val="en-US" w:eastAsia="zh-CN" w:bidi="en-US"/>
        </w:rPr>
        <w:t>需</w:t>
      </w:r>
      <w:r>
        <w:rPr>
          <w:rFonts w:hint="eastAsia" w:ascii="仿宋_GB2312" w:hAnsi="仿宋_GB2312" w:eastAsia="仿宋_GB2312" w:cs="仿宋_GB2312"/>
          <w:color w:val="auto"/>
          <w:sz w:val="32"/>
          <w:szCs w:val="32"/>
          <w:highlight w:val="none"/>
          <w:lang w:bidi="en-US"/>
        </w:rPr>
        <w:t>满足西乌旗污水处理厂进水水质《污水综合排放标准》（GB8978-1996）三级标准</w:t>
      </w:r>
      <w:r>
        <w:rPr>
          <w:rFonts w:hint="eastAsia" w:ascii="仿宋_GB2312" w:hAnsi="仿宋_GB2312" w:eastAsia="仿宋_GB2312" w:cs="仿宋_GB2312"/>
          <w:color w:val="auto"/>
          <w:sz w:val="32"/>
          <w:szCs w:val="32"/>
          <w:highlight w:val="none"/>
          <w:lang w:val="en-US" w:eastAsia="zh-CN" w:bidi="en-US"/>
        </w:rPr>
        <w:t>要求</w:t>
      </w:r>
      <w:r>
        <w:rPr>
          <w:rFonts w:hint="eastAsia" w:ascii="仿宋_GB2312" w:hAnsi="仿宋_GB2312" w:eastAsia="仿宋_GB2312" w:cs="仿宋_GB2312"/>
          <w:color w:val="auto"/>
          <w:sz w:val="32"/>
          <w:szCs w:val="32"/>
          <w:highlight w:val="none"/>
          <w:lang w:eastAsia="zh-CN" w:bidi="en-US"/>
        </w:rPr>
        <w:t>。</w:t>
      </w:r>
    </w:p>
    <w:p>
      <w:pPr>
        <w:keepNext w:val="0"/>
        <w:keepLines w:val="0"/>
        <w:pageBreakBefore w:val="0"/>
        <w:widowControl w:val="0"/>
        <w:numPr>
          <w:ilvl w:val="0"/>
          <w:numId w:val="0"/>
        </w:numPr>
        <w:kinsoku/>
        <w:wordWrap/>
        <w:overflowPunct/>
        <w:autoSpaceDE w:val="0"/>
        <w:autoSpaceDN w:val="0"/>
        <w:bidi w:val="0"/>
        <w:adjustRightInd w:val="0"/>
        <w:snapToGrid w:val="0"/>
        <w:spacing w:line="500" w:lineRule="exact"/>
        <w:ind w:firstLine="640" w:firstLineChars="200"/>
        <w:jc w:val="both"/>
        <w:textAlignment w:val="auto"/>
        <w:rPr>
          <w:rFonts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（四）严格落实噪声防治措施。</w:t>
      </w:r>
      <w:r>
        <w:rPr>
          <w:rFonts w:hint="eastAsia" w:ascii="仿宋_GB2312" w:hAnsi="仿宋_GB2312" w:eastAsia="仿宋_GB2312" w:cs="仿宋_GB2312"/>
          <w:color w:val="auto"/>
          <w:sz w:val="32"/>
          <w:szCs w:val="32"/>
          <w:lang w:bidi="en-US"/>
        </w:rPr>
        <w:t>优先选用低噪声设备，采取隔声、减振等降噪措施，确保厂（场）界噪声满足《工业企业厂界环境噪声排放标准》</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GB12348-2008</w:t>
      </w:r>
      <w:r>
        <w:rPr>
          <w:rFonts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bidi="en-US"/>
        </w:rPr>
        <w:t>中1类标准。</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（五）</w:t>
      </w:r>
      <w:r>
        <w:rPr>
          <w:rFonts w:hint="eastAsia" w:ascii="仿宋_GB2312" w:hAnsi="仿宋_GB2312" w:eastAsia="仿宋_GB2312" w:cs="仿宋_GB2312"/>
          <w:color w:val="auto"/>
          <w:sz w:val="32"/>
          <w:szCs w:val="32"/>
          <w:lang w:bidi="en-US"/>
        </w:rPr>
        <w:t>严格落实运营期污染源监测计划。按照相关标准、规范等要求，落实报告书提出的环境管理及监测计划，建立运营期污染源监测管理体系，并覆盖常规污染物、特征污染物。如出现污染物超标排放情况，应立即查明原因并采取进一步污染物减排措施。</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pPr>
        <w:keepNext w:val="0"/>
        <w:keepLines w:val="0"/>
        <w:pageBreakBefore w:val="0"/>
        <w:widowControl w:val="0"/>
        <w:kinsoku/>
        <w:wordWrap/>
        <w:overflowPunct/>
        <w:autoSpaceDE w:val="0"/>
        <w:autoSpaceDN w:val="0"/>
        <w:bidi w:val="0"/>
        <w:adjustRightInd w:val="0"/>
        <w:snapToGrid w:val="0"/>
        <w:spacing w:line="500" w:lineRule="exact"/>
        <w:ind w:firstLine="640" w:firstLineChars="200"/>
        <w:jc w:val="both"/>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四、我局委托锡林郭勒盟生态环境局西乌珠穆沁旗分局对该项目各项污染防治措施落实情况进行监督检查和管理。</w:t>
      </w:r>
    </w:p>
    <w:p>
      <w:pPr>
        <w:keepNext w:val="0"/>
        <w:keepLines w:val="0"/>
        <w:pageBreakBefore w:val="0"/>
        <w:widowControl w:val="0"/>
        <w:kinsoku/>
        <w:wordWrap/>
        <w:overflowPunct/>
        <w:autoSpaceDE w:val="0"/>
        <w:autoSpaceDN w:val="0"/>
        <w:bidi w:val="0"/>
        <w:adjustRightInd w:val="0"/>
        <w:snapToGrid w:val="0"/>
        <w:spacing w:line="500" w:lineRule="exact"/>
        <w:textAlignment w:val="auto"/>
        <w:rPr>
          <w:rFonts w:ascii="仿宋_GB2312" w:hAnsi="仿宋_GB2312" w:eastAsia="仿宋_GB2312" w:cs="仿宋_GB2312"/>
          <w:color w:val="auto"/>
          <w:sz w:val="32"/>
          <w:szCs w:val="32"/>
          <w:lang w:bidi="en-US"/>
        </w:rPr>
      </w:pPr>
    </w:p>
    <w:p>
      <w:pPr>
        <w:keepNext w:val="0"/>
        <w:keepLines w:val="0"/>
        <w:pageBreakBefore w:val="0"/>
        <w:widowControl w:val="0"/>
        <w:kinsoku/>
        <w:wordWrap/>
        <w:overflowPunct/>
        <w:autoSpaceDE w:val="0"/>
        <w:autoSpaceDN w:val="0"/>
        <w:bidi w:val="0"/>
        <w:adjustRightInd w:val="0"/>
        <w:snapToGrid w:val="0"/>
        <w:spacing w:line="500" w:lineRule="exact"/>
        <w:ind w:firstLine="3840" w:firstLineChars="1200"/>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锡林郭勒盟生态环境局</w:t>
      </w:r>
    </w:p>
    <w:p>
      <w:pPr>
        <w:keepNext w:val="0"/>
        <w:keepLines w:val="0"/>
        <w:pageBreakBefore w:val="0"/>
        <w:widowControl w:val="0"/>
        <w:kinsoku/>
        <w:wordWrap/>
        <w:overflowPunct/>
        <w:autoSpaceDE w:val="0"/>
        <w:autoSpaceDN w:val="0"/>
        <w:bidi w:val="0"/>
        <w:adjustRightInd w:val="0"/>
        <w:snapToGrid w:val="0"/>
        <w:spacing w:line="500" w:lineRule="exact"/>
        <w:ind w:firstLine="4800" w:firstLineChars="1500"/>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2023年</w:t>
      </w:r>
      <w:r>
        <w:rPr>
          <w:rFonts w:hint="default" w:ascii="仿宋_GB2312" w:hAnsi="仿宋_GB2312" w:eastAsia="仿宋_GB2312" w:cs="仿宋_GB2312"/>
          <w:color w:val="auto"/>
          <w:sz w:val="32"/>
          <w:szCs w:val="32"/>
          <w:lang w:val="en-US" w:bidi="en-US"/>
        </w:rPr>
        <w:t>8</w:t>
      </w:r>
      <w:r>
        <w:rPr>
          <w:rFonts w:hint="eastAsia" w:ascii="仿宋_GB2312" w:hAnsi="仿宋_GB2312" w:eastAsia="仿宋_GB2312" w:cs="仿宋_GB2312"/>
          <w:color w:val="auto"/>
          <w:sz w:val="32"/>
          <w:szCs w:val="32"/>
          <w:lang w:bidi="en-US"/>
        </w:rPr>
        <w:t>月</w:t>
      </w:r>
      <w:r>
        <w:rPr>
          <w:rFonts w:hint="default" w:ascii="仿宋_GB2312" w:hAnsi="仿宋_GB2312" w:eastAsia="仿宋_GB2312" w:cs="仿宋_GB2312"/>
          <w:color w:val="auto"/>
          <w:sz w:val="32"/>
          <w:szCs w:val="32"/>
          <w:lang w:val="en-US" w:bidi="en-US"/>
        </w:rPr>
        <w:t>2</w:t>
      </w:r>
      <w:r>
        <w:rPr>
          <w:rFonts w:hint="eastAsia" w:ascii="仿宋_GB2312" w:hAnsi="仿宋_GB2312" w:eastAsia="仿宋_GB2312" w:cs="仿宋_GB2312"/>
          <w:color w:val="auto"/>
          <w:sz w:val="32"/>
          <w:szCs w:val="32"/>
          <w:lang w:bidi="en-US"/>
        </w:rPr>
        <w:t>日</w:t>
      </w:r>
    </w:p>
    <w:p>
      <w:pPr>
        <w:pStyle w:val="2"/>
      </w:pPr>
    </w:p>
    <w:p>
      <w:pPr>
        <w:pStyle w:val="16"/>
        <w:keepNext w:val="0"/>
        <w:keepLines w:val="0"/>
        <w:pageBreakBefore w:val="0"/>
        <w:widowControl w:val="0"/>
        <w:kinsoku/>
        <w:wordWrap/>
        <w:overflowPunct/>
        <w:topLinePunct w:val="0"/>
        <w:bidi w:val="0"/>
        <w:snapToGrid/>
        <w:spacing w:line="500" w:lineRule="exact"/>
        <w:jc w:val="both"/>
        <w:textAlignment w:val="auto"/>
        <w:rPr>
          <w:rFonts w:ascii="仿宋" w:hAnsi="仿宋" w:eastAsia="仿宋" w:cs="仿宋"/>
          <w:color w:val="auto"/>
          <w:kern w:val="2"/>
          <w:sz w:val="28"/>
          <w:szCs w:val="28"/>
          <w:lang w:bidi="en-US"/>
        </w:rPr>
      </w:pPr>
      <w:r>
        <w:rPr>
          <w:rFonts w:hint="eastAsia" w:ascii="仿宋" w:hAnsi="仿宋" w:eastAsia="仿宋" w:cs="仿宋"/>
          <w:color w:val="auto"/>
          <w:kern w:val="2"/>
          <w:sz w:val="28"/>
          <w:szCs w:val="28"/>
          <w:lang w:bidi="en-US"/>
        </w:rPr>
        <w:t>抄送：盟生态环境综合行政执法支队</w:t>
      </w:r>
      <w:r>
        <w:rPr>
          <w:rFonts w:hint="eastAsia" w:ascii="仿宋" w:hAnsi="仿宋" w:eastAsia="仿宋" w:cs="仿宋"/>
          <w:color w:val="auto"/>
          <w:kern w:val="2"/>
          <w:sz w:val="28"/>
          <w:szCs w:val="28"/>
          <w:lang w:eastAsia="zh-CN" w:bidi="en-US"/>
        </w:rPr>
        <w:t>，</w:t>
      </w:r>
      <w:r>
        <w:rPr>
          <w:rFonts w:hint="eastAsia" w:ascii="仿宋" w:hAnsi="仿宋" w:eastAsia="仿宋" w:cs="仿宋"/>
          <w:color w:val="auto"/>
          <w:kern w:val="2"/>
          <w:sz w:val="28"/>
          <w:szCs w:val="28"/>
          <w:lang w:bidi="en-US"/>
        </w:rPr>
        <w:t>盟生态环境局</w:t>
      </w:r>
      <w:r>
        <w:rPr>
          <w:rFonts w:hint="eastAsia" w:ascii="仿宋" w:hAnsi="仿宋" w:eastAsia="仿宋" w:cs="仿宋"/>
          <w:color w:val="auto"/>
          <w:kern w:val="2"/>
          <w:sz w:val="28"/>
          <w:szCs w:val="28"/>
          <w:lang w:eastAsia="zh-Hans" w:bidi="en-US"/>
        </w:rPr>
        <w:t>西乌旗</w:t>
      </w:r>
      <w:r>
        <w:rPr>
          <w:rFonts w:hint="eastAsia" w:ascii="仿宋" w:hAnsi="仿宋" w:eastAsia="仿宋" w:cs="仿宋"/>
          <w:color w:val="auto"/>
          <w:kern w:val="2"/>
          <w:sz w:val="28"/>
          <w:szCs w:val="28"/>
          <w:lang w:bidi="en-US"/>
        </w:rPr>
        <w:t>分局</w:t>
      </w:r>
    </w:p>
    <w:p>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ascii="仿宋" w:hAnsi="仿宋" w:eastAsia="仿宋" w:cs="仿宋"/>
          <w:color w:val="auto"/>
          <w:sz w:val="28"/>
          <w:szCs w:val="28"/>
        </w:rPr>
      </w:pPr>
      <w:r>
        <w:rPr>
          <w:rFonts w:hint="eastAsia" w:ascii="仿宋" w:hAnsi="仿宋" w:eastAsia="仿宋" w:cs="仿宋"/>
          <w:color w:val="auto"/>
          <w:sz w:val="28"/>
          <w:szCs w:val="28"/>
        </w:rPr>
        <w:t>锡林郭勒盟生态环境局办公室              2023年</w:t>
      </w:r>
      <w:r>
        <w:rPr>
          <w:rFonts w:hint="default" w:ascii="仿宋" w:hAnsi="仿宋" w:eastAsia="仿宋" w:cs="仿宋"/>
          <w:color w:val="auto"/>
          <w:sz w:val="28"/>
          <w:szCs w:val="28"/>
          <w:lang w:val="en-US"/>
        </w:rPr>
        <w:t>8</w:t>
      </w:r>
      <w:r>
        <w:rPr>
          <w:rFonts w:hint="eastAsia" w:ascii="仿宋" w:hAnsi="仿宋" w:eastAsia="仿宋" w:cs="仿宋"/>
          <w:color w:val="auto"/>
          <w:sz w:val="28"/>
          <w:szCs w:val="28"/>
        </w:rPr>
        <w:t>月</w:t>
      </w:r>
      <w:r>
        <w:rPr>
          <w:rFonts w:hint="default" w:ascii="仿宋" w:hAnsi="仿宋" w:eastAsia="仿宋" w:cs="仿宋"/>
          <w:color w:val="auto"/>
          <w:sz w:val="28"/>
          <w:szCs w:val="28"/>
          <w:lang w:val="en-US"/>
        </w:rPr>
        <w:t>2</w:t>
      </w:r>
      <w:r>
        <w:rPr>
          <w:rFonts w:hint="eastAsia" w:ascii="仿宋" w:hAnsi="仿宋" w:eastAsia="仿宋" w:cs="仿宋"/>
          <w:color w:val="auto"/>
          <w:sz w:val="28"/>
          <w:szCs w:val="28"/>
        </w:rPr>
        <w:t>日印发</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4082137"/>
    <w:rsid w:val="08125FE6"/>
    <w:rsid w:val="09F707CE"/>
    <w:rsid w:val="0EE27BE5"/>
    <w:rsid w:val="134A4ECA"/>
    <w:rsid w:val="1D61177E"/>
    <w:rsid w:val="1F9C573C"/>
    <w:rsid w:val="29D8150D"/>
    <w:rsid w:val="2CF929A0"/>
    <w:rsid w:val="2F1F3E8C"/>
    <w:rsid w:val="46B26845"/>
    <w:rsid w:val="4A3B72B4"/>
    <w:rsid w:val="56990422"/>
    <w:rsid w:val="68387D94"/>
    <w:rsid w:val="6E1A4AAF"/>
    <w:rsid w:val="78CC1696"/>
    <w:rsid w:val="7FD626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adjustRightInd w:val="0"/>
      <w:ind w:firstLine="420"/>
      <w:textAlignment w:val="baseline"/>
    </w:pPr>
    <w:rPr>
      <w:rFonts w:ascii="宋体" w:hAnsi="宋体"/>
      <w:sz w:val="18"/>
      <w:szCs w:val="18"/>
    </w:rPr>
  </w:style>
  <w:style w:type="paragraph" w:styleId="3">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5">
    <w:name w:val="Normal Indent"/>
    <w:basedOn w:val="1"/>
    <w:next w:val="2"/>
    <w:qFormat/>
    <w:uiPriority w:val="0"/>
    <w:pPr>
      <w:ind w:firstLine="420" w:firstLineChars="200"/>
    </w:pPr>
    <w:rPr>
      <w:rFonts w:ascii="Times New Roman" w:hAnsi="Times New Roman" w:eastAsia="宋体"/>
      <w:szCs w:val="24"/>
    </w:rPr>
  </w:style>
  <w:style w:type="paragraph" w:styleId="6">
    <w:name w:val="annotation text"/>
    <w:basedOn w:val="1"/>
    <w:link w:val="23"/>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4"/>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正文1"/>
    <w:basedOn w:val="16"/>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paragraph" w:customStyle="1" w:styleId="16">
    <w:name w:val="Default"/>
    <w:basedOn w:val="17"/>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纯文本1"/>
    <w:basedOn w:val="1"/>
    <w:qFormat/>
    <w:uiPriority w:val="0"/>
    <w:rPr>
      <w:rFonts w:ascii="宋体" w:hAnsi="Courier New"/>
      <w:szCs w:val="20"/>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8"/>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6"/>
    <w:semiHidden/>
    <w:qFormat/>
    <w:uiPriority w:val="99"/>
    <w:rPr>
      <w:kern w:val="2"/>
      <w:sz w:val="21"/>
      <w:szCs w:val="22"/>
    </w:rPr>
  </w:style>
  <w:style w:type="character" w:customStyle="1" w:styleId="24">
    <w:name w:val="批注主题 字符"/>
    <w:basedOn w:val="23"/>
    <w:link w:val="10"/>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1980</Words>
  <Characters>2152</Characters>
  <Lines>19</Lines>
  <Paragraphs>5</Paragraphs>
  <TotalTime>30</TotalTime>
  <ScaleCrop>false</ScaleCrop>
  <LinksUpToDate>false</LinksUpToDate>
  <CharactersWithSpaces>2167</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2023-01-30T09:32:00Z</dcterms:created>
  <dc:creator>hui hui</dc:creator>
  <cp:lastModifiedBy>zilchs</cp:lastModifiedBy>
  <cp:lastPrinted>2023-01-30T09:39:00Z</cp:lastPrinted>
  <dcterms:modified xsi:type="dcterms:W3CDTF">2023-08-01T07:22:09Z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3756DD9593EC4225BBDBAAA3CB0E4682</vt:lpwstr>
  </property>
</Properties>
</file>