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19号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US" w:eastAsia="zh-CN"/>
        </w:rPr>
      </w:pPr>
      <w:r>
        <w:rPr>
          <w:rFonts w:hint="eastAsia" w:ascii="方正小标宋简体" w:hAnsi="方正小标宋简体" w:eastAsia="方正小标宋简体" w:cs="方正小标宋简体"/>
          <w:b/>
          <w:bCs/>
          <w:color w:val="auto"/>
          <w:sz w:val="44"/>
          <w:szCs w:val="44"/>
          <w:highlight w:val="none"/>
          <w:lang w:val="en-US" w:eastAsia="zh-CN"/>
        </w:rPr>
        <w:t>锡林郭勒盟生态环境局</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于锡林浩特市鑫友废品收购站年产5000吨再生塑料颗粒建设项目</w:t>
      </w: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锡林浩特市鑫友废品收购站：</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w:t>
      </w:r>
      <w:r>
        <w:rPr>
          <w:rFonts w:hint="eastAsia" w:ascii="仿宋_GB2312" w:hAnsi="仿宋_GB2312" w:eastAsia="仿宋_GB2312" w:cs="仿宋_GB2312"/>
          <w:color w:val="auto"/>
          <w:sz w:val="32"/>
          <w:szCs w:val="32"/>
          <w:highlight w:val="none"/>
          <w:lang w:val="en-GB" w:eastAsia="zh-CN"/>
        </w:rPr>
        <w:t>由内蒙古中昕生态环保技术有限公司编制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锡林浩特市鑫友废品收购站年产5000吨再生塑料颗粒建设项目》</w:t>
      </w:r>
      <w:r>
        <w:rPr>
          <w:rFonts w:hint="eastAsia" w:ascii="仿宋_GB2312" w:hAnsi="仿宋_GB2312" w:eastAsia="仿宋_GB2312" w:cs="仿宋_GB2312"/>
          <w:color w:val="auto"/>
          <w:sz w:val="32"/>
          <w:szCs w:val="32"/>
          <w:highlight w:val="none"/>
          <w:lang w:val="en-US" w:eastAsia="zh-CN"/>
        </w:rPr>
        <w:t>环境影响</w:t>
      </w:r>
      <w:r>
        <w:rPr>
          <w:rFonts w:hint="eastAsia" w:ascii="仿宋_GB2312" w:hAnsi="仿宋_GB2312" w:eastAsia="仿宋_GB2312" w:cs="仿宋_GB2312"/>
          <w:color w:val="auto"/>
          <w:sz w:val="32"/>
          <w:szCs w:val="32"/>
          <w:highlight w:val="none"/>
          <w:lang w:val="en-GB" w:eastAsia="zh-CN"/>
        </w:rPr>
        <w:t>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黑体" w:hAnsi="黑体" w:eastAsia="黑体" w:cs="黑体"/>
          <w:color w:val="auto"/>
          <w:sz w:val="32"/>
          <w:szCs w:val="32"/>
          <w:highlight w:val="none"/>
          <w:lang w:val="en-GB" w:eastAsia="zh-CN"/>
        </w:rPr>
      </w:pPr>
      <w:r>
        <w:rPr>
          <w:rFonts w:hint="eastAsia" w:ascii="黑体" w:hAnsi="黑体" w:eastAsia="黑体" w:cs="黑体"/>
          <w:color w:val="auto"/>
          <w:sz w:val="32"/>
          <w:szCs w:val="32"/>
          <w:highlight w:val="none"/>
          <w:lang w:val="en-GB" w:eastAsia="zh-CN"/>
        </w:rPr>
        <w:t>一、建设项目基本情况</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中小企业聚集区建材绒毛区，项目租用现有厂房进行改造后作为生产车间和库房，生产区占地面积为300平方米，原料区占地面积为150平方米，成品占地面积为100平方米，一般固废暂存区50平方米，危废暂存间5平方米。PP（聚丙烯）再生塑料颗粒1500吨/年、PE（聚乙烯塑料）再生塑料颗粒1500吨/年、PET（聚对苯二甲酸乙二醇酯）再生塑料颗粒2000吨/年。总投资100万元，其中环保投资30万元，占比30%。</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根据《产业结构调整指导目录（2019年本）》，该项目属于鼓励类。经审查符合锡林浩特市总体规划，符合“三线一单”要求。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黑体" w:hAnsi="黑体" w:eastAsia="黑体" w:cs="黑体"/>
          <w:color w:val="auto"/>
          <w:sz w:val="32"/>
          <w:szCs w:val="32"/>
          <w:highlight w:val="none"/>
          <w:lang w:eastAsia="zh-CN"/>
        </w:rPr>
      </w:pPr>
      <w:r>
        <w:rPr>
          <w:rFonts w:hint="eastAsia" w:ascii="黑体" w:hAnsi="黑体" w:eastAsia="黑体" w:cs="黑体"/>
          <w:color w:val="auto"/>
          <w:sz w:val="32"/>
          <w:szCs w:val="32"/>
          <w:highlight w:val="none"/>
          <w:lang w:eastAsia="zh-CN"/>
        </w:rPr>
        <w:t>二、项目建设及运营过程中的相关职责</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3" w:firstLineChars="200"/>
        <w:jc w:val="both"/>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（一）废气方面</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大气污染防治措施。项目运营期主要大气污染物为破碎粉尘、熔融挤出废气。针对产生的破碎粉尘，通过“集气罩+布袋除尘器”处理后，经排气筒达标排放；产生的熔融挤出废气（主要为挥发性有机物）通过“UV光氧催化+活性炭”处理后，经排气筒达标排放。针对生产过程中产生的无组织废气采取通风措施，安装排气扇，加强厂内的通风换气，确保大气污染物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color w:val="auto"/>
          <w:kern w:val="2"/>
          <w:sz w:val="32"/>
          <w:szCs w:val="32"/>
          <w:highlight w:val="none"/>
          <w:lang w:val="en-US" w:eastAsia="zh-CN" w:bidi="ar-SA"/>
        </w:rPr>
      </w:pPr>
      <w:r>
        <w:rPr>
          <w:rFonts w:hint="eastAsia" w:ascii="楷体" w:hAnsi="楷体" w:eastAsia="楷体" w:cs="楷体"/>
          <w:b/>
          <w:bCs/>
          <w:color w:val="auto"/>
          <w:kern w:val="2"/>
          <w:sz w:val="32"/>
          <w:szCs w:val="32"/>
          <w:highlight w:val="none"/>
          <w:lang w:val="en-US" w:eastAsia="zh-CN" w:bidi="ar-SA"/>
        </w:rPr>
        <w:t>（二）废水方面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严格落实各项水污染防治措施。项目运营期主要废水为生产废水和生活污水，生产废水主要包括清洗废水、循环冷却水排水、压滤废水、车间地面冲洗废水。项目产生的所有生产废水均排入“沉淀池+一体化污水处理设备”处理后回用于生产用水，不外排；项目产生的生活废水依托附近旱厕，定期清掏。</w:t>
      </w:r>
    </w:p>
    <w:p>
      <w:pPr>
        <w:pStyle w:val="38"/>
        <w:keepNext w:val="0"/>
        <w:keepLines w:val="0"/>
        <w:pageBreakBefore w:val="0"/>
        <w:kinsoku/>
        <w:overflowPunct/>
        <w:topLinePunct w:val="0"/>
        <w:bidi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（三）噪声方面</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严格落实噪声防治措施。通过选用低噪声设备，并对各机械设备采取相应的消声、隔音、减振、降噪措施，确保噪声达标排放。</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（四）固废方面</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加强固体废物处置管理。按照固体废物“资源化、减量化、无害化”处置原则，落实各类固体废物的收集、处置和综合利用措施。项目运营期产生的废活性炭、废UV灯管暂存于危废暂存间后，定期由有资质的第三方进行处置。危险废物暂存应严格按照《中华人民共和国固体废物污染环境防治法》、《危险废物贮存污染控制标准》（GB18597-2023）、《危险废物收集</w:t>
      </w:r>
      <w:bookmarkStart w:id="0" w:name="_GoBack"/>
      <w:bookmarkEnd w:id="0"/>
      <w:r>
        <w:rPr>
          <w:rFonts w:hint="eastAsia" w:ascii="仿宋_GB2312" w:hAnsi="仿宋_GB2312" w:eastAsia="仿宋_GB2312" w:cs="仿宋_GB2312"/>
          <w:color w:val="auto"/>
          <w:kern w:val="2"/>
          <w:sz w:val="32"/>
          <w:szCs w:val="32"/>
          <w:highlight w:val="none"/>
          <w:lang w:val="en-US" w:eastAsia="zh-CN" w:bidi="ar-SA"/>
        </w:rPr>
        <w:t>贮存运输技术规范》（HJ2025-2012）等有关要求执行。</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（五）进一步提高环保投入，提高周边绿化率。</w:t>
      </w:r>
    </w:p>
    <w:p>
      <w:pPr>
        <w:keepNext w:val="0"/>
        <w:keepLines w:val="0"/>
        <w:pageBreakBefore w:val="0"/>
        <w:kinsoku/>
        <w:overflowPunct/>
        <w:topLinePunct w:val="0"/>
        <w:autoSpaceDE/>
        <w:autoSpaceDN/>
        <w:bidi w:val="0"/>
        <w:adjustRightInd w:val="0"/>
        <w:spacing w:line="560" w:lineRule="exact"/>
        <w:ind w:firstLine="643" w:firstLineChars="200"/>
        <w:textAlignment w:val="auto"/>
        <w:rPr>
          <w:rFonts w:hint="eastAsia" w:ascii="楷体" w:hAnsi="楷体" w:eastAsia="楷体" w:cs="楷体"/>
          <w:b/>
          <w:bCs/>
          <w:sz w:val="32"/>
          <w:szCs w:val="32"/>
          <w:highlight w:val="none"/>
          <w:lang w:val="en-US" w:eastAsia="zh-CN"/>
        </w:rPr>
      </w:pPr>
      <w:r>
        <w:rPr>
          <w:rFonts w:hint="eastAsia" w:ascii="楷体" w:hAnsi="楷体" w:eastAsia="楷体" w:cs="楷体"/>
          <w:b/>
          <w:bCs/>
          <w:sz w:val="32"/>
          <w:szCs w:val="32"/>
          <w:highlight w:val="none"/>
          <w:lang w:val="en-US" w:eastAsia="zh-CN"/>
        </w:rPr>
        <w:t>（六）做好各防渗区的防渗工作。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eastAsia="zh-CN"/>
        </w:rPr>
      </w:pPr>
      <w:r>
        <w:rPr>
          <w:rFonts w:hint="eastAsia" w:ascii="黑体" w:hAnsi="黑体" w:eastAsia="黑体" w:cs="黑体"/>
          <w:sz w:val="32"/>
          <w:szCs w:val="32"/>
          <w:highlight w:val="none"/>
          <w:lang w:eastAsia="zh-CN"/>
        </w:rPr>
        <w:t>三、执行“三同时”制度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黑体" w:hAnsi="黑体" w:eastAsia="黑体" w:cs="黑体"/>
          <w:sz w:val="32"/>
          <w:szCs w:val="32"/>
          <w:highlight w:val="none"/>
          <w:lang w:val="en-US" w:eastAsia="zh-CN"/>
        </w:rPr>
      </w:pPr>
      <w:r>
        <w:rPr>
          <w:rFonts w:hint="eastAsia" w:ascii="黑体" w:hAnsi="黑体" w:eastAsia="黑体" w:cs="黑体"/>
          <w:sz w:val="32"/>
          <w:szCs w:val="32"/>
          <w:highlight w:val="none"/>
          <w:lang w:val="en-US" w:eastAsia="zh-CN"/>
        </w:rPr>
        <w:t>四、其他要求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4480" w:firstLineChars="14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w:t>
      </w:r>
    </w:p>
    <w:p>
      <w:pPr>
        <w:keepNext w:val="0"/>
        <w:keepLines w:val="0"/>
        <w:pageBreakBefore w:val="0"/>
        <w:widowControl w:val="0"/>
        <w:kinsoku/>
        <w:wordWrap/>
        <w:overflowPunct/>
        <w:topLinePunct w:val="0"/>
        <w:autoSpaceDE/>
        <w:autoSpaceDN/>
        <w:bidi w:val="0"/>
        <w:spacing w:line="560" w:lineRule="exact"/>
        <w:ind w:firstLine="4800" w:firstLineChars="15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2023年8月24日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28"/>
          <w:szCs w:val="28"/>
          <w:highlight w:val="none"/>
          <w:lang w:val="en-US" w:eastAsia="zh-CN"/>
        </w:rPr>
      </w:pPr>
      <w:r>
        <w:rPr>
          <w:rFonts w:hint="eastAsia" w:ascii="仿宋_GB2312" w:hAnsi="仿宋_GB2312" w:eastAsia="仿宋_GB2312" w:cs="仿宋_GB2312"/>
          <w:sz w:val="28"/>
          <w:szCs w:val="28"/>
        </w:rPr>
        <w:pict>
          <v:line id="_x0000_s2050" o:spid="_x0000_s2050" o:spt="20" style="position:absolute;left:0pt;margin-left:-1.1pt;margin-top:31.85pt;height:0.05pt;width:443.25pt;z-index:251660288;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rPr>
        <w:pict>
          <v:line id="_x0000_s2051" o:spid="_x0000_s2051" o:spt="20" style="position:absolute;left:0pt;margin-left:-1.1pt;margin-top:3.35pt;height:0.05pt;width:443.25pt;z-index:251659264;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抄送：盟生态环境综合行政执法支队、盟生态环境局锡市分局</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280" w:firstLineChars="1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28"/>
          <w:szCs w:val="28"/>
        </w:rPr>
        <w:pict>
          <v:line id="_x0000_s2052" o:spid="_x0000_s2052" o:spt="20" style="position:absolute;left:0pt;margin-left:-1.1pt;margin-top:32.35pt;height:0.05pt;width:443.25pt;z-index:251661312;mso-width-relative:page;mso-height-relative:page;" filled="f" stroked="t" coordsize="21600,21600">
            <v:path arrowok="t"/>
            <v:fill on="f" focussize="0,0"/>
            <v:stroke color="#000000"/>
            <v:imagedata o:title=""/>
            <o:lock v:ext="edit" aspectratio="f"/>
          </v:line>
        </w:pict>
      </w:r>
      <w:r>
        <w:rPr>
          <w:rFonts w:hint="eastAsia" w:ascii="仿宋_GB2312" w:hAnsi="仿宋_GB2312" w:eastAsia="仿宋_GB2312" w:cs="仿宋_GB2312"/>
          <w:sz w:val="28"/>
          <w:szCs w:val="28"/>
          <w:highlight w:val="none"/>
          <w:lang w:val="en-US" w:eastAsia="zh-CN"/>
        </w:rPr>
        <w:t>锡林郭勒盟生态环境局办公室              2023年8月24日印发</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BF4BB3"/>
    <w:rsid w:val="01D027C7"/>
    <w:rsid w:val="030516AD"/>
    <w:rsid w:val="03D3430C"/>
    <w:rsid w:val="04A62A1C"/>
    <w:rsid w:val="04B24A3D"/>
    <w:rsid w:val="05015B69"/>
    <w:rsid w:val="0536008A"/>
    <w:rsid w:val="05EE5EAB"/>
    <w:rsid w:val="05FD5DAF"/>
    <w:rsid w:val="061834A6"/>
    <w:rsid w:val="068C7BAB"/>
    <w:rsid w:val="06C13B3D"/>
    <w:rsid w:val="06E25813"/>
    <w:rsid w:val="07D679D6"/>
    <w:rsid w:val="08421F33"/>
    <w:rsid w:val="0A1E3055"/>
    <w:rsid w:val="0A1F2635"/>
    <w:rsid w:val="0A6C3DC0"/>
    <w:rsid w:val="0A727E13"/>
    <w:rsid w:val="0A7D449D"/>
    <w:rsid w:val="0AB734AE"/>
    <w:rsid w:val="0AF711F7"/>
    <w:rsid w:val="0B5636A6"/>
    <w:rsid w:val="0B6479CA"/>
    <w:rsid w:val="0B6F2EDB"/>
    <w:rsid w:val="0B89417D"/>
    <w:rsid w:val="0C6E02C3"/>
    <w:rsid w:val="0C741368"/>
    <w:rsid w:val="0C9B2141"/>
    <w:rsid w:val="0D502605"/>
    <w:rsid w:val="0D66331E"/>
    <w:rsid w:val="0DC94DA4"/>
    <w:rsid w:val="0E146C48"/>
    <w:rsid w:val="0E3D4B2E"/>
    <w:rsid w:val="0EED24A6"/>
    <w:rsid w:val="0F11030D"/>
    <w:rsid w:val="0FA21F87"/>
    <w:rsid w:val="10613C9B"/>
    <w:rsid w:val="106354F4"/>
    <w:rsid w:val="10773E64"/>
    <w:rsid w:val="10C07D7B"/>
    <w:rsid w:val="11815149"/>
    <w:rsid w:val="119E5AF7"/>
    <w:rsid w:val="12294659"/>
    <w:rsid w:val="122A1D6A"/>
    <w:rsid w:val="12521974"/>
    <w:rsid w:val="130268C3"/>
    <w:rsid w:val="131F1FCB"/>
    <w:rsid w:val="132E02BD"/>
    <w:rsid w:val="135651C1"/>
    <w:rsid w:val="14971B67"/>
    <w:rsid w:val="14C46DB6"/>
    <w:rsid w:val="15181BDE"/>
    <w:rsid w:val="15202312"/>
    <w:rsid w:val="15F333FA"/>
    <w:rsid w:val="16D501A3"/>
    <w:rsid w:val="16F92D6D"/>
    <w:rsid w:val="177469AA"/>
    <w:rsid w:val="17AC6C55"/>
    <w:rsid w:val="182E7B61"/>
    <w:rsid w:val="18312669"/>
    <w:rsid w:val="183C77F0"/>
    <w:rsid w:val="188D23CD"/>
    <w:rsid w:val="18E453EE"/>
    <w:rsid w:val="19B92B11"/>
    <w:rsid w:val="1AEA175E"/>
    <w:rsid w:val="1B01027C"/>
    <w:rsid w:val="1B4F5180"/>
    <w:rsid w:val="1BDE167F"/>
    <w:rsid w:val="1C1F33B6"/>
    <w:rsid w:val="1CA76B20"/>
    <w:rsid w:val="1DB95116"/>
    <w:rsid w:val="1E806643"/>
    <w:rsid w:val="1FAE4B27"/>
    <w:rsid w:val="1FC10A48"/>
    <w:rsid w:val="201C53DD"/>
    <w:rsid w:val="20292BAB"/>
    <w:rsid w:val="20315438"/>
    <w:rsid w:val="204C4C91"/>
    <w:rsid w:val="20DE5961"/>
    <w:rsid w:val="21041E6B"/>
    <w:rsid w:val="2130749E"/>
    <w:rsid w:val="21A66755"/>
    <w:rsid w:val="21B6640A"/>
    <w:rsid w:val="21E61F52"/>
    <w:rsid w:val="233353D8"/>
    <w:rsid w:val="233E3859"/>
    <w:rsid w:val="23B15449"/>
    <w:rsid w:val="23B764AD"/>
    <w:rsid w:val="23BD04C6"/>
    <w:rsid w:val="25C348F5"/>
    <w:rsid w:val="25DD46CA"/>
    <w:rsid w:val="2635407F"/>
    <w:rsid w:val="271664C8"/>
    <w:rsid w:val="272A677C"/>
    <w:rsid w:val="273A4B0A"/>
    <w:rsid w:val="27650460"/>
    <w:rsid w:val="278F23BE"/>
    <w:rsid w:val="28407363"/>
    <w:rsid w:val="28632662"/>
    <w:rsid w:val="292F2370"/>
    <w:rsid w:val="29A20219"/>
    <w:rsid w:val="29A51477"/>
    <w:rsid w:val="29CC3487"/>
    <w:rsid w:val="2A5A302F"/>
    <w:rsid w:val="2A942287"/>
    <w:rsid w:val="2AB067B8"/>
    <w:rsid w:val="2AF85194"/>
    <w:rsid w:val="2B330DF4"/>
    <w:rsid w:val="2C1005F7"/>
    <w:rsid w:val="2C39284C"/>
    <w:rsid w:val="2C8114F5"/>
    <w:rsid w:val="2CC02721"/>
    <w:rsid w:val="2DAB78D5"/>
    <w:rsid w:val="2E977312"/>
    <w:rsid w:val="2FAF6DA2"/>
    <w:rsid w:val="2FB4465A"/>
    <w:rsid w:val="30124C6C"/>
    <w:rsid w:val="30894624"/>
    <w:rsid w:val="30E2185C"/>
    <w:rsid w:val="30EB2DA6"/>
    <w:rsid w:val="32295BF1"/>
    <w:rsid w:val="325A1A38"/>
    <w:rsid w:val="32687E62"/>
    <w:rsid w:val="328A6C2A"/>
    <w:rsid w:val="32941DA2"/>
    <w:rsid w:val="333A6BDB"/>
    <w:rsid w:val="3372163A"/>
    <w:rsid w:val="34C07527"/>
    <w:rsid w:val="34F177D6"/>
    <w:rsid w:val="353F1F4D"/>
    <w:rsid w:val="357311CC"/>
    <w:rsid w:val="358D790F"/>
    <w:rsid w:val="35D72A2D"/>
    <w:rsid w:val="37354BB1"/>
    <w:rsid w:val="37BA771F"/>
    <w:rsid w:val="37D943F6"/>
    <w:rsid w:val="37EB5A0A"/>
    <w:rsid w:val="38CD7870"/>
    <w:rsid w:val="392D793A"/>
    <w:rsid w:val="39CE76C6"/>
    <w:rsid w:val="3A0260F2"/>
    <w:rsid w:val="3BC60B27"/>
    <w:rsid w:val="3C604630"/>
    <w:rsid w:val="3CC03FCC"/>
    <w:rsid w:val="3CF77C7E"/>
    <w:rsid w:val="3D497C0B"/>
    <w:rsid w:val="3DCC51DE"/>
    <w:rsid w:val="3DDE2FC6"/>
    <w:rsid w:val="3F156020"/>
    <w:rsid w:val="403E2E27"/>
    <w:rsid w:val="405F6E03"/>
    <w:rsid w:val="40E77C4E"/>
    <w:rsid w:val="4126715F"/>
    <w:rsid w:val="415E49CC"/>
    <w:rsid w:val="4182744A"/>
    <w:rsid w:val="42A31D6D"/>
    <w:rsid w:val="42C90C42"/>
    <w:rsid w:val="42F90D88"/>
    <w:rsid w:val="43776D56"/>
    <w:rsid w:val="446B68BB"/>
    <w:rsid w:val="447251DD"/>
    <w:rsid w:val="44855CA5"/>
    <w:rsid w:val="44E952E8"/>
    <w:rsid w:val="45515E7D"/>
    <w:rsid w:val="459171B6"/>
    <w:rsid w:val="45921C25"/>
    <w:rsid w:val="459612D4"/>
    <w:rsid w:val="45DA1917"/>
    <w:rsid w:val="472B6FD6"/>
    <w:rsid w:val="48CE52B4"/>
    <w:rsid w:val="495E6D91"/>
    <w:rsid w:val="49631BE5"/>
    <w:rsid w:val="49B45AEF"/>
    <w:rsid w:val="4A2164A4"/>
    <w:rsid w:val="4A5F68A6"/>
    <w:rsid w:val="4AAB47B2"/>
    <w:rsid w:val="4AE65F38"/>
    <w:rsid w:val="4AE66C9B"/>
    <w:rsid w:val="4B2D5499"/>
    <w:rsid w:val="4B534ADE"/>
    <w:rsid w:val="4B5E2D3C"/>
    <w:rsid w:val="4B92472D"/>
    <w:rsid w:val="4CE536ED"/>
    <w:rsid w:val="4D142C43"/>
    <w:rsid w:val="4E2978F9"/>
    <w:rsid w:val="4EAA7967"/>
    <w:rsid w:val="4EC8490A"/>
    <w:rsid w:val="4EF90DF2"/>
    <w:rsid w:val="4F4727B8"/>
    <w:rsid w:val="4FA672D9"/>
    <w:rsid w:val="4FD92552"/>
    <w:rsid w:val="52707792"/>
    <w:rsid w:val="52D5668E"/>
    <w:rsid w:val="532F7E23"/>
    <w:rsid w:val="539E0D30"/>
    <w:rsid w:val="53B463FB"/>
    <w:rsid w:val="54820218"/>
    <w:rsid w:val="54933F16"/>
    <w:rsid w:val="54E52EBD"/>
    <w:rsid w:val="5531510A"/>
    <w:rsid w:val="575E7CEE"/>
    <w:rsid w:val="57A85382"/>
    <w:rsid w:val="58D316BE"/>
    <w:rsid w:val="58D971B2"/>
    <w:rsid w:val="59090B79"/>
    <w:rsid w:val="59D25F10"/>
    <w:rsid w:val="59D70FAC"/>
    <w:rsid w:val="5A294206"/>
    <w:rsid w:val="5BBF087E"/>
    <w:rsid w:val="5C4001D5"/>
    <w:rsid w:val="5C635BEB"/>
    <w:rsid w:val="5CC83756"/>
    <w:rsid w:val="5D0775B6"/>
    <w:rsid w:val="5D9A7A22"/>
    <w:rsid w:val="5DCB6DD4"/>
    <w:rsid w:val="5DE829AC"/>
    <w:rsid w:val="5E002436"/>
    <w:rsid w:val="5E2002BE"/>
    <w:rsid w:val="5E3C306F"/>
    <w:rsid w:val="5E55710C"/>
    <w:rsid w:val="5EBE21AB"/>
    <w:rsid w:val="5FE0642B"/>
    <w:rsid w:val="600F69AC"/>
    <w:rsid w:val="608E4DD3"/>
    <w:rsid w:val="60BF3BD0"/>
    <w:rsid w:val="61A4171D"/>
    <w:rsid w:val="61BF76EB"/>
    <w:rsid w:val="623D4D9E"/>
    <w:rsid w:val="623E6920"/>
    <w:rsid w:val="62620407"/>
    <w:rsid w:val="638D5263"/>
    <w:rsid w:val="63971B60"/>
    <w:rsid w:val="63A21756"/>
    <w:rsid w:val="63AA1151"/>
    <w:rsid w:val="63E8362C"/>
    <w:rsid w:val="652266CA"/>
    <w:rsid w:val="65312F5D"/>
    <w:rsid w:val="663928D5"/>
    <w:rsid w:val="66E83653"/>
    <w:rsid w:val="670A57CB"/>
    <w:rsid w:val="67B67782"/>
    <w:rsid w:val="681650AF"/>
    <w:rsid w:val="684D4516"/>
    <w:rsid w:val="686D481A"/>
    <w:rsid w:val="68704CA1"/>
    <w:rsid w:val="68A53B10"/>
    <w:rsid w:val="6A3C25FC"/>
    <w:rsid w:val="6A6C56F5"/>
    <w:rsid w:val="6AEF61B9"/>
    <w:rsid w:val="6AF7127B"/>
    <w:rsid w:val="6BA12544"/>
    <w:rsid w:val="6BA506E6"/>
    <w:rsid w:val="6BEB1D6D"/>
    <w:rsid w:val="6C536D8E"/>
    <w:rsid w:val="6C80730C"/>
    <w:rsid w:val="6C9F2F49"/>
    <w:rsid w:val="6CA218CA"/>
    <w:rsid w:val="6CA80FF3"/>
    <w:rsid w:val="6CF81186"/>
    <w:rsid w:val="6D87173F"/>
    <w:rsid w:val="6E7E0DC8"/>
    <w:rsid w:val="6E922181"/>
    <w:rsid w:val="6EDA7AF8"/>
    <w:rsid w:val="6EEA7AC9"/>
    <w:rsid w:val="6F026942"/>
    <w:rsid w:val="6FA7614A"/>
    <w:rsid w:val="6FD235D4"/>
    <w:rsid w:val="6FD60FB9"/>
    <w:rsid w:val="6FD96BEA"/>
    <w:rsid w:val="700B2DF3"/>
    <w:rsid w:val="701A3237"/>
    <w:rsid w:val="702F7D5E"/>
    <w:rsid w:val="7081011F"/>
    <w:rsid w:val="70885C1F"/>
    <w:rsid w:val="70A46FBF"/>
    <w:rsid w:val="71136822"/>
    <w:rsid w:val="715C20BD"/>
    <w:rsid w:val="7179417A"/>
    <w:rsid w:val="71B41EA2"/>
    <w:rsid w:val="71C13442"/>
    <w:rsid w:val="728C7822"/>
    <w:rsid w:val="73113901"/>
    <w:rsid w:val="733379D0"/>
    <w:rsid w:val="739B6B02"/>
    <w:rsid w:val="73B667CD"/>
    <w:rsid w:val="73DE1E5F"/>
    <w:rsid w:val="74086579"/>
    <w:rsid w:val="741F48A4"/>
    <w:rsid w:val="747344DC"/>
    <w:rsid w:val="749E0175"/>
    <w:rsid w:val="753D2C37"/>
    <w:rsid w:val="758703C2"/>
    <w:rsid w:val="75B535E3"/>
    <w:rsid w:val="75B866F3"/>
    <w:rsid w:val="75C311C4"/>
    <w:rsid w:val="75D4756D"/>
    <w:rsid w:val="76B741D6"/>
    <w:rsid w:val="76CF69C8"/>
    <w:rsid w:val="771E6CEF"/>
    <w:rsid w:val="7776339E"/>
    <w:rsid w:val="7779709C"/>
    <w:rsid w:val="77901A51"/>
    <w:rsid w:val="77FC1E31"/>
    <w:rsid w:val="78016A91"/>
    <w:rsid w:val="799A104A"/>
    <w:rsid w:val="79D21B26"/>
    <w:rsid w:val="79D7578B"/>
    <w:rsid w:val="7A025D62"/>
    <w:rsid w:val="7A3C1B84"/>
    <w:rsid w:val="7AA27D05"/>
    <w:rsid w:val="7AB210C0"/>
    <w:rsid w:val="7B401BFC"/>
    <w:rsid w:val="7B68293E"/>
    <w:rsid w:val="7B6C561B"/>
    <w:rsid w:val="7BF368E4"/>
    <w:rsid w:val="7C3D17CD"/>
    <w:rsid w:val="7C5510E6"/>
    <w:rsid w:val="7D375301"/>
    <w:rsid w:val="7D4C5FD6"/>
    <w:rsid w:val="7D994C5A"/>
    <w:rsid w:val="7DB027AB"/>
    <w:rsid w:val="7E2E2268"/>
    <w:rsid w:val="7E5432D3"/>
    <w:rsid w:val="7E6C32B7"/>
    <w:rsid w:val="7E6E2DB9"/>
    <w:rsid w:val="7ECD3704"/>
    <w:rsid w:val="7ED06E49"/>
    <w:rsid w:val="7EDE23FF"/>
    <w:rsid w:val="7F4F3A11"/>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Info spid="_x0000_s2050"/>
    <customShpInfo spid="_x0000_s2051"/>
    <customShpInfo spid="_x0000_s2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1296</Words>
  <Characters>1365</Characters>
  <Lines>20</Lines>
  <Paragraphs>5</Paragraphs>
  <TotalTime>14</TotalTime>
  <ScaleCrop>false</ScaleCrop>
  <LinksUpToDate>false</LinksUpToDate>
  <CharactersWithSpaces>1379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2023-05-06T07:52:00Z</cp:lastPrinted>
  <dcterms:modified xsi:type="dcterms:W3CDTF">2023-08-31T03:37:51Z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