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rFonts w:hAnsi="仿宋" w:eastAsia="仿宋"/>
          <w:sz w:val="30"/>
          <w:szCs w:val="30"/>
        </w:rPr>
      </w:pPr>
    </w:p>
    <w:p>
      <w:pPr>
        <w:keepNext w:val="0"/>
        <w:keepLines w:val="0"/>
        <w:pageBreakBefore w:val="0"/>
        <w:widowControl w:val="0"/>
        <w:kinsoku/>
        <w:wordWrap/>
        <w:overflowPunct/>
        <w:topLinePunct w:val="0"/>
        <w:autoSpaceDE/>
        <w:autoSpaceDN/>
        <w:bidi w:val="0"/>
        <w:adjustRightInd/>
        <w:snapToGrid/>
        <w:spacing w:before="313" w:beforeLines="100"/>
        <w:jc w:val="center"/>
        <w:textAlignment w:val="auto"/>
        <w:rPr>
          <w:rFonts w:hint="eastAsia" w:ascii="Times New Roman" w:cs="Times New Roman"/>
          <w:sz w:val="44"/>
          <w:szCs w:val="44"/>
        </w:rPr>
      </w:pPr>
      <w:r>
        <w:rPr>
          <w:rFonts w:hint="eastAsia" w:ascii="仿宋_GB2312" w:hAnsi="仿宋_GB2312" w:eastAsia="仿宋_GB2312" w:cs="仿宋_GB2312"/>
          <w:sz w:val="30"/>
          <w:szCs w:val="30"/>
        </w:rPr>
        <w:t>锡市环</w:t>
      </w:r>
      <w:r>
        <w:rPr>
          <w:rFonts w:hint="eastAsia" w:ascii="仿宋_GB2312" w:hAnsi="仿宋_GB2312" w:eastAsia="仿宋_GB2312" w:cs="仿宋_GB2312"/>
          <w:sz w:val="30"/>
          <w:szCs w:val="30"/>
          <w:lang w:val="en-US" w:eastAsia="zh-CN"/>
        </w:rPr>
        <w:t>表</w:t>
      </w:r>
      <w:r>
        <w:rPr>
          <w:rFonts w:hint="eastAsia" w:ascii="仿宋_GB2312" w:hAnsi="仿宋_GB2312" w:eastAsia="仿宋_GB2312" w:cs="仿宋_GB2312"/>
          <w:sz w:val="30"/>
          <w:szCs w:val="30"/>
        </w:rPr>
        <w:t>[20</w:t>
      </w:r>
      <w:r>
        <w:rPr>
          <w:rFonts w:hint="eastAsia" w:ascii="仿宋_GB2312" w:hAnsi="仿宋_GB2312" w:eastAsia="仿宋_GB2312" w:cs="仿宋_GB2312"/>
          <w:sz w:val="30"/>
          <w:szCs w:val="30"/>
          <w:lang w:val="en-US" w:eastAsia="zh-CN"/>
        </w:rPr>
        <w:t>22</w:t>
      </w:r>
      <w:r>
        <w:rPr>
          <w:rFonts w:hint="eastAsia" w:ascii="仿宋_GB2312" w:hAnsi="仿宋_GB2312" w:eastAsia="仿宋_GB2312" w:cs="仿宋_GB2312"/>
          <w:sz w:val="30"/>
          <w:szCs w:val="30"/>
        </w:rPr>
        <w:t>]第</w:t>
      </w:r>
      <w:r>
        <w:rPr>
          <w:rFonts w:hint="eastAsia" w:ascii="仿宋_GB2312" w:hAnsi="仿宋_GB2312" w:eastAsia="仿宋_GB2312" w:cs="仿宋_GB2312"/>
          <w:sz w:val="30"/>
          <w:szCs w:val="30"/>
          <w:lang w:val="en-US" w:eastAsia="zh-CN"/>
        </w:rPr>
        <w:t>26</w:t>
      </w:r>
      <w:r>
        <w:rPr>
          <w:rFonts w:hint="eastAsia" w:ascii="仿宋_GB2312" w:hAnsi="仿宋_GB2312" w:eastAsia="仿宋_GB2312" w:cs="仿宋_GB2312"/>
          <w:sz w:val="30"/>
          <w:szCs w:val="30"/>
        </w:rPr>
        <w:t>号</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eastAsia="zh-CN"/>
        </w:rPr>
        <w:t>关于中材科技（锡林郭勒）风电叶片</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eastAsia="zh-CN"/>
        </w:rPr>
        <w:t>有限公司90米级产线改建项目环境影响报告表的批复</w:t>
      </w:r>
    </w:p>
    <w:p>
      <w:pPr>
        <w:ind w:firstLine="880" w:firstLineChars="200"/>
        <w:rPr>
          <w:rFonts w:ascii="Times New Roman" w:cs="Times New Roman"/>
          <w:sz w:val="44"/>
          <w:szCs w:val="44"/>
        </w:rPr>
      </w:pPr>
    </w:p>
    <w:p>
      <w:pPr>
        <w:rPr>
          <w:rFonts w:hint="eastAsia" w:ascii="仿宋_GB2312" w:hAnsi="仿宋_GB2312" w:eastAsia="仿宋_GB2312" w:cs="仿宋_GB2312"/>
          <w:sz w:val="32"/>
          <w:szCs w:val="32"/>
          <w:lang w:val="en-GB" w:eastAsia="zh-CN"/>
        </w:rPr>
      </w:pPr>
      <w:r>
        <w:rPr>
          <w:rFonts w:hint="eastAsia" w:ascii="仿宋_GB2312" w:hAnsi="仿宋_GB2312" w:eastAsia="仿宋_GB2312" w:cs="仿宋_GB2312"/>
          <w:sz w:val="32"/>
          <w:szCs w:val="32"/>
          <w:lang w:val="en-GB" w:eastAsia="zh-CN"/>
        </w:rPr>
        <w:t>中材科技（锡林郭勒）风电叶片有限公司：</w:t>
      </w:r>
    </w:p>
    <w:p>
      <w:pPr>
        <w:ind w:firstLine="640" w:firstLineChars="200"/>
        <w:rPr>
          <w:rFonts w:hint="eastAsia" w:ascii="仿宋_GB2312" w:hAnsi="仿宋_GB2312" w:eastAsia="仿宋_GB2312" w:cs="仿宋_GB2312"/>
          <w:sz w:val="32"/>
          <w:szCs w:val="32"/>
          <w:lang w:val="en-GB"/>
        </w:rPr>
      </w:pPr>
      <w:r>
        <w:rPr>
          <w:rFonts w:hint="eastAsia" w:ascii="仿宋_GB2312" w:hAnsi="仿宋_GB2312" w:eastAsia="仿宋_GB2312" w:cs="仿宋_GB2312"/>
          <w:sz w:val="32"/>
          <w:szCs w:val="32"/>
          <w:lang w:val="en-GB"/>
        </w:rPr>
        <w:t>你</w:t>
      </w:r>
      <w:r>
        <w:rPr>
          <w:rFonts w:hint="eastAsia" w:ascii="仿宋_GB2312" w:hAnsi="仿宋_GB2312" w:eastAsia="仿宋_GB2312" w:cs="仿宋_GB2312"/>
          <w:sz w:val="32"/>
          <w:szCs w:val="32"/>
          <w:lang w:val="en-GB" w:eastAsia="zh-CN"/>
        </w:rPr>
        <w:t>公司</w:t>
      </w:r>
      <w:r>
        <w:rPr>
          <w:rFonts w:hint="eastAsia" w:ascii="仿宋_GB2312" w:hAnsi="仿宋_GB2312" w:eastAsia="仿宋_GB2312" w:cs="仿宋_GB2312"/>
          <w:sz w:val="32"/>
          <w:szCs w:val="32"/>
          <w:lang w:val="en-GB"/>
        </w:rPr>
        <w:t>报送的由</w:t>
      </w:r>
      <w:r>
        <w:rPr>
          <w:rFonts w:hint="eastAsia" w:ascii="仿宋_GB2312" w:hAnsi="仿宋_GB2312" w:eastAsia="仿宋_GB2312" w:cs="仿宋_GB2312"/>
          <w:sz w:val="32"/>
          <w:szCs w:val="32"/>
          <w:lang w:val="en-US" w:eastAsia="zh-CN"/>
        </w:rPr>
        <w:t>兴安盟韦创</w:t>
      </w:r>
      <w:r>
        <w:rPr>
          <w:rFonts w:hint="eastAsia" w:ascii="仿宋_GB2312" w:hAnsi="仿宋_GB2312" w:eastAsia="仿宋_GB2312" w:cs="仿宋_GB2312"/>
          <w:sz w:val="32"/>
          <w:szCs w:val="32"/>
          <w:lang w:val="en-GB" w:eastAsia="zh-CN"/>
        </w:rPr>
        <w:t>环保科技有限公司编制《</w:t>
      </w:r>
      <w:r>
        <w:rPr>
          <w:rFonts w:hint="eastAsia" w:ascii="仿宋_GB2312" w:hAnsi="仿宋_GB2312" w:eastAsia="仿宋_GB2312" w:cs="仿宋_GB2312"/>
          <w:sz w:val="32"/>
          <w:szCs w:val="32"/>
          <w:lang w:val="en-US" w:eastAsia="zh-CN"/>
        </w:rPr>
        <w:t>中材科技（锡林郭勒）风电叶片有限公司90米级产线改建项目</w:t>
      </w:r>
      <w:r>
        <w:rPr>
          <w:rFonts w:hint="eastAsia" w:ascii="仿宋_GB2312" w:hAnsi="仿宋_GB2312" w:eastAsia="仿宋_GB2312" w:cs="仿宋_GB2312"/>
          <w:sz w:val="32"/>
          <w:szCs w:val="32"/>
          <w:lang w:val="en-GB" w:eastAsia="zh-CN"/>
        </w:rPr>
        <w:t>》环境影响报告表已收悉。现批</w:t>
      </w:r>
      <w:r>
        <w:rPr>
          <w:rFonts w:hint="eastAsia" w:ascii="仿宋_GB2312" w:hAnsi="仿宋_GB2312" w:eastAsia="仿宋_GB2312" w:cs="仿宋_GB2312"/>
          <w:sz w:val="32"/>
          <w:szCs w:val="32"/>
          <w:lang w:val="en-GB"/>
        </w:rPr>
        <w:t>复如下：</w:t>
      </w:r>
    </w:p>
    <w:p>
      <w:pPr>
        <w:pStyle w:val="18"/>
        <w:numPr>
          <w:ilvl w:val="0"/>
          <w:numId w:val="1"/>
        </w:numPr>
        <w:ind w:firstLineChars="0"/>
        <w:rPr>
          <w:rFonts w:hint="eastAsia" w:ascii="仿宋_GB2312" w:hAnsi="仿宋_GB2312" w:eastAsia="仿宋_GB2312" w:cs="仿宋_GB2312"/>
          <w:sz w:val="32"/>
        </w:rPr>
      </w:pPr>
      <w:r>
        <w:rPr>
          <w:rFonts w:hint="eastAsia" w:ascii="仿宋_GB2312" w:hAnsi="仿宋_GB2312" w:eastAsia="仿宋_GB2312" w:cs="仿宋_GB2312"/>
          <w:sz w:val="32"/>
          <w:szCs w:val="32"/>
          <w:lang w:val="en-GB"/>
        </w:rPr>
        <w:t>项目概况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本项目建设地点位于锡林浩特市锡林大街东段中材风电厂区内。项目对原切边车间进行扩建并将原材料仓库改为部件车间，同时将成型车间东侧进行土地平整以及对部件车间进行拆除，新建1座生产准备车间及辅助用房。改扩建重新布局后，现有车间可满足2套90（185）+2套93（191）+2套80.8+2套76.5，能够满足十四五期间预计185/191机型叶片生产，同时为将来更大叶型（百米级叶型）生产做准备</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项目总投资998.765万元，其中环保设施投资15万元，占总投资的1.55%。项</w:t>
      </w:r>
      <w:r>
        <w:rPr>
          <w:rFonts w:hint="eastAsia" w:ascii="仿宋_GB2312" w:hAnsi="仿宋_GB2312" w:eastAsia="仿宋_GB2312" w:cs="仿宋_GB2312"/>
          <w:kern w:val="2"/>
          <w:sz w:val="32"/>
          <w:szCs w:val="32"/>
          <w:lang w:val="en-US" w:eastAsia="zh-CN" w:bidi="ar-SA"/>
        </w:rPr>
        <w:t>目属于《产业结构调整指导目录（2019年本）》允许类。经审查符合锡林浩特市总体规划，符合“三线一单”要求。</w:t>
      </w:r>
    </w:p>
    <w:p>
      <w:pPr>
        <w:pStyle w:val="18"/>
        <w:numPr>
          <w:ilvl w:val="0"/>
          <w:numId w:val="1"/>
        </w:numPr>
        <w:ind w:firstLineChars="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eastAsia="zh-CN"/>
        </w:rPr>
        <w:t>项目在设计、建设和运营期过程中应做好以下工</w:t>
      </w:r>
    </w:p>
    <w:p>
      <w:pPr>
        <w:pStyle w:val="18"/>
        <w:numPr>
          <w:ilvl w:val="0"/>
          <w:numId w:val="0"/>
        </w:numPr>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eastAsia="zh-CN"/>
        </w:rPr>
        <w:t>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（一）</w:t>
      </w:r>
      <w:r>
        <w:rPr>
          <w:rFonts w:hint="eastAsia" w:ascii="仿宋_GB2312" w:hAnsi="仿宋_GB2312" w:eastAsia="仿宋_GB2312" w:cs="仿宋_GB2312"/>
          <w:color w:val="auto"/>
          <w:sz w:val="32"/>
          <w:szCs w:val="32"/>
          <w:lang w:val="en-US" w:eastAsia="zh-CN"/>
        </w:rPr>
        <w:t>施工期采取设置围挡、洒水降尘、大风天气不进行施工作业等措施，减轻施工扬尘对大气环境的影响。运营期大气污染物主要为主梁预制产生的粉尘以及各车间产生的</w:t>
      </w:r>
      <w:r>
        <w:rPr>
          <w:rFonts w:hint="eastAsia" w:ascii="仿宋_GB2312" w:hAnsi="仿宋_GB2312" w:eastAsia="仿宋_GB2312" w:cs="仿宋_GB2312"/>
          <w:b/>
          <w:bCs/>
          <w:color w:val="auto"/>
          <w:sz w:val="32"/>
          <w:szCs w:val="32"/>
          <w:lang w:val="en-US" w:eastAsia="zh-CN"/>
        </w:rPr>
        <w:t>voc</w:t>
      </w:r>
      <w:r>
        <w:rPr>
          <w:rFonts w:hint="eastAsia" w:ascii="仿宋_GB2312" w:hAnsi="仿宋_GB2312" w:eastAsia="仿宋_GB2312" w:cs="仿宋_GB2312"/>
          <w:b/>
          <w:bCs/>
          <w:color w:val="auto"/>
          <w:sz w:val="32"/>
          <w:szCs w:val="32"/>
          <w:vertAlign w:val="subscript"/>
          <w:lang w:val="en-US" w:eastAsia="zh-CN"/>
        </w:rPr>
        <w:t>s</w:t>
      </w:r>
      <w:r>
        <w:rPr>
          <w:rFonts w:hint="default"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主梁预制产生的粉尘采取移动式布袋除尘装置对生产粉尘进行净化；辊漆车间产生的VOCS负压收集后，采用集气系统+滤网除尘器+活性炭吸附+催化燃烧+24m高排气筒。其他生产车间采用密闭混胶+真空灌注工艺+大循环微负压空气置换系统+活性炭</w:t>
      </w:r>
      <w:bookmarkStart w:id="0" w:name="_GoBack"/>
      <w:bookmarkEnd w:id="0"/>
      <w:r>
        <w:rPr>
          <w:rFonts w:hint="eastAsia" w:ascii="仿宋_GB2312" w:hAnsi="仿宋_GB2312" w:eastAsia="仿宋_GB2312" w:cs="仿宋_GB2312"/>
          <w:color w:val="auto"/>
          <w:sz w:val="32"/>
          <w:szCs w:val="32"/>
          <w:lang w:val="en-US" w:eastAsia="zh-CN"/>
        </w:rPr>
        <w:t>吸附处理</w:t>
      </w:r>
      <w:r>
        <w:rPr>
          <w:rFonts w:hint="default"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（二）项目施工期废水主要为施工人员产生的生活污水和少量的设备冲洗废水。在施工场地设置临时沉淀池，施工废水经沉淀池处理后回用或泼洒场地抑尘；施工人员生活污水依托厂区现有污水处理设施处理。</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（三）通过尽量选用低噪声的施工机械和工艺、加强各类设备的维护和保养、距离衰减等措施使项目厂界噪声达标排放。</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四）施工期固体废物主要为施工过程中产生的弃土、弃料等建筑垃圾和施工人员生活垃圾。建筑垃圾主要为施工过程中产生的弃土、弃料等。可以回用于项目建设中，不能回用的部分运往环卫部门指定地点进行统一处理；施工过程中对施工人员产生的生活垃圾集中收集，后定期交由环卫部门进行处理。运营期产生的固体废物主要为移动式布袋除尘装置产生的收尘灰、废弃边角料及生活垃圾。一般工业固废收集后定期交由第三方进行处置；生活垃</w:t>
      </w:r>
      <w:r>
        <w:rPr>
          <w:rFonts w:hint="eastAsia" w:ascii="仿宋_GB2312" w:hAnsi="仿宋_GB2312" w:eastAsia="仿宋_GB2312" w:cs="仿宋_GB2312"/>
          <w:sz w:val="32"/>
          <w:szCs w:val="32"/>
          <w:lang w:val="en-US" w:eastAsia="zh-CN"/>
        </w:rPr>
        <w:t>圾可交由环卫部门处理；若产生危险废物可依托原有危险废物暂存间进行储存，定期交由有处置资质的单位进行处置。</w:t>
      </w:r>
    </w:p>
    <w:p>
      <w:pPr>
        <w:pStyle w:val="18"/>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（五）增加环保投入，厂区空地及建筑周边布置绿化带，提高厂区周边绿化率。</w:t>
      </w:r>
    </w:p>
    <w:p>
      <w:pPr>
        <w:pStyle w:val="18"/>
        <w:numPr>
          <w:ilvl w:val="0"/>
          <w:numId w:val="0"/>
        </w:num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三、项目建设必须严格执行环境保护设施与主体工程同时设计、同时施工、同时投产使用的环境保护“三同时”制度。</w:t>
      </w:r>
    </w:p>
    <w:p>
      <w:pPr>
        <w:pStyle w:val="18"/>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（一）要将环境保护措施纳入初步设计报告并落实环保设施投资概要。</w:t>
      </w:r>
    </w:p>
    <w:p>
      <w:pPr>
        <w:pStyle w:val="18"/>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（二）要将环境保护设施建设纳入施工合同，保证环境保护设施建设进度和资金。</w:t>
      </w:r>
    </w:p>
    <w:p>
      <w:pPr>
        <w:pStyle w:val="18"/>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（三）项目竣工后须按规定程序实施竣工环境保护验收，验收合格后方可正式投运。</w:t>
      </w:r>
    </w:p>
    <w:p>
      <w:pPr>
        <w:pStyle w:val="18"/>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四、锡林郭勒盟生态环境综合行政执法支队对该项目建设期间各项生态环境保护措施落实情况进行监督检查和管理。</w:t>
      </w:r>
    </w:p>
    <w:p>
      <w:pPr>
        <w:pStyle w:val="18"/>
        <w:numPr>
          <w:ilvl w:val="0"/>
          <w:numId w:val="0"/>
        </w:numPr>
        <w:ind w:left="640" w:leftChars="0"/>
        <w:rPr>
          <w:rFonts w:hint="eastAsia" w:ascii="仿宋_GB2312" w:hAnsi="仿宋_GB2312" w:eastAsia="仿宋_GB2312" w:cs="仿宋_GB2312"/>
          <w:sz w:val="32"/>
          <w:szCs w:val="32"/>
          <w:lang w:val="en-US" w:eastAsia="zh-CN"/>
        </w:rPr>
      </w:pPr>
    </w:p>
    <w:p>
      <w:pPr>
        <w:pStyle w:val="3"/>
        <w:spacing w:line="400" w:lineRule="atLeast"/>
        <w:ind w:left="71" w:leftChars="34"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ind w:firstLine="640" w:firstLineChars="200"/>
        <w:rPr>
          <w:rFonts w:hint="eastAsia" w:ascii="仿宋_GB2312" w:hAnsi="仿宋_GB2312" w:eastAsia="仿宋_GB2312" w:cs="仿宋_GB2312"/>
          <w:sz w:val="32"/>
          <w:szCs w:val="32"/>
        </w:rPr>
      </w:pPr>
    </w:p>
    <w:p>
      <w:pPr>
        <w:ind w:firstLine="2560" w:firstLineChars="8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锡林郭勒盟生态环境局锡林浩特市分局</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2022年5月26日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pStyle w:val="17"/>
        <w:rPr>
          <w:rFonts w:hint="eastAsia" w:ascii="仿宋_GB2312" w:hAnsi="仿宋_GB2312" w:eastAsia="仿宋_GB2312" w:cs="仿宋_GB2312"/>
          <w:sz w:val="32"/>
          <w:szCs w:val="32"/>
        </w:rPr>
      </w:pPr>
    </w:p>
    <w:p>
      <w:pPr>
        <w:pStyle w:val="17"/>
        <w:ind w:left="0" w:leftChars="0" w:firstLine="0" w:firstLineChars="0"/>
        <w:rPr>
          <w:rFonts w:hint="eastAsia" w:ascii="仿宋" w:hAnsi="仿宋" w:eastAsia="仿宋"/>
          <w:sz w:val="32"/>
          <w:szCs w:val="32"/>
        </w:rPr>
      </w:pPr>
      <w:r>
        <w:rPr>
          <w:rFonts w:hint="eastAsia" w:ascii="仿宋_GB2312" w:hAnsi="仿宋_GB2312" w:eastAsia="仿宋_GB2312" w:cs="仿宋_GB2312"/>
          <w:sz w:val="32"/>
          <w:szCs w:val="32"/>
          <w:lang w:eastAsia="zh-CN"/>
        </w:rPr>
        <w:t>抄送：锡林郭勒盟生态环境局、</w:t>
      </w:r>
      <w:r>
        <w:rPr>
          <w:rFonts w:hint="eastAsia" w:ascii="仿宋_GB2312" w:hAnsi="仿宋_GB2312" w:eastAsia="仿宋_GB2312" w:cs="仿宋_GB2312"/>
          <w:sz w:val="32"/>
          <w:szCs w:val="32"/>
          <w:lang w:val="en-US" w:eastAsia="zh-CN"/>
        </w:rPr>
        <w:t>锡林郭勒盟生态环境综合行政执法支队</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8"/>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1E71C8"/>
    <w:multiLevelType w:val="multilevel"/>
    <w:tmpl w:val="781E71C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jYyMmM5ZWViZDE5OGI0MjM4NzczOTJkMWU3N2M1YTEifQ=="/>
  </w:docVars>
  <w:rsids>
    <w:rsidRoot w:val="001E271C"/>
    <w:rsid w:val="001E271C"/>
    <w:rsid w:val="00B87117"/>
    <w:rsid w:val="00C762FE"/>
    <w:rsid w:val="00E83F57"/>
    <w:rsid w:val="01166DA6"/>
    <w:rsid w:val="01D027C7"/>
    <w:rsid w:val="031E15FA"/>
    <w:rsid w:val="0D502605"/>
    <w:rsid w:val="0EF761DD"/>
    <w:rsid w:val="119E5AF7"/>
    <w:rsid w:val="149A47B1"/>
    <w:rsid w:val="21041E6B"/>
    <w:rsid w:val="333A6BDB"/>
    <w:rsid w:val="37562DE2"/>
    <w:rsid w:val="37D943F6"/>
    <w:rsid w:val="39CE76C6"/>
    <w:rsid w:val="3BC60B27"/>
    <w:rsid w:val="405F6E03"/>
    <w:rsid w:val="41FB1E94"/>
    <w:rsid w:val="43CF02DF"/>
    <w:rsid w:val="4A5848C5"/>
    <w:rsid w:val="4CFC4D25"/>
    <w:rsid w:val="4E2978F9"/>
    <w:rsid w:val="532F7E23"/>
    <w:rsid w:val="58D316BE"/>
    <w:rsid w:val="5A294206"/>
    <w:rsid w:val="5D0775B6"/>
    <w:rsid w:val="60BF3BD0"/>
    <w:rsid w:val="61BF76EB"/>
    <w:rsid w:val="68704CA1"/>
    <w:rsid w:val="6BEB1D6D"/>
    <w:rsid w:val="6E7E0DC8"/>
    <w:rsid w:val="6FD235D4"/>
    <w:rsid w:val="79C448BF"/>
    <w:rsid w:val="7E233823"/>
    <w:rsid w:val="7E261132"/>
    <w:rsid w:val="7E3F32EC"/>
    <w:rsid w:val="7EE122B2"/>
    <w:rsid w:val="7FD10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qFormat/>
    <w:uiPriority w:val="0"/>
    <w:pPr>
      <w:autoSpaceDE/>
      <w:autoSpaceDN/>
      <w:snapToGrid w:val="0"/>
      <w:spacing w:after="120" w:line="360" w:lineRule="auto"/>
      <w:ind w:firstLine="420" w:firstLineChars="100"/>
      <w:jc w:val="both"/>
    </w:pPr>
    <w:rPr>
      <w:rFonts w:ascii="仿宋_GB2312" w:eastAsia="仿宋_GB2312"/>
      <w:kern w:val="2"/>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footer"/>
    <w:basedOn w:val="1"/>
    <w:link w:val="21"/>
    <w:qFormat/>
    <w:uiPriority w:val="99"/>
    <w:pPr>
      <w:tabs>
        <w:tab w:val="center" w:pos="4153"/>
        <w:tab w:val="right" w:pos="8306"/>
      </w:tabs>
      <w:snapToGrid w:val="0"/>
      <w:jc w:val="left"/>
    </w:pPr>
    <w:rPr>
      <w:sz w:val="18"/>
      <w:szCs w:val="18"/>
    </w:rPr>
  </w:style>
  <w:style w:type="paragraph" w:styleId="9">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0">
    <w:name w:val="index heading"/>
    <w:basedOn w:val="1"/>
    <w:next w:val="11"/>
    <w:qFormat/>
    <w:uiPriority w:val="99"/>
    <w:rPr>
      <w:rFonts w:hint="eastAsia" w:ascii="Cambria" w:hAnsi="Cambria"/>
      <w:b/>
    </w:rPr>
  </w:style>
  <w:style w:type="paragraph" w:styleId="11">
    <w:name w:val="index 1"/>
    <w:basedOn w:val="1"/>
    <w:next w:val="1"/>
    <w:qFormat/>
    <w:uiPriority w:val="99"/>
  </w:style>
  <w:style w:type="paragraph" w:styleId="12">
    <w:name w:val="Normal (Web)"/>
    <w:basedOn w:val="1"/>
    <w:qFormat/>
    <w:uiPriority w:val="0"/>
    <w:pPr>
      <w:widowControl/>
      <w:spacing w:before="100" w:beforeAutospacing="1" w:after="100" w:afterAutospacing="1"/>
      <w:jc w:val="left"/>
    </w:pPr>
    <w:rPr>
      <w:rFonts w:ascii="宋体" w:hAnsi="宋体"/>
      <w:kern w:val="0"/>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Hyperlink"/>
    <w:basedOn w:val="15"/>
    <w:qFormat/>
    <w:uiPriority w:val="0"/>
    <w:rPr>
      <w:color w:val="0000FF"/>
      <w:u w:val="single"/>
    </w:rPr>
  </w:style>
  <w:style w:type="paragraph" w:customStyle="1" w:styleId="17">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18">
    <w:name w:val="列出段落1"/>
    <w:basedOn w:val="1"/>
    <w:qFormat/>
    <w:uiPriority w:val="34"/>
    <w:pPr>
      <w:ind w:firstLine="420" w:firstLineChars="200"/>
    </w:pPr>
  </w:style>
  <w:style w:type="paragraph" w:customStyle="1" w:styleId="19">
    <w:name w:val="a正文"/>
    <w:basedOn w:val="1"/>
    <w:qFormat/>
    <w:uiPriority w:val="0"/>
    <w:pPr>
      <w:adjustRightInd w:val="0"/>
      <w:snapToGrid w:val="0"/>
      <w:spacing w:line="360" w:lineRule="auto"/>
      <w:ind w:firstLine="200" w:firstLineChars="200"/>
    </w:pPr>
    <w:rPr>
      <w:kern w:val="0"/>
      <w:sz w:val="24"/>
      <w:szCs w:val="20"/>
    </w:rPr>
  </w:style>
  <w:style w:type="character" w:customStyle="1" w:styleId="20">
    <w:name w:val="页眉 Char"/>
    <w:basedOn w:val="15"/>
    <w:link w:val="9"/>
    <w:qFormat/>
    <w:uiPriority w:val="0"/>
    <w:rPr>
      <w:kern w:val="2"/>
      <w:sz w:val="18"/>
      <w:szCs w:val="18"/>
    </w:rPr>
  </w:style>
  <w:style w:type="character" w:customStyle="1" w:styleId="21">
    <w:name w:val="页脚 Char"/>
    <w:basedOn w:val="15"/>
    <w:link w:val="8"/>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1807</Words>
  <Characters>1876</Characters>
  <Lines>20</Lines>
  <Paragraphs>5</Paragraphs>
  <TotalTime>6</TotalTime>
  <ScaleCrop>false</ScaleCrop>
  <LinksUpToDate>false</LinksUpToDate>
  <CharactersWithSpaces>1927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演示人</cp:lastModifiedBy>
  <cp:lastPrinted>2022-05-23T09:16:00Z</cp:lastPrinted>
  <dcterms:modified xsi:type="dcterms:W3CDTF">2023-09-27T09:41:53Z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0C7AEDC11EEF4F028910265D173293AF</vt:lpwstr>
  </property>
</Properties>
</file>