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78"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78" w:lineRule="exact"/>
        <w:jc w:val="center"/>
        <w:textAlignment w:val="auto"/>
        <w:rPr>
          <w:rFonts w:hAnsi="仿宋" w:eastAsia="仿宋"/>
          <w:color w:val="auto"/>
          <w:sz w:val="32"/>
          <w:szCs w:val="32"/>
          <w:highlight w:val="none"/>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表〔2022〕</w:t>
      </w:r>
      <w:r>
        <w:rPr>
          <w:rFonts w:hint="eastAsia" w:ascii="仿宋_GB2312" w:hAnsi="仿宋_GB2312" w:eastAsia="仿宋_GB2312" w:cs="仿宋_GB2312"/>
          <w:color w:val="auto"/>
          <w:sz w:val="32"/>
          <w:szCs w:val="32"/>
          <w:highlight w:val="none"/>
        </w:rPr>
        <w:t>第</w:t>
      </w:r>
      <w:r>
        <w:rPr>
          <w:rFonts w:hint="eastAsia" w:ascii="仿宋_GB2312" w:hAnsi="仿宋_GB2312" w:eastAsia="仿宋_GB2312" w:cs="仿宋_GB2312"/>
          <w:color w:val="auto"/>
          <w:sz w:val="32"/>
          <w:szCs w:val="32"/>
          <w:highlight w:val="none"/>
          <w:lang w:val="en-US" w:eastAsia="zh-CN"/>
        </w:rPr>
        <w:t>42</w:t>
      </w:r>
      <w:r>
        <w:rPr>
          <w:rFonts w:hint="eastAsia" w:ascii="仿宋_GB2312" w:hAnsi="仿宋_GB2312" w:eastAsia="仿宋_GB2312" w:cs="仿宋_GB2312"/>
          <w:color w:val="auto"/>
          <w:sz w:val="32"/>
          <w:szCs w:val="32"/>
          <w:highlight w:val="none"/>
        </w:rPr>
        <w:t>号</w:t>
      </w:r>
    </w:p>
    <w:p>
      <w:pPr>
        <w:keepNext w:val="0"/>
        <w:keepLines w:val="0"/>
        <w:pageBreakBefore w:val="0"/>
        <w:widowControl w:val="0"/>
        <w:kinsoku/>
        <w:wordWrap/>
        <w:overflowPunct/>
        <w:topLinePunct w:val="0"/>
        <w:autoSpaceDE/>
        <w:autoSpaceDN/>
        <w:bidi w:val="0"/>
        <w:adjustRightInd w:val="0"/>
        <w:snapToGrid w:val="0"/>
        <w:spacing w:line="578"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于锡林郭勒盟首放食品有限公司奶食品加工及污水处理站改造项目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78"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78"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锡林郭勒盟首放食品有限公司：</w:t>
      </w:r>
    </w:p>
    <w:p>
      <w:pPr>
        <w:keepNext w:val="0"/>
        <w:keepLines w:val="0"/>
        <w:pageBreakBefore w:val="0"/>
        <w:widowControl w:val="0"/>
        <w:shd w:val="clea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《锡林郭勒盟首放食品有限公司奶食品加工及污水处理站改造项目》报告表已收悉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39"/>
        <w:keepNext w:val="0"/>
        <w:keepLines w:val="0"/>
        <w:pageBreakBefore w:val="0"/>
        <w:widowControl w:val="0"/>
        <w:numPr>
          <w:ilvl w:val="0"/>
          <w:numId w:val="0"/>
        </w:numPr>
        <w:shd w:val="clear"/>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内蒙古自治区锡林郭勒盟锡林浩特市希日塔拉街南浩勒包路东交汇处。本次扩建工程使用现有厂房，不新增土建工程，项目使用一号生产车间（1500平方米）、六号生产车间（3605.81平方米）以及四号生产车间的其余部分（4971.84平方米）。通过招商入驻，用于奶制品的加工，计划年加工生产传统奶食品6000吨，生产乳清20000吨。现有污水处理站由于建成后运行一直不稳定，无法满足污水处理要求，故对其进行改造，由“机械格栅+调节池+气浮机+水解酸化池+厌氧池+缺氧池+接触氧化池+MBR池”改造为“机械格栅+调节池+气浮机+水解酸化池+厌氧池+缺氧池+CASS池”，改造后的污水处理站用于处理全厂产生的废水。本项目总投资32.1万元，环保投资为32.1万元，占总投资金额的100%。本项目属于《产业结构调整指导目录》（2019年本）允许类，经审查符合锡林浩特市总体规划，符合“三线一单”要求。</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w:t>
      </w:r>
      <w:r>
        <w:rPr>
          <w:rFonts w:hint="eastAsia" w:ascii="仿宋_GB2312" w:hAnsi="仿宋_GB2312" w:eastAsia="仿宋_GB2312" w:cs="仿宋_GB2312"/>
          <w:color w:val="auto"/>
          <w:sz w:val="32"/>
          <w:szCs w:val="32"/>
          <w:highlight w:val="none"/>
          <w:lang w:val="en-US" w:eastAsia="zh-CN"/>
        </w:rPr>
        <w:t>和运营</w:t>
      </w:r>
      <w:r>
        <w:rPr>
          <w:rFonts w:hint="eastAsia" w:ascii="仿宋_GB2312" w:hAnsi="仿宋_GB2312" w:eastAsia="仿宋_GB2312" w:cs="仿宋_GB2312"/>
          <w:color w:val="auto"/>
          <w:sz w:val="32"/>
          <w:szCs w:val="32"/>
          <w:highlight w:val="none"/>
          <w:lang w:eastAsia="zh-CN"/>
        </w:rPr>
        <w:t>过程中应做好以下工作：</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78" w:lineRule="exact"/>
        <w:ind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运营期大气污染物主要为发酵过程产生的异味、车辆运输过程产生的扬尘以及污水处理站恶臭气体。针对发酵过程产生的异味，通过采取对车间加强机械通风、减少废气的排放等措施处理后，达标排放。针对车辆运输过程产生的扬尘，应做到车辆限速、安排专人定期对路面进行清扫、洒水；针对污水处理站产生的恶臭气体，通过采用地埋式污水处理设备、对池体密封加盖等措施，确保大气污染物达标排放。</w:t>
      </w:r>
    </w:p>
    <w:p>
      <w:pPr>
        <w:keepNext w:val="0"/>
        <w:keepLines w:val="0"/>
        <w:pageBreakBefore w:val="0"/>
        <w:kinsoku/>
        <w:wordWrap/>
        <w:overflowPunct/>
        <w:topLinePunct w:val="0"/>
        <w:autoSpaceDE/>
        <w:autoSpaceDN/>
        <w:bidi w:val="0"/>
        <w:adjustRightInd w:val="0"/>
        <w:spacing w:line="578" w:lineRule="exact"/>
        <w:ind w:firstLine="640" w:firstLineChars="200"/>
        <w:textAlignment w:val="auto"/>
        <w:rPr>
          <w:rFonts w:hint="eastAsia"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（二）加强固体废物处置管理。运营期固体废物主要为废包装废物、废离子交换树脂、污水处理系统污泥和职工日常产生的生活垃圾。针对</w:t>
      </w:r>
      <w:r>
        <w:rPr>
          <w:rFonts w:hint="eastAsia" w:ascii="仿宋_GB2312" w:hAnsi="仿宋_GB2312" w:eastAsia="仿宋_GB2312" w:cs="仿宋_GB2312"/>
          <w:b w:val="0"/>
          <w:color w:val="auto"/>
          <w:kern w:val="2"/>
          <w:sz w:val="32"/>
          <w:szCs w:val="32"/>
          <w:highlight w:val="none"/>
          <w:lang w:val="en-US" w:eastAsia="zh-CN" w:bidi="ar-SA"/>
        </w:rPr>
        <w:t>废包装废物，集中收集后，出售给二手回收市场；针对废离子交换树脂，应由厂家更换后直接运走，不得在厂内贮存；针对污水处理系统产生的污泥，应委托有资质的第三方进行</w:t>
      </w:r>
      <w:bookmarkStart w:id="0" w:name="_GoBack"/>
      <w:bookmarkEnd w:id="0"/>
      <w:r>
        <w:rPr>
          <w:rFonts w:hint="eastAsia" w:ascii="仿宋_GB2312" w:hAnsi="仿宋_GB2312" w:eastAsia="仿宋_GB2312" w:cs="仿宋_GB2312"/>
          <w:b w:val="0"/>
          <w:color w:val="auto"/>
          <w:kern w:val="2"/>
          <w:sz w:val="32"/>
          <w:szCs w:val="32"/>
          <w:highlight w:val="none"/>
          <w:lang w:val="en-US" w:eastAsia="zh-CN" w:bidi="ar-SA"/>
        </w:rPr>
        <w:t>处置；针对生活垃圾，在场内定点设置垃圾箱，收集后交由当地环卫部门进行集中处理。</w:t>
      </w:r>
    </w:p>
    <w:p>
      <w:pPr>
        <w:pStyle w:val="39"/>
        <w:keepNext w:val="0"/>
        <w:keepLines w:val="0"/>
        <w:pageBreakBefore w:val="0"/>
        <w:numPr>
          <w:ilvl w:val="0"/>
          <w:numId w:val="0"/>
        </w:numPr>
        <w:kinsoku/>
        <w:wordWrap/>
        <w:overflowPunct/>
        <w:topLinePunct w:val="0"/>
        <w:bidi w:val="0"/>
        <w:spacing w:line="578" w:lineRule="exact"/>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color w:val="auto"/>
          <w:sz w:val="32"/>
          <w:szCs w:val="32"/>
          <w:highlight w:val="none"/>
          <w:lang w:val="en-US" w:eastAsia="zh-CN"/>
        </w:rPr>
        <w:t>运营期噪声主要为生产过程中各种机械设备产生的机械噪声、运输车辆产生的交通噪声。通过选用低噪声设备并对各机械设备采取相应的消声、隔音、减振、降噪措施，提高加工车间等构筑物的封闭降噪性能，对来往车辆采取限制车速、禁止鸣笛等措施，使项目厂界噪声满足《工业企业厂界环境噪声排放标准》（GB12348-2008）2类标准的要求后达标排放</w:t>
      </w:r>
      <w:r>
        <w:rPr>
          <w:rFonts w:hint="eastAsia" w:ascii="仿宋_GB2312" w:hAnsi="仿宋_GB2312" w:eastAsia="仿宋_GB2312" w:cs="仿宋_GB2312"/>
          <w:color w:val="auto"/>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仿宋_GB2312" w:hAnsi="仿宋_GB2312" w:eastAsia="仿宋_GB2312" w:cs="仿宋_GB2312"/>
          <w:sz w:val="32"/>
          <w:szCs w:val="32"/>
          <w:highlight w:val="yellow"/>
          <w:lang w:eastAsia="zh-CN"/>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color w:val="auto"/>
          <w:kern w:val="2"/>
          <w:sz w:val="32"/>
          <w:szCs w:val="32"/>
          <w:highlight w:val="none"/>
          <w:lang w:val="en-US" w:eastAsia="zh-CN" w:bidi="ar-SA"/>
        </w:rPr>
        <w:t>本项目运营期间废水主要包括生产废水和生活污水。生产废水主要包括CIP（原位清洗设备）清洁废水、软水设备废水、地面冲洗废水；生活污水主要为职工生活污水。生产污水及生活污水经厂内污水处理系统处理后排入市政污水管网，最终纳入锡林浩特市污水处理厂进行进一步处理。</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五</w:t>
      </w:r>
      <w:r>
        <w:rPr>
          <w:rFonts w:hint="eastAsia" w:ascii="仿宋_GB2312" w:hAnsi="仿宋_GB2312" w:eastAsia="仿宋_GB2312" w:cs="仿宋_GB2312"/>
          <w:sz w:val="32"/>
          <w:szCs w:val="32"/>
          <w:highlight w:val="none"/>
          <w:lang w:eastAsia="zh-CN"/>
        </w:rPr>
        <w:t>）增加环保投入，提高周边绿化率。</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39"/>
        <w:keepNext w:val="0"/>
        <w:keepLines w:val="0"/>
        <w:pageBreakBefore w:val="0"/>
        <w:widowControl w:val="0"/>
        <w:numPr>
          <w:ilvl w:val="0"/>
          <w:numId w:val="0"/>
        </w:numPr>
        <w:kinsoku/>
        <w:wordWrap/>
        <w:overflowPunct/>
        <w:topLinePunct w:val="0"/>
        <w:autoSpaceDE/>
        <w:autoSpaceDN/>
        <w:bidi w:val="0"/>
        <w:spacing w:line="578"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eastAsia="zh-CN"/>
        </w:rPr>
      </w:pPr>
    </w:p>
    <w:p>
      <w:pPr>
        <w:pStyle w:val="2"/>
        <w:keepNext w:val="0"/>
        <w:keepLines w:val="0"/>
        <w:pageBreakBefore w:val="0"/>
        <w:kinsoku/>
        <w:wordWrap/>
        <w:overflowPunct/>
        <w:topLinePunct w:val="0"/>
        <w:bidi w:val="0"/>
        <w:spacing w:line="578" w:lineRule="exact"/>
        <w:rPr>
          <w:rFonts w:hint="eastAsia" w:ascii="仿宋_GB2312" w:hAnsi="仿宋_GB2312" w:eastAsia="仿宋_GB2312" w:cs="仿宋_GB2312"/>
          <w:sz w:val="32"/>
          <w:szCs w:val="32"/>
          <w:highlight w:val="none"/>
          <w:lang w:eastAsia="zh-CN"/>
        </w:rPr>
      </w:pPr>
    </w:p>
    <w:p>
      <w:pPr>
        <w:pStyle w:val="4"/>
        <w:keepNext w:val="0"/>
        <w:keepLines w:val="0"/>
        <w:pageBreakBefore w:val="0"/>
        <w:kinsoku/>
        <w:wordWrap/>
        <w:overflowPunct/>
        <w:topLinePunct w:val="0"/>
        <w:bidi w:val="0"/>
        <w:spacing w:line="578" w:lineRule="exact"/>
        <w:ind w:left="0" w:leftChars="0" w:firstLine="0" w:firstLineChars="0"/>
        <w:jc w:val="both"/>
        <w:rPr>
          <w:rFonts w:hint="eastAsia"/>
          <w:lang w:eastAsia="zh-CN"/>
        </w:rPr>
      </w:pPr>
    </w:p>
    <w:p>
      <w:pPr>
        <w:keepNext w:val="0"/>
        <w:keepLines w:val="0"/>
        <w:pageBreakBefore w:val="0"/>
        <w:widowControl w:val="0"/>
        <w:kinsoku/>
        <w:wordWrap/>
        <w:overflowPunct/>
        <w:topLinePunct w:val="0"/>
        <w:autoSpaceDE/>
        <w:autoSpaceDN/>
        <w:bidi w:val="0"/>
        <w:spacing w:line="578"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78" w:lineRule="exact"/>
        <w:ind w:firstLine="4160" w:firstLineChars="1300"/>
        <w:textAlignment w:val="auto"/>
        <w:rPr>
          <w:rFonts w:hint="eastAsia"/>
          <w:lang w:val="en-US" w:eastAsia="zh-CN"/>
        </w:rPr>
      </w:pPr>
      <w:r>
        <w:rPr>
          <w:rFonts w:hint="eastAsia" w:ascii="仿宋_GB2312" w:hAnsi="仿宋_GB2312" w:eastAsia="仿宋_GB2312" w:cs="仿宋_GB2312"/>
          <w:sz w:val="32"/>
          <w:szCs w:val="32"/>
          <w:highlight w:val="none"/>
          <w:lang w:val="en-US" w:eastAsia="zh-CN"/>
        </w:rPr>
        <w:t>2022年11月17日</w:t>
      </w: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p>
    <w:p>
      <w:pPr>
        <w:pStyle w:val="39"/>
        <w:keepNext w:val="0"/>
        <w:keepLines w:val="0"/>
        <w:pageBreakBefore w:val="0"/>
        <w:widowControl w:val="0"/>
        <w:numPr>
          <w:ilvl w:val="0"/>
          <w:numId w:val="0"/>
        </w:numPr>
        <w:kinsoku/>
        <w:wordWrap/>
        <w:overflowPunct/>
        <w:topLinePunct w:val="0"/>
        <w:autoSpaceDE/>
        <w:autoSpaceDN/>
        <w:bidi w:val="0"/>
        <w:spacing w:line="578"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楷体">
    <w:panose1 w:val="02010609060101010101"/>
    <w:charset w:val="86"/>
    <w:family w:val="auto"/>
    <w:pitch w:val="default"/>
    <w:sig w:usb0="800002BF" w:usb1="38CF7CFA" w:usb2="00000016" w:usb3="00000000" w:csb0="00040001" w:csb1="00000000"/>
  </w:font>
  <w:font w:name="Arial Unicode MS">
    <w:altName w:val="宋体"/>
    <w:panose1 w:val="020B0604020202020204"/>
    <w:charset w:val="86"/>
    <w:family w:val="swiss"/>
    <w:pitch w:val="default"/>
    <w:sig w:usb0="00000000" w:usb1="00000000" w:usb2="0000003F" w:usb3="00000000" w:csb0="603F01FF" w:csb1="FFFF0000"/>
  </w:font>
  <w:font w:name="仿宋">
    <w:panose1 w:val="02010609060101010101"/>
    <w:charset w:val="86"/>
    <w:family w:val="auto"/>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2"/>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2"/>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9679E96"/>
    <w:multiLevelType w:val="singleLevel"/>
    <w:tmpl w:val="19679E96"/>
    <w:lvl w:ilvl="0" w:tentative="0">
      <w:start w:val="1"/>
      <w:numFmt w:val="bullet"/>
      <w:pStyle w:val="13"/>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ZjYyMmM5ZWViZDE5OGI0MjM4NzczOTJkMWU3N2M1YTEifQ=="/>
  </w:docVars>
  <w:rsids>
    <w:rsidRoot w:val="001E271C"/>
    <w:rsid w:val="001E271C"/>
    <w:rsid w:val="00962978"/>
    <w:rsid w:val="00B87117"/>
    <w:rsid w:val="00E83F57"/>
    <w:rsid w:val="01166DA6"/>
    <w:rsid w:val="01D027C7"/>
    <w:rsid w:val="03D50D7E"/>
    <w:rsid w:val="03F54C2F"/>
    <w:rsid w:val="04A62A1C"/>
    <w:rsid w:val="05015B69"/>
    <w:rsid w:val="0536008A"/>
    <w:rsid w:val="06C13B3D"/>
    <w:rsid w:val="07D679D6"/>
    <w:rsid w:val="08CF6DAC"/>
    <w:rsid w:val="0A1E3055"/>
    <w:rsid w:val="0C9B2141"/>
    <w:rsid w:val="0D502605"/>
    <w:rsid w:val="0DC94DA4"/>
    <w:rsid w:val="0E146C48"/>
    <w:rsid w:val="0F11030D"/>
    <w:rsid w:val="10773E64"/>
    <w:rsid w:val="11815149"/>
    <w:rsid w:val="119E5AF7"/>
    <w:rsid w:val="135651C1"/>
    <w:rsid w:val="15D520DC"/>
    <w:rsid w:val="177469AA"/>
    <w:rsid w:val="18E453EE"/>
    <w:rsid w:val="1B4F5180"/>
    <w:rsid w:val="1BDE167F"/>
    <w:rsid w:val="204C4C91"/>
    <w:rsid w:val="20DE5961"/>
    <w:rsid w:val="21041E6B"/>
    <w:rsid w:val="23BD04C6"/>
    <w:rsid w:val="271664C8"/>
    <w:rsid w:val="272A677C"/>
    <w:rsid w:val="29CC3487"/>
    <w:rsid w:val="2AB067B8"/>
    <w:rsid w:val="2AF85194"/>
    <w:rsid w:val="2B330DF4"/>
    <w:rsid w:val="2C1005F7"/>
    <w:rsid w:val="2C8114F5"/>
    <w:rsid w:val="2CC02721"/>
    <w:rsid w:val="2FB4465A"/>
    <w:rsid w:val="30EB2DA6"/>
    <w:rsid w:val="333A6BDB"/>
    <w:rsid w:val="3372163A"/>
    <w:rsid w:val="34664E3F"/>
    <w:rsid w:val="35D72A2D"/>
    <w:rsid w:val="37D943F6"/>
    <w:rsid w:val="388D199C"/>
    <w:rsid w:val="38CD7870"/>
    <w:rsid w:val="39CE76C6"/>
    <w:rsid w:val="3AF677DB"/>
    <w:rsid w:val="3B242469"/>
    <w:rsid w:val="3BC60B27"/>
    <w:rsid w:val="3DDE2FC6"/>
    <w:rsid w:val="3F156020"/>
    <w:rsid w:val="40461706"/>
    <w:rsid w:val="405F6E03"/>
    <w:rsid w:val="42A31D6D"/>
    <w:rsid w:val="432135E8"/>
    <w:rsid w:val="43776D56"/>
    <w:rsid w:val="44DC643A"/>
    <w:rsid w:val="459171B6"/>
    <w:rsid w:val="459612D4"/>
    <w:rsid w:val="45DA1917"/>
    <w:rsid w:val="472B6FD6"/>
    <w:rsid w:val="48CE52B4"/>
    <w:rsid w:val="4AE65F38"/>
    <w:rsid w:val="4AE66C9B"/>
    <w:rsid w:val="4B534ADE"/>
    <w:rsid w:val="4B92472D"/>
    <w:rsid w:val="4D142C43"/>
    <w:rsid w:val="4E2978F9"/>
    <w:rsid w:val="4EAA7967"/>
    <w:rsid w:val="4FA672D9"/>
    <w:rsid w:val="532F7E23"/>
    <w:rsid w:val="539E0D30"/>
    <w:rsid w:val="575E7CEE"/>
    <w:rsid w:val="58D316BE"/>
    <w:rsid w:val="5A294206"/>
    <w:rsid w:val="5B82248D"/>
    <w:rsid w:val="5C4001D5"/>
    <w:rsid w:val="5C635BEB"/>
    <w:rsid w:val="5D0775B6"/>
    <w:rsid w:val="5DE829AC"/>
    <w:rsid w:val="5E55710C"/>
    <w:rsid w:val="5EBE21AB"/>
    <w:rsid w:val="60BF3BD0"/>
    <w:rsid w:val="61BF76EB"/>
    <w:rsid w:val="623D4D9E"/>
    <w:rsid w:val="623E6920"/>
    <w:rsid w:val="64B41760"/>
    <w:rsid w:val="652266CA"/>
    <w:rsid w:val="65312F5D"/>
    <w:rsid w:val="66E83653"/>
    <w:rsid w:val="67B67782"/>
    <w:rsid w:val="681650AF"/>
    <w:rsid w:val="68330BC4"/>
    <w:rsid w:val="684D4516"/>
    <w:rsid w:val="68704CA1"/>
    <w:rsid w:val="6AEF61B9"/>
    <w:rsid w:val="6BA12544"/>
    <w:rsid w:val="6BEB1D6D"/>
    <w:rsid w:val="6C536D8E"/>
    <w:rsid w:val="6CA80FF3"/>
    <w:rsid w:val="6CF81186"/>
    <w:rsid w:val="6E7E0DC8"/>
    <w:rsid w:val="6EEA7AC9"/>
    <w:rsid w:val="6F2B29DB"/>
    <w:rsid w:val="6FD235D4"/>
    <w:rsid w:val="715C20BD"/>
    <w:rsid w:val="733379D0"/>
    <w:rsid w:val="749E0175"/>
    <w:rsid w:val="75B535E3"/>
    <w:rsid w:val="75C311C4"/>
    <w:rsid w:val="7779709C"/>
    <w:rsid w:val="799A104A"/>
    <w:rsid w:val="7B401BFC"/>
    <w:rsid w:val="7C5510E6"/>
    <w:rsid w:val="7E6C32B7"/>
    <w:rsid w:val="7FD539F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1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customStyle="1" w:styleId="2">
    <w:name w:val="Default"/>
    <w:basedOn w:val="3"/>
    <w:next w:val="4"/>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
    <w:name w:val="纯文本1"/>
    <w:basedOn w:val="1"/>
    <w:qFormat/>
    <w:uiPriority w:val="0"/>
    <w:pPr>
      <w:adjustRightInd w:val="0"/>
      <w:textAlignment w:val="baseline"/>
    </w:pPr>
    <w:rPr>
      <w:rFonts w:ascii="宋体" w:hAnsi="Courier New"/>
      <w:snapToGrid w:val="0"/>
      <w:sz w:val="28"/>
    </w:rPr>
  </w:style>
  <w:style w:type="paragraph" w:customStyle="1" w:styleId="4">
    <w:name w:val="样式35"/>
    <w:basedOn w:val="5"/>
    <w:next w:val="6"/>
    <w:qFormat/>
    <w:uiPriority w:val="0"/>
    <w:pPr>
      <w:spacing w:line="312" w:lineRule="auto"/>
      <w:ind w:firstLine="567"/>
    </w:pPr>
    <w:rPr>
      <w:rFonts w:ascii="宋体"/>
    </w:rPr>
  </w:style>
  <w:style w:type="paragraph" w:customStyle="1" w:styleId="5">
    <w:name w:val="表 内容"/>
    <w:basedOn w:val="1"/>
    <w:qFormat/>
    <w:uiPriority w:val="0"/>
    <w:pPr>
      <w:spacing w:line="240" w:lineRule="atLeast"/>
      <w:jc w:val="center"/>
    </w:pPr>
  </w:style>
  <w:style w:type="paragraph" w:customStyle="1" w:styleId="6">
    <w:name w:val="font6"/>
    <w:basedOn w:val="1"/>
    <w:next w:val="7"/>
    <w:qFormat/>
    <w:uiPriority w:val="0"/>
    <w:pPr>
      <w:widowControl/>
      <w:spacing w:before="280" w:after="280"/>
    </w:pPr>
  </w:style>
  <w:style w:type="paragraph" w:styleId="7">
    <w:name w:val="toc 2"/>
    <w:basedOn w:val="1"/>
    <w:next w:val="8"/>
    <w:qFormat/>
    <w:uiPriority w:val="39"/>
    <w:pPr>
      <w:ind w:left="420" w:leftChars="200"/>
    </w:p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10"/>
    <w:next w:val="12"/>
    <w:qFormat/>
    <w:uiPriority w:val="0"/>
    <w:pPr>
      <w:widowControl/>
      <w:ind w:firstLine="480"/>
      <w:jc w:val="center"/>
    </w:pPr>
    <w:rPr>
      <w:sz w:val="26"/>
    </w:rPr>
  </w:style>
  <w:style w:type="paragraph" w:styleId="10">
    <w:name w:val="Body Text Indent"/>
    <w:basedOn w:val="1"/>
    <w:next w:val="11"/>
    <w:qFormat/>
    <w:uiPriority w:val="0"/>
    <w:pPr>
      <w:keepNext/>
      <w:spacing w:line="360" w:lineRule="auto"/>
      <w:ind w:firstLine="200" w:firstLineChars="200"/>
    </w:pPr>
    <w:rPr>
      <w:sz w:val="24"/>
    </w:rPr>
  </w:style>
  <w:style w:type="paragraph" w:styleId="11">
    <w:name w:val="Body Text"/>
    <w:basedOn w:val="1"/>
    <w:next w:val="1"/>
    <w:qFormat/>
    <w:uiPriority w:val="0"/>
    <w:pPr>
      <w:spacing w:line="360" w:lineRule="auto"/>
    </w:pPr>
    <w:rPr>
      <w:sz w:val="24"/>
      <w:szCs w:val="20"/>
    </w:rPr>
  </w:style>
  <w:style w:type="paragraph" w:styleId="12">
    <w:name w:val="List"/>
    <w:basedOn w:val="1"/>
    <w:next w:val="13"/>
    <w:qFormat/>
    <w:uiPriority w:val="0"/>
    <w:pPr>
      <w:jc w:val="center"/>
    </w:pPr>
  </w:style>
  <w:style w:type="paragraph" w:styleId="13">
    <w:name w:val="List Bullet 2"/>
    <w:basedOn w:val="1"/>
    <w:next w:val="14"/>
    <w:qFormat/>
    <w:uiPriority w:val="0"/>
    <w:pPr>
      <w:numPr>
        <w:ilvl w:val="0"/>
        <w:numId w:val="1"/>
      </w:numPr>
    </w:pPr>
  </w:style>
  <w:style w:type="paragraph" w:customStyle="1" w:styleId="14">
    <w:name w:val="xl70"/>
    <w:basedOn w:val="1"/>
    <w:next w:val="15"/>
    <w:qFormat/>
    <w:uiPriority w:val="0"/>
    <w:pPr>
      <w:widowControl/>
      <w:spacing w:before="280" w:after="280"/>
    </w:pPr>
    <w:rPr>
      <w:rFonts w:ascii="宋体"/>
    </w:rPr>
  </w:style>
  <w:style w:type="paragraph" w:customStyle="1" w:styleId="15">
    <w:name w:val="正文缩进1"/>
    <w:basedOn w:val="1"/>
    <w:next w:val="16"/>
    <w:qFormat/>
    <w:uiPriority w:val="0"/>
    <w:pPr>
      <w:ind w:firstLine="420"/>
    </w:pPr>
    <w:rPr>
      <w:szCs w:val="20"/>
    </w:rPr>
  </w:style>
  <w:style w:type="paragraph" w:customStyle="1" w:styleId="16">
    <w:name w:val="td1"/>
    <w:basedOn w:val="1"/>
    <w:next w:val="1"/>
    <w:qFormat/>
    <w:uiPriority w:val="0"/>
    <w:pPr>
      <w:widowControl/>
      <w:spacing w:before="280" w:after="280" w:line="300" w:lineRule="atLeast"/>
      <w:ind w:firstLine="200"/>
    </w:pPr>
    <w:rPr>
      <w:color w:val="000000"/>
      <w:sz w:val="18"/>
    </w:rPr>
  </w:style>
  <w:style w:type="paragraph" w:styleId="18">
    <w:name w:val="Normal Indent"/>
    <w:basedOn w:val="1"/>
    <w:next w:val="19"/>
    <w:qFormat/>
    <w:uiPriority w:val="0"/>
    <w:pPr>
      <w:ind w:firstLine="420" w:firstLineChars="200"/>
    </w:pPr>
    <w:rPr>
      <w:rFonts w:eastAsia="宋体"/>
      <w:kern w:val="2"/>
      <w:sz w:val="21"/>
      <w:szCs w:val="24"/>
      <w:lang w:val="en-US" w:eastAsia="zh-CN" w:bidi="ar-SA"/>
    </w:rPr>
  </w:style>
  <w:style w:type="paragraph" w:customStyle="1" w:styleId="19">
    <w:name w:val="Char Char Char Char Char Char Char Char Char1 Char"/>
    <w:basedOn w:val="1"/>
    <w:next w:val="20"/>
    <w:qFormat/>
    <w:uiPriority w:val="0"/>
    <w:pPr>
      <w:spacing w:line="360" w:lineRule="auto"/>
      <w:ind w:firstLine="200" w:firstLineChars="200"/>
    </w:pPr>
    <w:rPr>
      <w:rFonts w:hAnsi="宋体" w:cs="宋体"/>
      <w:spacing w:val="0"/>
      <w:sz w:val="24"/>
      <w:szCs w:val="24"/>
    </w:rPr>
  </w:style>
  <w:style w:type="paragraph" w:customStyle="1" w:styleId="20">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21">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2">
    <w:name w:val="footer"/>
    <w:basedOn w:val="1"/>
    <w:link w:val="42"/>
    <w:qFormat/>
    <w:uiPriority w:val="99"/>
    <w:pPr>
      <w:tabs>
        <w:tab w:val="center" w:pos="4153"/>
        <w:tab w:val="right" w:pos="8306"/>
      </w:tabs>
      <w:snapToGrid w:val="0"/>
      <w:jc w:val="left"/>
    </w:pPr>
    <w:rPr>
      <w:sz w:val="18"/>
      <w:szCs w:val="18"/>
    </w:rPr>
  </w:style>
  <w:style w:type="paragraph" w:styleId="23">
    <w:name w:val="header"/>
    <w:basedOn w:val="1"/>
    <w:next w:val="1"/>
    <w:link w:val="41"/>
    <w:qFormat/>
    <w:uiPriority w:val="0"/>
    <w:pPr>
      <w:pBdr>
        <w:bottom w:val="single" w:color="auto" w:sz="6" w:space="1"/>
      </w:pBdr>
      <w:tabs>
        <w:tab w:val="center" w:pos="4153"/>
        <w:tab w:val="right" w:pos="8306"/>
      </w:tabs>
      <w:snapToGrid w:val="0"/>
      <w:jc w:val="center"/>
    </w:pPr>
    <w:rPr>
      <w:sz w:val="18"/>
      <w:szCs w:val="18"/>
    </w:rPr>
  </w:style>
  <w:style w:type="paragraph" w:styleId="24">
    <w:name w:val="toc 1"/>
    <w:basedOn w:val="1"/>
    <w:next w:val="1"/>
    <w:unhideWhenUsed/>
    <w:qFormat/>
    <w:uiPriority w:val="39"/>
  </w:style>
  <w:style w:type="paragraph" w:styleId="25">
    <w:name w:val="index heading"/>
    <w:basedOn w:val="1"/>
    <w:next w:val="26"/>
    <w:qFormat/>
    <w:uiPriority w:val="99"/>
    <w:rPr>
      <w:rFonts w:hint="eastAsia" w:ascii="Cambria" w:hAnsi="Cambria"/>
      <w:b/>
    </w:rPr>
  </w:style>
  <w:style w:type="paragraph" w:styleId="26">
    <w:name w:val="index 1"/>
    <w:basedOn w:val="1"/>
    <w:next w:val="1"/>
    <w:qFormat/>
    <w:uiPriority w:val="99"/>
  </w:style>
  <w:style w:type="paragraph" w:styleId="27">
    <w:name w:val="Body Text Indent 3"/>
    <w:basedOn w:val="1"/>
    <w:unhideWhenUsed/>
    <w:qFormat/>
    <w:uiPriority w:val="0"/>
    <w:pPr>
      <w:ind w:firstLine="570"/>
    </w:pPr>
    <w:rPr>
      <w:szCs w:val="20"/>
    </w:r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paragraph" w:styleId="29">
    <w:name w:val="Body Text First Indent"/>
    <w:basedOn w:val="11"/>
    <w:next w:val="1"/>
    <w:qFormat/>
    <w:uiPriority w:val="0"/>
    <w:pPr>
      <w:autoSpaceDE/>
      <w:autoSpaceDN/>
      <w:snapToGrid w:val="0"/>
      <w:spacing w:after="120" w:line="360" w:lineRule="auto"/>
      <w:ind w:firstLine="420" w:firstLineChars="100"/>
      <w:jc w:val="both"/>
    </w:pPr>
    <w:rPr>
      <w:rFonts w:ascii="仿宋_GB2312" w:eastAsia="仿宋_GB2312"/>
      <w:kern w:val="2"/>
    </w:rPr>
  </w:style>
  <w:style w:type="paragraph" w:styleId="30">
    <w:name w:val="Body Text First Indent 2"/>
    <w:basedOn w:val="10"/>
    <w:next w:val="29"/>
    <w:qFormat/>
    <w:uiPriority w:val="0"/>
    <w:pPr>
      <w:ind w:firstLine="420" w:firstLineChars="200"/>
    </w:p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4">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5">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36">
    <w:name w:val="正文首行缩进2个字 Char"/>
    <w:basedOn w:val="1"/>
    <w:qFormat/>
    <w:uiPriority w:val="0"/>
    <w:pPr>
      <w:ind w:firstLine="480" w:firstLineChars="200"/>
    </w:pPr>
    <w:rPr>
      <w:rFonts w:eastAsia="楷体"/>
      <w:sz w:val="24"/>
    </w:rPr>
  </w:style>
  <w:style w:type="paragraph" w:customStyle="1" w:styleId="37">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customStyle="1" w:styleId="38">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39">
    <w:name w:val="列出段落1"/>
    <w:basedOn w:val="1"/>
    <w:qFormat/>
    <w:uiPriority w:val="34"/>
    <w:pPr>
      <w:ind w:firstLine="420" w:firstLineChars="200"/>
    </w:pPr>
  </w:style>
  <w:style w:type="paragraph" w:customStyle="1" w:styleId="40">
    <w:name w:val="a正文"/>
    <w:basedOn w:val="1"/>
    <w:qFormat/>
    <w:uiPriority w:val="0"/>
    <w:pPr>
      <w:adjustRightInd w:val="0"/>
      <w:snapToGrid w:val="0"/>
      <w:spacing w:line="360" w:lineRule="auto"/>
      <w:ind w:firstLine="200" w:firstLineChars="200"/>
    </w:pPr>
    <w:rPr>
      <w:kern w:val="0"/>
      <w:sz w:val="24"/>
      <w:szCs w:val="20"/>
    </w:rPr>
  </w:style>
  <w:style w:type="character" w:customStyle="1" w:styleId="41">
    <w:name w:val="页眉 Char"/>
    <w:basedOn w:val="33"/>
    <w:link w:val="23"/>
    <w:qFormat/>
    <w:uiPriority w:val="0"/>
    <w:rPr>
      <w:kern w:val="2"/>
      <w:sz w:val="18"/>
      <w:szCs w:val="18"/>
    </w:rPr>
  </w:style>
  <w:style w:type="character" w:customStyle="1" w:styleId="42">
    <w:name w:val="页脚 Char"/>
    <w:basedOn w:val="33"/>
    <w:link w:val="22"/>
    <w:qFormat/>
    <w:uiPriority w:val="99"/>
    <w:rPr>
      <w:kern w:val="2"/>
      <w:sz w:val="18"/>
      <w:szCs w:val="18"/>
    </w:rPr>
  </w:style>
  <w:style w:type="paragraph" w:customStyle="1" w:styleId="43">
    <w:name w:val="表 正文"/>
    <w:basedOn w:val="1"/>
    <w:qFormat/>
    <w:uiPriority w:val="0"/>
    <w:pPr>
      <w:spacing w:line="360" w:lineRule="auto"/>
      <w:ind w:firstLine="480" w:firstLineChars="200"/>
    </w:pPr>
    <w:rPr>
      <w:sz w:val="24"/>
      <w:szCs w:val="21"/>
    </w:rPr>
  </w:style>
  <w:style w:type="paragraph" w:customStyle="1" w:styleId="44">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1441</Words>
  <Characters>1504</Characters>
  <Lines>20</Lines>
  <Paragraphs>5</Paragraphs>
  <TotalTime>0</TotalTime>
  <ScaleCrop>false</ScaleCrop>
  <LinksUpToDate>false</LinksUpToDate>
  <CharactersWithSpaces>1504</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演示人</cp:lastModifiedBy>
  <cp:lastPrinted>2022-02-28T06:47:00Z</cp:lastPrinted>
  <dcterms:modified xsi:type="dcterms:W3CDTF">2023-10-07T03:16:07Z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