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jc w:val="center"/>
        <w:rPr>
          <w:b/>
          <w:bCs/>
          <w:color w:val="000000" w:themeColor="text1"/>
          <w:sz w:val="32"/>
          <w:szCs w:val="32"/>
          <w:highlight w:val="yellow"/>
          <w14:textFill>
            <w14:solidFill>
              <w14:schemeClr w14:val="tx1"/>
            </w14:solidFill>
          </w14:textFill>
        </w:rPr>
      </w:pPr>
      <w:bookmarkStart w:id="0" w:name="_Hlk124747957"/>
    </w:p>
    <w:p>
      <w:pPr>
        <w:adjustRightInd w:val="0"/>
        <w:snapToGrid w:val="0"/>
        <w:spacing w:line="360" w:lineRule="auto"/>
        <w:jc w:val="center"/>
        <w:rPr>
          <w:b/>
          <w:bCs/>
          <w:color w:val="000000" w:themeColor="text1"/>
          <w:sz w:val="32"/>
          <w:szCs w:val="32"/>
          <w:highlight w:val="yellow"/>
          <w14:textFill>
            <w14:solidFill>
              <w14:schemeClr w14:val="tx1"/>
            </w14:solidFill>
          </w14:textFill>
        </w:rPr>
      </w:pPr>
    </w:p>
    <w:p>
      <w:pPr>
        <w:pStyle w:val="2"/>
        <w:rPr>
          <w:b/>
          <w:bCs/>
          <w:color w:val="000000" w:themeColor="text1"/>
          <w:sz w:val="32"/>
          <w:szCs w:val="32"/>
          <w:highlight w:val="yellow"/>
          <w14:textFill>
            <w14:solidFill>
              <w14:schemeClr w14:val="tx1"/>
            </w14:solidFill>
          </w14:textFill>
        </w:rPr>
      </w:pPr>
    </w:p>
    <w:p>
      <w:pPr>
        <w:rPr>
          <w:b/>
          <w:bCs/>
          <w:color w:val="000000" w:themeColor="text1"/>
          <w:sz w:val="32"/>
          <w:szCs w:val="32"/>
          <w:highlight w:val="yellow"/>
          <w14:textFill>
            <w14:solidFill>
              <w14:schemeClr w14:val="tx1"/>
            </w14:solidFill>
          </w14:textFill>
        </w:rPr>
      </w:pPr>
    </w:p>
    <w:p>
      <w:pPr>
        <w:pStyle w:val="2"/>
        <w:rPr>
          <w:b/>
          <w:bCs/>
          <w:color w:val="000000" w:themeColor="text1"/>
          <w:sz w:val="32"/>
          <w:szCs w:val="32"/>
          <w:highlight w:val="yellow"/>
          <w14:textFill>
            <w14:solidFill>
              <w14:schemeClr w14:val="tx1"/>
            </w14:solidFill>
          </w14:textFill>
        </w:rPr>
      </w:pPr>
    </w:p>
    <w:p>
      <w:pPr>
        <w:pStyle w:val="2"/>
        <w:ind w:left="0" w:leftChars="0" w:firstLine="0" w:firstLineChars="0"/>
        <w:rPr>
          <w:b/>
          <w:bCs/>
          <w:color w:val="000000" w:themeColor="text1"/>
          <w:sz w:val="32"/>
          <w:szCs w:val="32"/>
          <w:highlight w:val="yellow"/>
          <w14:textFill>
            <w14:solidFill>
              <w14:schemeClr w14:val="tx1"/>
            </w14:solidFill>
          </w14:textFill>
        </w:rPr>
      </w:pPr>
    </w:p>
    <w:p>
      <w:pPr>
        <w:rPr>
          <w:color w:val="000000" w:themeColor="text1"/>
          <w:highlight w:val="none"/>
          <w14:textFill>
            <w14:solidFill>
              <w14:schemeClr w14:val="tx1"/>
            </w14:solidFill>
          </w14:textFill>
        </w:rPr>
      </w:pPr>
    </w:p>
    <w:p>
      <w:pPr>
        <w:pStyle w:val="2"/>
        <w:rPr>
          <w:color w:val="000000" w:themeColor="text1"/>
          <w:highlight w:val="none"/>
          <w14:textFill>
            <w14:solidFill>
              <w14:schemeClr w14:val="tx1"/>
            </w14:solidFill>
          </w14:textFill>
        </w:rPr>
      </w:pPr>
    </w:p>
    <w:p>
      <w:pPr>
        <w:rPr>
          <w:color w:val="000000" w:themeColor="text1"/>
          <w:highlight w:val="none"/>
          <w14:textFill>
            <w14:solidFill>
              <w14:schemeClr w14:val="tx1"/>
            </w14:solidFill>
          </w14:textFill>
        </w:rPr>
      </w:pPr>
    </w:p>
    <w:p>
      <w:pPr>
        <w:autoSpaceDE w:val="0"/>
        <w:autoSpaceDN w:val="0"/>
        <w:adjustRightInd w:val="0"/>
        <w:snapToGrid w:val="0"/>
        <w:spacing w:line="560" w:lineRule="exact"/>
        <w:jc w:val="center"/>
        <w:rPr>
          <w:rFonts w:ascii="仿宋_GB2312" w:hAnsi="Times New Roman" w:eastAsia="仿宋_GB2312" w:cs="Arial"/>
          <w:color w:val="000000" w:themeColor="text1"/>
          <w:sz w:val="32"/>
          <w:szCs w:val="32"/>
          <w:highlight w:val="none"/>
          <w:lang w:bidi="en-US"/>
          <w14:textFill>
            <w14:solidFill>
              <w14:schemeClr w14:val="tx1"/>
            </w14:solidFill>
          </w14:textFill>
        </w:rPr>
      </w:pPr>
      <w:r>
        <w:rPr>
          <w:rFonts w:hint="eastAsia" w:ascii="仿宋_GB2312" w:hAnsi="Times New Roman" w:eastAsia="仿宋_GB2312" w:cs="Arial"/>
          <w:color w:val="000000" w:themeColor="text1"/>
          <w:sz w:val="32"/>
          <w:szCs w:val="32"/>
          <w:highlight w:val="none"/>
          <w:lang w:bidi="en-US"/>
          <w14:textFill>
            <w14:solidFill>
              <w14:schemeClr w14:val="tx1"/>
            </w14:solidFill>
          </w14:textFill>
        </w:rPr>
        <w:t>锡署环审书〔202</w:t>
      </w:r>
      <w:r>
        <w:rPr>
          <w:rFonts w:hint="eastAsia" w:ascii="仿宋_GB2312" w:hAnsi="Times New Roman" w:eastAsia="仿宋_GB2312" w:cs="Arial"/>
          <w:color w:val="000000" w:themeColor="text1"/>
          <w:sz w:val="32"/>
          <w:szCs w:val="32"/>
          <w:highlight w:val="none"/>
          <w:lang w:val="en-US" w:eastAsia="zh-CN" w:bidi="en-US"/>
          <w14:textFill>
            <w14:solidFill>
              <w14:schemeClr w14:val="tx1"/>
            </w14:solidFill>
          </w14:textFill>
        </w:rPr>
        <w:t>4</w:t>
      </w:r>
      <w:r>
        <w:rPr>
          <w:rFonts w:hint="eastAsia" w:ascii="仿宋_GB2312" w:hAnsi="Times New Roman" w:eastAsia="仿宋_GB2312" w:cs="Arial"/>
          <w:color w:val="000000" w:themeColor="text1"/>
          <w:sz w:val="32"/>
          <w:szCs w:val="32"/>
          <w:highlight w:val="none"/>
          <w:lang w:bidi="en-US"/>
          <w14:textFill>
            <w14:solidFill>
              <w14:schemeClr w14:val="tx1"/>
            </w14:solidFill>
          </w14:textFill>
        </w:rPr>
        <w:t>〕</w:t>
      </w:r>
      <w:r>
        <w:rPr>
          <w:rFonts w:hint="eastAsia" w:ascii="仿宋_GB2312" w:hAnsi="Times New Roman" w:eastAsia="仿宋_GB2312" w:cs="Arial"/>
          <w:color w:val="000000" w:themeColor="text1"/>
          <w:sz w:val="32"/>
          <w:szCs w:val="32"/>
          <w:highlight w:val="none"/>
          <w:lang w:val="en-US" w:eastAsia="zh-CN" w:bidi="en-US"/>
          <w14:textFill>
            <w14:solidFill>
              <w14:schemeClr w14:val="tx1"/>
            </w14:solidFill>
          </w14:textFill>
        </w:rPr>
        <w:t>5</w:t>
      </w:r>
      <w:r>
        <w:rPr>
          <w:rFonts w:hint="eastAsia" w:ascii="仿宋_GB2312" w:hAnsi="Times New Roman" w:eastAsia="仿宋_GB2312" w:cs="Arial"/>
          <w:color w:val="000000" w:themeColor="text1"/>
          <w:sz w:val="32"/>
          <w:szCs w:val="32"/>
          <w:highlight w:val="none"/>
          <w:lang w:bidi="en-US"/>
          <w14:textFill>
            <w14:solidFill>
              <w14:schemeClr w14:val="tx1"/>
            </w14:solidFill>
          </w14:textFill>
        </w:rPr>
        <w:t>号</w:t>
      </w:r>
    </w:p>
    <w:p>
      <w:pPr>
        <w:adjustRightInd w:val="0"/>
        <w:snapToGrid w:val="0"/>
        <w:spacing w:line="360" w:lineRule="auto"/>
        <w:jc w:val="center"/>
        <w:rPr>
          <w:b/>
          <w:bCs/>
          <w:color w:val="000000" w:themeColor="text1"/>
          <w:sz w:val="32"/>
          <w:szCs w:val="32"/>
          <w:highlight w:val="none"/>
          <w14:textFill>
            <w14:solidFill>
              <w14:schemeClr w14:val="tx1"/>
            </w14:solidFill>
          </w14:textFill>
        </w:rPr>
      </w:pPr>
    </w:p>
    <w:p>
      <w:pPr>
        <w:widowControl/>
        <w:spacing w:line="700" w:lineRule="exact"/>
        <w:jc w:val="center"/>
        <w:textAlignment w:val="baseline"/>
        <w:rPr>
          <w:rFonts w:ascii="方正小标宋简体" w:hAnsi="方正小标宋简体" w:eastAsia="方正小标宋简体" w:cs="方正小标宋简体"/>
          <w:bCs/>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bCs/>
          <w:color w:val="000000" w:themeColor="text1"/>
          <w:sz w:val="44"/>
          <w:szCs w:val="44"/>
          <w:highlight w:val="none"/>
          <w14:textFill>
            <w14:solidFill>
              <w14:schemeClr w14:val="tx1"/>
            </w14:solidFill>
          </w14:textFill>
        </w:rPr>
        <w:t>锡林郭勒盟生态环境局</w:t>
      </w:r>
    </w:p>
    <w:bookmarkEnd w:id="0"/>
    <w:p>
      <w:pPr>
        <w:autoSpaceDE w:val="0"/>
        <w:autoSpaceDN w:val="0"/>
        <w:adjustRightInd w:val="0"/>
        <w:snapToGrid w:val="0"/>
        <w:spacing w:line="700" w:lineRule="exact"/>
        <w:jc w:val="center"/>
        <w:rPr>
          <w:rFonts w:ascii="方正小标宋简体" w:hAnsi="方正小标宋简体" w:eastAsia="方正小标宋简体" w:cs="方正小标宋简体"/>
          <w:bCs/>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bCs/>
          <w:color w:val="000000" w:themeColor="text1"/>
          <w:sz w:val="44"/>
          <w:szCs w:val="44"/>
          <w:highlight w:val="none"/>
          <w14:textFill>
            <w14:solidFill>
              <w14:schemeClr w14:val="tx1"/>
            </w14:solidFill>
          </w14:textFill>
        </w:rPr>
        <w:t>关于</w:t>
      </w:r>
      <w:r>
        <w:rPr>
          <w:rFonts w:hint="eastAsia" w:ascii="方正小标宋简体" w:hAnsi="方正小标宋简体" w:eastAsia="方正小标宋简体" w:cs="方正小标宋简体"/>
          <w:bCs/>
          <w:color w:val="000000" w:themeColor="text1"/>
          <w:sz w:val="44"/>
          <w:szCs w:val="44"/>
          <w:highlight w:val="none"/>
          <w:lang w:val="en-US" w:eastAsia="zh-CN"/>
          <w14:textFill>
            <w14:solidFill>
              <w14:schemeClr w14:val="tx1"/>
            </w14:solidFill>
          </w14:textFill>
        </w:rPr>
        <w:t>内蒙古君联生物发展有限公司集中供热技改项目</w:t>
      </w:r>
      <w:r>
        <w:rPr>
          <w:rFonts w:hint="eastAsia" w:ascii="方正小标宋简体" w:hAnsi="方正小标宋简体" w:eastAsia="方正小标宋简体" w:cs="方正小标宋简体"/>
          <w:bCs/>
          <w:color w:val="000000" w:themeColor="text1"/>
          <w:sz w:val="44"/>
          <w:szCs w:val="44"/>
          <w:highlight w:val="none"/>
          <w14:textFill>
            <w14:solidFill>
              <w14:schemeClr w14:val="tx1"/>
            </w14:solidFill>
          </w14:textFill>
        </w:rPr>
        <w:t>环境影响报告书的批复</w:t>
      </w:r>
    </w:p>
    <w:p>
      <w:pPr>
        <w:autoSpaceDE w:val="0"/>
        <w:autoSpaceDN w:val="0"/>
        <w:adjustRightInd w:val="0"/>
        <w:snapToGrid w:val="0"/>
        <w:spacing w:line="520" w:lineRule="exact"/>
        <w:rPr>
          <w:rFonts w:ascii="仿宋_GB2312" w:hAnsi="仿宋_GB2312" w:eastAsia="仿宋_GB2312" w:cs="仿宋_GB2312"/>
          <w:color w:val="000000" w:themeColor="text1"/>
          <w:sz w:val="32"/>
          <w:szCs w:val="32"/>
          <w:highlight w:val="yellow"/>
          <w:lang w:bidi="en-US"/>
          <w14:textFill>
            <w14:solidFill>
              <w14:schemeClr w14:val="tx1"/>
            </w14:solidFill>
          </w14:textFill>
        </w:rPr>
      </w:pPr>
    </w:p>
    <w:p>
      <w:pPr>
        <w:keepNext w:val="0"/>
        <w:keepLines w:val="0"/>
        <w:pageBreakBefore w:val="0"/>
        <w:widowControl w:val="0"/>
        <w:kinsoku/>
        <w:wordWrap/>
        <w:overflowPunct/>
        <w:autoSpaceDE w:val="0"/>
        <w:autoSpaceDN w:val="0"/>
        <w:bidi w:val="0"/>
        <w:adjustRightInd w:val="0"/>
        <w:snapToGrid w:val="0"/>
        <w:spacing w:line="520" w:lineRule="exact"/>
        <w:jc w:val="both"/>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内蒙古君联生物发展有限公司</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w:t>
      </w:r>
    </w:p>
    <w:p>
      <w:pPr>
        <w:keepNext w:val="0"/>
        <w:keepLines w:val="0"/>
        <w:pageBreakBefore w:val="0"/>
        <w:widowControl w:val="0"/>
        <w:kinsoku/>
        <w:wordWrap/>
        <w:overflowPunct/>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你单位报送的《</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内蒙古君联生物发展有限公司集中供热技改项目</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环境影响报告书》（</w:t>
      </w:r>
      <w:r>
        <w:rPr>
          <w:rFonts w:hint="eastAsia" w:ascii="仿宋_GB2312" w:hAnsi="仿宋_GB2312" w:eastAsia="仿宋_GB2312" w:cs="仿宋_GB2312"/>
          <w:color w:val="000000" w:themeColor="text1"/>
          <w:sz w:val="32"/>
          <w:szCs w:val="32"/>
          <w:highlight w:val="none"/>
          <w:lang w:eastAsia="zh-Hans" w:bidi="en-US"/>
          <w14:textFill>
            <w14:solidFill>
              <w14:schemeClr w14:val="tx1"/>
            </w14:solidFill>
          </w14:textFill>
        </w:rPr>
        <w:t>以下简称《报告书》</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）收悉。经研究，批复如下：</w:t>
      </w:r>
    </w:p>
    <w:p>
      <w:pPr>
        <w:pStyle w:val="26"/>
        <w:keepNext w:val="0"/>
        <w:keepLines w:val="0"/>
        <w:pageBreakBefore w:val="0"/>
        <w:widowControl w:val="0"/>
        <w:numPr>
          <w:ilvl w:val="0"/>
          <w:numId w:val="0"/>
        </w:numPr>
        <w:kinsoku/>
        <w:wordWrap/>
        <w:overflowPunct/>
        <w:bidi w:val="0"/>
        <w:spacing w:line="520" w:lineRule="exact"/>
        <w:ind w:firstLine="640" w:firstLineChars="200"/>
        <w:jc w:val="both"/>
        <w:rPr>
          <w:rFonts w:hint="eastAsia" w:ascii="仿宋_GB2312" w:hAnsi="仿宋_GB2312" w:eastAsia="仿宋_GB2312" w:cs="仿宋_GB2312"/>
          <w:b w:val="0"/>
          <w:bCs/>
          <w:color w:val="000000" w:themeColor="text1"/>
          <w:kern w:val="0"/>
          <w:sz w:val="32"/>
          <w:szCs w:val="32"/>
          <w:highlight w:val="none"/>
          <w:lang w:val="en-US" w:eastAsia="zh-CN" w:bidi="ar"/>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一、内蒙古君联生物发展有限公司集中供热技改项目</w:t>
      </w:r>
      <w:r>
        <w:rPr>
          <w:rFonts w:hint="eastAsia" w:ascii="仿宋_GB2312" w:hAnsi="仿宋_GB2312" w:eastAsia="仿宋_GB2312" w:cs="仿宋_GB2312"/>
          <w:b w:val="0"/>
          <w:bCs/>
          <w:color w:val="000000" w:themeColor="text1"/>
          <w:kern w:val="0"/>
          <w:sz w:val="32"/>
          <w:szCs w:val="32"/>
          <w:highlight w:val="none"/>
          <w:lang w:val="en-US" w:eastAsia="zh-CN" w:bidi="ar"/>
          <w14:textFill>
            <w14:solidFill>
              <w14:schemeClr w14:val="tx1"/>
            </w14:solidFill>
          </w14:textFill>
        </w:rPr>
        <w:t>位于阿巴嘎旗别力古台镇西环路西侧第二热源厂原有厂地内，厂区占地面积为40000m</w:t>
      </w:r>
      <w:r>
        <w:rPr>
          <w:rFonts w:hint="eastAsia" w:ascii="仿宋_GB2312" w:hAnsi="仿宋_GB2312" w:eastAsia="仿宋_GB2312" w:cs="仿宋_GB2312"/>
          <w:b w:val="0"/>
          <w:bCs/>
          <w:color w:val="000000" w:themeColor="text1"/>
          <w:kern w:val="0"/>
          <w:sz w:val="32"/>
          <w:szCs w:val="32"/>
          <w:highlight w:val="none"/>
          <w:vertAlign w:val="superscript"/>
          <w:lang w:val="en-US" w:eastAsia="zh-CN" w:bidi="ar"/>
          <w14:textFill>
            <w14:solidFill>
              <w14:schemeClr w14:val="tx1"/>
            </w14:solidFill>
          </w14:textFill>
        </w:rPr>
        <w:t>2</w:t>
      </w:r>
      <w:r>
        <w:rPr>
          <w:rFonts w:hint="eastAsia" w:ascii="仿宋_GB2312" w:hAnsi="仿宋_GB2312" w:eastAsia="仿宋_GB2312" w:cs="仿宋_GB2312"/>
          <w:b w:val="0"/>
          <w:bCs/>
          <w:color w:val="000000" w:themeColor="text1"/>
          <w:kern w:val="0"/>
          <w:sz w:val="32"/>
          <w:szCs w:val="32"/>
          <w:highlight w:val="none"/>
          <w:lang w:val="en-US" w:eastAsia="zh-CN" w:bidi="ar"/>
          <w14:textFill>
            <w14:solidFill>
              <w14:schemeClr w14:val="tx1"/>
            </w14:solidFill>
          </w14:textFill>
        </w:rPr>
        <w:t>。改扩建工程在第二热源厂内新建1台70MW循环流化床热水锅炉（DHX70-1.25/115/70-H）及配套公辅、环保工程，换热站和供热管网依托现有，供热范围覆盖一、二热源厂现有全部供热区域110万m</w:t>
      </w:r>
      <w:r>
        <w:rPr>
          <w:rFonts w:hint="eastAsia" w:ascii="仿宋_GB2312" w:hAnsi="仿宋_GB2312" w:eastAsia="仿宋_GB2312" w:cs="仿宋_GB2312"/>
          <w:b w:val="0"/>
          <w:bCs/>
          <w:color w:val="000000" w:themeColor="text1"/>
          <w:kern w:val="0"/>
          <w:sz w:val="32"/>
          <w:szCs w:val="32"/>
          <w:highlight w:val="none"/>
          <w:vertAlign w:val="superscript"/>
          <w:lang w:val="en-US" w:eastAsia="zh-CN" w:bidi="ar"/>
          <w14:textFill>
            <w14:solidFill>
              <w14:schemeClr w14:val="tx1"/>
            </w14:solidFill>
          </w14:textFill>
        </w:rPr>
        <w:t>2</w:t>
      </w:r>
      <w:r>
        <w:rPr>
          <w:rFonts w:hint="eastAsia" w:ascii="仿宋_GB2312" w:hAnsi="仿宋_GB2312" w:eastAsia="仿宋_GB2312" w:cs="仿宋_GB2312"/>
          <w:b w:val="0"/>
          <w:bCs/>
          <w:color w:val="000000" w:themeColor="text1"/>
          <w:kern w:val="0"/>
          <w:sz w:val="32"/>
          <w:szCs w:val="32"/>
          <w:highlight w:val="none"/>
          <w:lang w:val="en-US" w:eastAsia="zh-CN" w:bidi="ar"/>
          <w14:textFill>
            <w14:solidFill>
              <w14:schemeClr w14:val="tx1"/>
            </w14:solidFill>
          </w14:textFill>
        </w:rPr>
        <w:t>。其中第二热源厂原有2台29MW转为备用，第一热源厂作为应急热源厂，停产待命。项目现有劳动定员38人，不新增定员人数，项目总投资为3352万元，其中环保投资为107万元，占总投资比例为3.19%。</w:t>
      </w:r>
    </w:p>
    <w:p>
      <w:pPr>
        <w:keepNext w:val="0"/>
        <w:keepLines w:val="0"/>
        <w:pageBreakBefore w:val="0"/>
        <w:widowControl w:val="0"/>
        <w:kinsoku/>
        <w:wordWrap/>
        <w:overflowPunct/>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pPr>
        <w:keepNext w:val="0"/>
        <w:keepLines w:val="0"/>
        <w:pageBreakBefore w:val="0"/>
        <w:widowControl w:val="0"/>
        <w:kinsoku/>
        <w:wordWrap/>
        <w:overflowPunct/>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二、项目在设计、建设和运营过程中还应做好以下工作。</w:t>
      </w:r>
    </w:p>
    <w:p>
      <w:pPr>
        <w:keepNext w:val="0"/>
        <w:keepLines w:val="0"/>
        <w:pageBreakBefore w:val="0"/>
        <w:widowControl w:val="0"/>
        <w:kinsoku/>
        <w:wordWrap/>
        <w:overflowPunct/>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pPr>
      <w:r>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t>（一）严格落实各项大气污染防治措施。</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本次改扩建项目有组织废气主要有燃煤锅炉烟气、石灰石粉仓废气、灰仓废气；无组织废气主要有2个储煤棚、渣库、灰库逸散的粉尘。</w:t>
      </w:r>
    </w:p>
    <w:p>
      <w:pPr>
        <w:keepNext w:val="0"/>
        <w:keepLines w:val="0"/>
        <w:pageBreakBefore w:val="0"/>
        <w:widowControl w:val="0"/>
        <w:kinsoku/>
        <w:wordWrap/>
        <w:overflowPunct/>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本项目锅炉烟气低氮燃烧+SNCR脱硝+石灰石湿法脱硫+脉冲袋式除尘器处理后通过50m高烟囱（DA001）排放，除尘效率99.8%、脱汞效率70%、脱硫效率90%、脱硝效率50%，锅炉烟气排放能够满足《锅炉大气污染物排放标准》（GB13271-2014）表2新建燃煤锅炉排放限值。灰仓、石灰石粉仓分别配套1台袋式除尘器，除尘效率99%，粉尘经处理后分别经1根不低于15m排气筒（DA002、DA003、DA004）排放，排放浓度能够满足《大气污染物综合排放标准》（GB16297-1996）二级标准的要求。储煤棚、渣库和灰库均采取全封闭式库房，不易起尘，无组织粉尘能够满足《大气污染物综合排放标准》（GB16297-1996）中无组织排放污染物新污染源大气污染物排放限值要求。</w:t>
      </w:r>
    </w:p>
    <w:p>
      <w:pPr>
        <w:keepNext w:val="0"/>
        <w:keepLines w:val="0"/>
        <w:pageBreakBefore w:val="0"/>
        <w:widowControl w:val="0"/>
        <w:numPr>
          <w:numId w:val="0"/>
        </w:numPr>
        <w:kinsoku/>
        <w:wordWrap/>
        <w:overflowPunct/>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000000" w:themeColor="text1"/>
          <w:kern w:val="2"/>
          <w:sz w:val="32"/>
          <w:szCs w:val="32"/>
          <w:highlight w:val="yellow"/>
          <w:lang w:val="en-US" w:eastAsia="zh-CN" w:bidi="ar-SA"/>
          <w14:textFill>
            <w14:solidFill>
              <w14:schemeClr w14:val="tx1"/>
            </w14:solidFill>
          </w14:textFill>
        </w:rPr>
      </w:pPr>
      <w:r>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t>（二）严格落实固体废物污染防治措施。</w:t>
      </w:r>
      <w:r>
        <w:rPr>
          <w:rFonts w:hint="eastAsia" w:ascii="仿宋_GB2312" w:hAnsi="仿宋_GB2312" w:eastAsia="仿宋_GB2312" w:cs="仿宋_GB2312"/>
          <w:color w:val="000000" w:themeColor="text1"/>
          <w:kern w:val="2"/>
          <w:sz w:val="32"/>
          <w:szCs w:val="32"/>
          <w:highlight w:val="none"/>
          <w:lang w:val="en-GB" w:eastAsia="zh-CN" w:bidi="ar-SA"/>
          <w14:textFill>
            <w14:solidFill>
              <w14:schemeClr w14:val="tx1"/>
            </w14:solidFill>
          </w14:textFill>
        </w:rPr>
        <w:t>本项目固体废物主要有粉煤灰、炉渣、脱硫石膏、废离子交换树脂、废矿物油、生活垃圾</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等</w:t>
      </w:r>
      <w:r>
        <w:rPr>
          <w:rFonts w:hint="eastAsia" w:ascii="仿宋_GB2312" w:hAnsi="仿宋_GB2312" w:eastAsia="仿宋_GB2312" w:cs="仿宋_GB2312"/>
          <w:color w:val="000000" w:themeColor="text1"/>
          <w:kern w:val="2"/>
          <w:sz w:val="32"/>
          <w:szCs w:val="32"/>
          <w:highlight w:val="none"/>
          <w:lang w:val="en-GB" w:eastAsia="zh-CN" w:bidi="ar-SA"/>
          <w14:textFill>
            <w14:solidFill>
              <w14:schemeClr w14:val="tx1"/>
            </w14:solidFill>
          </w14:textFill>
        </w:rPr>
        <w:t>。粉煤灰、炉渣暂存于新建灰库、渣仓，出售至建材生产厂家；脱硫石膏暂存于石膏库，最终运往Ⅱ类固废填埋场填埋处置；废离子交换树脂晾干后存入专用容器，由厂家回收再生；废矿物油等危险废物暂存于新建危废暂存间，委托有资质单位处置；生活垃圾集中收集临时堆放至厂区垃圾桶内，临时堆场水泥硬化，再定期由环卫部门统一处理。</w:t>
      </w:r>
    </w:p>
    <w:p>
      <w:pPr>
        <w:keepNext w:val="0"/>
        <w:keepLines w:val="0"/>
        <w:pageBreakBefore w:val="0"/>
        <w:widowControl w:val="0"/>
        <w:kinsoku/>
        <w:wordWrap/>
        <w:overflowPunct/>
        <w:topLinePunct w:val="0"/>
        <w:autoSpaceDE/>
        <w:autoSpaceDN/>
        <w:bidi w:val="0"/>
        <w:adjustRightInd/>
        <w:snapToGrid/>
        <w:spacing w:line="520" w:lineRule="exact"/>
        <w:ind w:left="0" w:leftChars="0" w:firstLine="608" w:firstLineChars="190"/>
        <w:textAlignment w:val="auto"/>
        <w:rPr>
          <w:rFonts w:hint="eastAsia" w:ascii="仿宋_GB2312" w:hAnsi="仿宋_GB2312" w:eastAsia="仿宋_GB2312" w:cs="仿宋_GB2312"/>
          <w:color w:val="000000" w:themeColor="text1"/>
          <w:kern w:val="2"/>
          <w:sz w:val="32"/>
          <w:szCs w:val="32"/>
          <w:highlight w:val="yellow"/>
          <w:lang w:val="en-US" w:eastAsia="zh-CN" w:bidi="ar-SA"/>
          <w14:textFill>
            <w14:solidFill>
              <w14:schemeClr w14:val="tx1"/>
            </w14:solidFill>
          </w14:textFill>
        </w:rPr>
      </w:pPr>
      <w:r>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t>（三）严格落实各项水污染防治措施。</w:t>
      </w:r>
      <w:r>
        <w:rPr>
          <w:rFonts w:hint="eastAsia" w:ascii="Times New Roman" w:hAnsi="Times New Roman" w:eastAsia="仿宋_GB2312" w:cs="Times New Roman"/>
          <w:color w:val="000000" w:themeColor="text1"/>
          <w:kern w:val="2"/>
          <w:sz w:val="32"/>
          <w:szCs w:val="32"/>
          <w:highlight w:val="none"/>
          <w:lang w:val="en-US" w:eastAsia="zh-CN" w:bidi="en-US"/>
          <w14:textFill>
            <w14:solidFill>
              <w14:schemeClr w14:val="tx1"/>
            </w14:solidFill>
          </w14:textFill>
        </w:rPr>
        <w:t>本项目产生的废水主要包括软化水系统排污水、除氧器废水、锅炉排污水、脱硫废水及生活污水。部分软化水系统排污水、除氧器废水、锅炉排污水用于洒水抑尘；脱硫废水循环利用，停炉后用于煤场洒水抑尘，不外排；部分软化水系统排污水、生活污水排入化粪池，</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经化粪池处理后达到《污水综合排放标准》（GB8978-1996）三级标准，</w:t>
      </w:r>
      <w:r>
        <w:rPr>
          <w:rFonts w:hint="eastAsia" w:ascii="Times New Roman" w:hAnsi="Times New Roman" w:eastAsia="仿宋_GB2312" w:cs="Times New Roman"/>
          <w:color w:val="000000" w:themeColor="text1"/>
          <w:kern w:val="2"/>
          <w:sz w:val="32"/>
          <w:szCs w:val="32"/>
          <w:highlight w:val="none"/>
          <w:lang w:val="en-US" w:eastAsia="zh-CN" w:bidi="en-US"/>
          <w14:textFill>
            <w14:solidFill>
              <w14:schemeClr w14:val="tx1"/>
            </w14:solidFill>
          </w14:textFill>
        </w:rPr>
        <w:t>通过市政管网排至别力古台镇污水处理厂</w:t>
      </w:r>
      <w:r>
        <w:rPr>
          <w:rFonts w:hint="default" w:ascii="Times New Roman" w:hAnsi="Times New Roman" w:eastAsia="仿宋_GB2312" w:cs="Times New Roman"/>
          <w:color w:val="000000" w:themeColor="text1"/>
          <w:kern w:val="2"/>
          <w:sz w:val="32"/>
          <w:szCs w:val="32"/>
          <w:highlight w:val="none"/>
          <w:lang w:val="en-US" w:eastAsia="zh-CN" w:bidi="en-US"/>
          <w14:textFill>
            <w14:solidFill>
              <w14:schemeClr w14:val="tx1"/>
            </w14:solidFill>
          </w14:textFill>
        </w:rPr>
        <w:t>处理，不外排。</w:t>
      </w:r>
    </w:p>
    <w:p>
      <w:pPr>
        <w:keepNext w:val="0"/>
        <w:keepLines w:val="0"/>
        <w:pageBreakBefore w:val="0"/>
        <w:widowControl w:val="0"/>
        <w:numPr>
          <w:ilvl w:val="0"/>
          <w:numId w:val="1"/>
        </w:numPr>
        <w:kinsoku/>
        <w:wordWrap/>
        <w:overflowPunct/>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000000" w:themeColor="text1"/>
          <w:sz w:val="32"/>
          <w:szCs w:val="32"/>
          <w:highlight w:val="none"/>
          <w:lang w:val="zh-TW" w:eastAsia="zh-TW" w:bidi="en-US"/>
          <w14:textFill>
            <w14:solidFill>
              <w14:schemeClr w14:val="tx1"/>
            </w14:solidFill>
          </w14:textFill>
        </w:rPr>
      </w:pPr>
      <w:r>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t>严格落实噪声防治措施。</w:t>
      </w:r>
      <w:r>
        <w:rPr>
          <w:rFonts w:hint="eastAsia" w:ascii="仿宋_GB2312" w:hAnsi="仿宋_GB2312" w:eastAsia="仿宋_GB2312" w:cs="仿宋_GB2312"/>
          <w:color w:val="000000" w:themeColor="text1"/>
          <w:sz w:val="32"/>
          <w:szCs w:val="32"/>
          <w:highlight w:val="none"/>
          <w:lang w:val="zh-TW" w:eastAsia="zh-TW" w:bidi="en-US"/>
          <w14:textFill>
            <w14:solidFill>
              <w14:schemeClr w14:val="tx1"/>
            </w14:solidFill>
          </w14:textFill>
        </w:rPr>
        <w:t>运营期噪声主要设备为锅炉房的引风机、鼓风机、锅炉安全阀排汽、循环水泵产生的噪声等，针对各设备噪声源特征使用消音、减振等噪声治理措施，厂界噪声</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可</w:t>
      </w:r>
      <w:r>
        <w:rPr>
          <w:rFonts w:hint="eastAsia" w:ascii="仿宋_GB2312" w:hAnsi="仿宋_GB2312" w:eastAsia="仿宋_GB2312" w:cs="仿宋_GB2312"/>
          <w:color w:val="000000" w:themeColor="text1"/>
          <w:sz w:val="32"/>
          <w:szCs w:val="32"/>
          <w:highlight w:val="none"/>
          <w:lang w:val="zh-TW" w:eastAsia="zh-TW" w:bidi="en-US"/>
          <w14:textFill>
            <w14:solidFill>
              <w14:schemeClr w14:val="tx1"/>
            </w14:solidFill>
          </w14:textFill>
        </w:rPr>
        <w:t>满足《工业企业厂界环境噪声排放标准》(GB12348-2008)</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val="zh-TW" w:eastAsia="zh-TW" w:bidi="en-US"/>
          <w14:textFill>
            <w14:solidFill>
              <w14:schemeClr w14:val="tx1"/>
            </w14:solidFill>
          </w14:textFill>
        </w:rPr>
        <w:t>类标准限值。</w:t>
      </w:r>
    </w:p>
    <w:p>
      <w:pPr>
        <w:keepNext w:val="0"/>
        <w:keepLines w:val="0"/>
        <w:pageBreakBefore w:val="0"/>
        <w:widowControl w:val="0"/>
        <w:numPr>
          <w:ilvl w:val="0"/>
          <w:numId w:val="1"/>
        </w:numPr>
        <w:kinsoku/>
        <w:wordWrap/>
        <w:overflowPunct/>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000000" w:themeColor="text1"/>
          <w:sz w:val="32"/>
          <w:szCs w:val="32"/>
          <w:highlight w:val="none"/>
          <w:lang w:val="zh-TW" w:eastAsia="zh-TW" w:bidi="en-US"/>
          <w14:textFill>
            <w14:solidFill>
              <w14:schemeClr w14:val="tx1"/>
            </w14:solidFill>
          </w14:textFill>
        </w:rPr>
      </w:pPr>
      <w:r>
        <w:rPr>
          <w:rFonts w:hint="eastAsia" w:ascii="楷体" w:hAnsi="楷体" w:eastAsia="楷体" w:cs="楷体"/>
          <w:color w:val="000000" w:themeColor="text1"/>
          <w:sz w:val="32"/>
          <w:szCs w:val="32"/>
          <w:highlight w:val="none"/>
          <w:lang w:eastAsia="zh-CN" w:bidi="en-US"/>
          <w14:textFill>
            <w14:solidFill>
              <w14:schemeClr w14:val="tx1"/>
            </w14:solidFill>
          </w14:textFill>
        </w:rPr>
        <w:t>严格落实各项环境风险防范措施</w:t>
      </w:r>
      <w:r>
        <w:rPr>
          <w:rFonts w:hint="eastAsia" w:ascii="楷体" w:hAnsi="楷体" w:eastAsia="楷体" w:cs="楷体"/>
          <w:color w:val="000000" w:themeColor="text1"/>
          <w:sz w:val="32"/>
          <w:szCs w:val="32"/>
          <w:highlight w:val="none"/>
          <w:lang w:bidi="en-US"/>
          <w14:textFill>
            <w14:solidFill>
              <w14:schemeClr w14:val="tx1"/>
            </w14:solidFill>
          </w14:textFill>
        </w:rPr>
        <w:t>。</w:t>
      </w:r>
      <w:r>
        <w:rPr>
          <w:rFonts w:hint="eastAsia" w:ascii="仿宋_GB2312" w:hAnsi="仿宋_GB2312" w:eastAsia="仿宋_GB2312" w:cs="仿宋_GB2312"/>
          <w:color w:val="000000" w:themeColor="text1"/>
          <w:sz w:val="32"/>
          <w:szCs w:val="32"/>
          <w:highlight w:val="none"/>
          <w:lang w:val="zh-TW" w:eastAsia="zh-TW" w:bidi="en-US"/>
          <w14:textFill>
            <w14:solidFill>
              <w14:schemeClr w14:val="tx1"/>
            </w14:solidFill>
          </w14:textFill>
        </w:rPr>
        <w:t>加强危险废物收集、贮存和出厂转移环节的环境管理和风险防范。按规范设置自动监测、报警、紧急切断及紧急停车系统，以及防火、防爆、防中毒等事故处理系统。配备足够的应急发电设施，确保紧急情况下应急设备可有效使用。项目投产运行后应加强应急演练，确保发生突发环境事件时能及时采取有效的应急响应措施，控制事故影响范围和程度。建设单位应确保在非事故状态下不占用消防事故水池。如需占用，占用容积不得超过1/3，并应设置在事故时可以紧急排空的技术措施。</w:t>
      </w:r>
    </w:p>
    <w:p>
      <w:pPr>
        <w:keepNext w:val="0"/>
        <w:keepLines w:val="0"/>
        <w:pageBreakBefore w:val="0"/>
        <w:widowControl w:val="0"/>
        <w:kinsoku/>
        <w:wordWrap/>
        <w:overflowPunct/>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t>（六）</w:t>
      </w:r>
      <w:r>
        <w:rPr>
          <w:rFonts w:hint="eastAsia" w:ascii="楷体" w:hAnsi="楷体" w:eastAsia="楷体" w:cs="楷体"/>
          <w:color w:val="000000" w:themeColor="text1"/>
          <w:sz w:val="32"/>
          <w:szCs w:val="32"/>
          <w:highlight w:val="none"/>
          <w:lang w:bidi="en-US"/>
          <w14:textFill>
            <w14:solidFill>
              <w14:schemeClr w14:val="tx1"/>
            </w14:solidFill>
          </w14:textFill>
        </w:rPr>
        <w:t>严格落实运营期污染源监测计划。</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按照相关标准、规范等要求，落实报告书提出的环境管理及监测计划，</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加强污染监控感知端建设，</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建立运营期污染源监测管理体系，并覆盖常规污染物、特征污染物。如出现污染物超标排放情况，应立即查明原因并采取进一步</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采取</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污染物减排措施。</w:t>
      </w:r>
    </w:p>
    <w:p>
      <w:pPr>
        <w:keepNext w:val="0"/>
        <w:keepLines w:val="0"/>
        <w:pageBreakBefore w:val="0"/>
        <w:widowControl w:val="0"/>
        <w:kinsoku/>
        <w:wordWrap/>
        <w:overflowPunct/>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pPr>
        <w:keepNext w:val="0"/>
        <w:keepLines w:val="0"/>
        <w:pageBreakBefore w:val="0"/>
        <w:widowControl w:val="0"/>
        <w:kinsoku/>
        <w:wordWrap/>
        <w:overflowPunct/>
        <w:autoSpaceDE w:val="0"/>
        <w:autoSpaceDN w:val="0"/>
        <w:bidi w:val="0"/>
        <w:adjustRightInd w:val="0"/>
        <w:snapToGrid w:val="0"/>
        <w:spacing w:line="520" w:lineRule="exact"/>
        <w:ind w:firstLine="640" w:firstLineChars="200"/>
        <w:jc w:val="both"/>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四、我局委托锡林郭勒盟生态环境局</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阿巴嘎旗</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分局对该项目各项污染防治措施落实情况进行监督检查和管理。</w:t>
      </w:r>
    </w:p>
    <w:p>
      <w:pPr>
        <w:keepNext w:val="0"/>
        <w:keepLines w:val="0"/>
        <w:pageBreakBefore w:val="0"/>
        <w:widowControl w:val="0"/>
        <w:kinsoku/>
        <w:wordWrap/>
        <w:overflowPunct/>
        <w:bidi w:val="0"/>
        <w:spacing w:line="520" w:lineRule="exact"/>
        <w:rPr>
          <w:rFonts w:hint="eastAsia" w:ascii="仿宋_GB2312" w:hAnsi="仿宋_GB2312" w:eastAsia="仿宋_GB2312" w:cs="仿宋_GB2312"/>
          <w:color w:val="000000" w:themeColor="text1"/>
          <w:sz w:val="32"/>
          <w:szCs w:val="32"/>
          <w:highlight w:val="none"/>
          <w14:textFill>
            <w14:solidFill>
              <w14:schemeClr w14:val="tx1"/>
            </w14:solidFill>
          </w14:textFill>
        </w:rPr>
      </w:pPr>
    </w:p>
    <w:p>
      <w:pPr>
        <w:keepNext w:val="0"/>
        <w:keepLines w:val="0"/>
        <w:pageBreakBefore w:val="0"/>
        <w:widowControl w:val="0"/>
        <w:kinsoku/>
        <w:wordWrap/>
        <w:overflowPunct/>
        <w:bidi w:val="0"/>
        <w:spacing w:line="520" w:lineRule="exact"/>
        <w:rPr>
          <w:rFonts w:hint="eastAsia"/>
          <w:color w:val="000000" w:themeColor="text1"/>
          <w:highlight w:val="none"/>
          <w14:textFill>
            <w14:solidFill>
              <w14:schemeClr w14:val="tx1"/>
            </w14:solidFill>
          </w14:textFill>
        </w:rPr>
      </w:pPr>
    </w:p>
    <w:p>
      <w:pPr>
        <w:keepNext w:val="0"/>
        <w:keepLines w:val="0"/>
        <w:pageBreakBefore w:val="0"/>
        <w:widowControl w:val="0"/>
        <w:kinsoku/>
        <w:wordWrap/>
        <w:overflowPunct/>
        <w:autoSpaceDE w:val="0"/>
        <w:autoSpaceDN w:val="0"/>
        <w:bidi w:val="0"/>
        <w:adjustRightInd w:val="0"/>
        <w:snapToGrid w:val="0"/>
        <w:spacing w:line="520" w:lineRule="exact"/>
        <w:ind w:firstLine="4160" w:firstLineChars="13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bookmarkStart w:id="1" w:name="_GoBack"/>
      <w:bookmarkEnd w:id="1"/>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锡林郭勒盟生态环境局</w:t>
      </w:r>
    </w:p>
    <w:p>
      <w:pPr>
        <w:keepNext w:val="0"/>
        <w:keepLines w:val="0"/>
        <w:pageBreakBefore w:val="0"/>
        <w:widowControl w:val="0"/>
        <w:kinsoku/>
        <w:wordWrap/>
        <w:overflowPunct/>
        <w:autoSpaceDE w:val="0"/>
        <w:autoSpaceDN w:val="0"/>
        <w:bidi w:val="0"/>
        <w:adjustRightInd w:val="0"/>
        <w:snapToGrid w:val="0"/>
        <w:spacing w:line="520" w:lineRule="exact"/>
        <w:ind w:firstLine="4800" w:firstLineChars="1500"/>
        <w:textAlignment w:val="auto"/>
        <w:rPr>
          <w:rFonts w:hint="eastAsia" w:ascii="仿宋" w:hAnsi="仿宋" w:eastAsia="仿宋" w:cs="仿宋"/>
          <w:color w:val="000000" w:themeColor="text1"/>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4</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30</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日</w:t>
      </w:r>
    </w:p>
    <w:p>
      <w:pPr>
        <w:pStyle w:val="16"/>
        <w:keepNext w:val="0"/>
        <w:keepLines w:val="0"/>
        <w:pageBreakBefore w:val="0"/>
        <w:widowControl w:val="0"/>
        <w:kinsoku/>
        <w:wordWrap/>
        <w:overflowPunct/>
        <w:bidi w:val="0"/>
        <w:spacing w:line="520" w:lineRule="exact"/>
        <w:rPr>
          <w:rFonts w:hint="eastAsia" w:ascii="仿宋" w:hAnsi="仿宋" w:eastAsia="仿宋" w:cs="仿宋"/>
          <w:color w:val="000000" w:themeColor="text1"/>
          <w:highlight w:val="none"/>
          <w14:textFill>
            <w14:solidFill>
              <w14:schemeClr w14:val="tx1"/>
            </w14:solidFill>
          </w14:textFill>
        </w:rPr>
      </w:pPr>
    </w:p>
    <w:p>
      <w:pPr>
        <w:pStyle w:val="16"/>
        <w:keepNext w:val="0"/>
        <w:keepLines w:val="0"/>
        <w:pageBreakBefore w:val="0"/>
        <w:widowControl w:val="0"/>
        <w:kinsoku/>
        <w:wordWrap/>
        <w:overflowPunct/>
        <w:topLinePunct w:val="0"/>
        <w:bidi w:val="0"/>
        <w:snapToGrid/>
        <w:spacing w:line="520" w:lineRule="exact"/>
        <w:jc w:val="both"/>
        <w:textAlignment w:val="auto"/>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pPr>
      <w:r>
        <w:rPr>
          <w:rFonts w:hint="eastAsia" w:ascii="仿宋" w:hAnsi="仿宋" w:eastAsia="仿宋" w:cs="仿宋"/>
          <w:color w:val="000000" w:themeColor="text1"/>
          <w:kern w:val="2"/>
          <w:sz w:val="28"/>
          <w:szCs w:val="28"/>
          <w:highlight w:val="none"/>
          <w:lang w:bidi="en-US"/>
          <w14:textFill>
            <w14:solidFill>
              <w14:schemeClr w14:val="tx1"/>
            </w14:solidFill>
          </w14:textFill>
        </w:rPr>
        <w:t>抄送：盟生态环境综合行政执法支队</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w:t>
      </w:r>
      <w:r>
        <w:rPr>
          <w:rFonts w:hint="eastAsia" w:ascii="仿宋" w:hAnsi="仿宋" w:eastAsia="仿宋" w:cs="仿宋"/>
          <w:color w:val="000000" w:themeColor="text1"/>
          <w:kern w:val="2"/>
          <w:sz w:val="28"/>
          <w:szCs w:val="28"/>
          <w:highlight w:val="none"/>
          <w:lang w:bidi="en-US"/>
          <w14:textFill>
            <w14:solidFill>
              <w14:schemeClr w14:val="tx1"/>
            </w14:solidFill>
          </w14:textFill>
        </w:rPr>
        <w:t>盟生态环境</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局</w:t>
      </w:r>
      <w:r>
        <w:rPr>
          <w:rFonts w:hint="eastAsia" w:ascii="仿宋" w:hAnsi="仿宋" w:eastAsia="仿宋" w:cs="仿宋"/>
          <w:color w:val="000000" w:themeColor="text1"/>
          <w:kern w:val="2"/>
          <w:sz w:val="28"/>
          <w:szCs w:val="28"/>
          <w:highlight w:val="none"/>
          <w:lang w:val="en-US" w:eastAsia="zh-CN" w:bidi="en-US"/>
          <w14:textFill>
            <w14:solidFill>
              <w14:schemeClr w14:val="tx1"/>
            </w14:solidFill>
          </w14:textFill>
        </w:rPr>
        <w:t>阿巴嘎旗分局</w:t>
      </w:r>
    </w:p>
    <w:p>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20" w:lineRule="exact"/>
        <w:textAlignment w:val="auto"/>
        <w:rPr>
          <w:rFonts w:hint="eastAsia" w:ascii="仿宋" w:hAnsi="仿宋" w:eastAsia="仿宋" w:cs="仿宋"/>
          <w:color w:val="000000" w:themeColor="text1"/>
          <w:sz w:val="28"/>
          <w:szCs w:val="28"/>
          <w:highlight w:val="none"/>
          <w14:textFill>
            <w14:solidFill>
              <w14:schemeClr w14:val="tx1"/>
            </w14:solidFill>
          </w14:textFill>
        </w:rPr>
      </w:pPr>
      <w:r>
        <w:rPr>
          <w:rFonts w:hint="eastAsia" w:ascii="仿宋" w:hAnsi="仿宋" w:eastAsia="仿宋" w:cs="仿宋"/>
          <w:color w:val="000000" w:themeColor="text1"/>
          <w:sz w:val="28"/>
          <w:szCs w:val="28"/>
          <w:highlight w:val="none"/>
          <w14:textFill>
            <w14:solidFill>
              <w14:schemeClr w14:val="tx1"/>
            </w14:solidFill>
          </w14:textFill>
        </w:rPr>
        <w:t>锡林郭勒盟生态环境局办公室              202</w:t>
      </w:r>
      <w:r>
        <w:rPr>
          <w:rFonts w:hint="eastAsia" w:ascii="仿宋" w:hAnsi="仿宋" w:eastAsia="仿宋" w:cs="仿宋"/>
          <w:color w:val="000000" w:themeColor="text1"/>
          <w:sz w:val="28"/>
          <w:szCs w:val="28"/>
          <w:highlight w:val="none"/>
          <w:lang w:val="en-US" w:eastAsia="zh-CN"/>
          <w14:textFill>
            <w14:solidFill>
              <w14:schemeClr w14:val="tx1"/>
            </w14:solidFill>
          </w14:textFill>
        </w:rPr>
        <w:t>4</w:t>
      </w:r>
      <w:r>
        <w:rPr>
          <w:rFonts w:hint="eastAsia" w:ascii="仿宋" w:hAnsi="仿宋" w:eastAsia="仿宋" w:cs="仿宋"/>
          <w:color w:val="000000" w:themeColor="text1"/>
          <w:sz w:val="28"/>
          <w:szCs w:val="28"/>
          <w:highlight w:val="none"/>
          <w14:textFill>
            <w14:solidFill>
              <w14:schemeClr w14:val="tx1"/>
            </w14:solidFill>
          </w14:textFill>
        </w:rPr>
        <w:t>年</w:t>
      </w:r>
      <w:r>
        <w:rPr>
          <w:rFonts w:hint="eastAsia" w:ascii="仿宋" w:hAnsi="仿宋" w:eastAsia="仿宋" w:cs="仿宋"/>
          <w:color w:val="000000" w:themeColor="text1"/>
          <w:sz w:val="28"/>
          <w:szCs w:val="28"/>
          <w:highlight w:val="none"/>
          <w:lang w:val="en-US" w:eastAsia="zh-CN"/>
          <w14:textFill>
            <w14:solidFill>
              <w14:schemeClr w14:val="tx1"/>
            </w14:solidFill>
          </w14:textFill>
        </w:rPr>
        <w:t>1</w:t>
      </w:r>
      <w:r>
        <w:rPr>
          <w:rFonts w:hint="eastAsia" w:ascii="仿宋" w:hAnsi="仿宋" w:eastAsia="仿宋" w:cs="仿宋"/>
          <w:color w:val="000000" w:themeColor="text1"/>
          <w:sz w:val="28"/>
          <w:szCs w:val="28"/>
          <w:highlight w:val="none"/>
          <w14:textFill>
            <w14:solidFill>
              <w14:schemeClr w14:val="tx1"/>
            </w14:solidFill>
          </w14:textFill>
        </w:rPr>
        <w:t>月</w:t>
      </w:r>
      <w:r>
        <w:rPr>
          <w:rFonts w:hint="eastAsia" w:ascii="仿宋" w:hAnsi="仿宋" w:eastAsia="仿宋" w:cs="仿宋"/>
          <w:color w:val="000000" w:themeColor="text1"/>
          <w:sz w:val="28"/>
          <w:szCs w:val="28"/>
          <w:highlight w:val="none"/>
          <w:lang w:val="en-US" w:eastAsia="zh-CN"/>
          <w14:textFill>
            <w14:solidFill>
              <w14:schemeClr w14:val="tx1"/>
            </w14:solidFill>
          </w14:textFill>
        </w:rPr>
        <w:t>30</w:t>
      </w:r>
      <w:r>
        <w:rPr>
          <w:rFonts w:hint="eastAsia" w:ascii="仿宋" w:hAnsi="仿宋" w:eastAsia="仿宋" w:cs="仿宋"/>
          <w:color w:val="000000" w:themeColor="text1"/>
          <w:sz w:val="28"/>
          <w:szCs w:val="28"/>
          <w:highlight w:val="none"/>
          <w14:textFill>
            <w14:solidFill>
              <w14:schemeClr w14:val="tx1"/>
            </w14:solidFill>
          </w14:textFill>
        </w:rPr>
        <w:t>日印发</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B940A54"/>
    <w:multiLevelType w:val="singleLevel"/>
    <w:tmpl w:val="4B940A54"/>
    <w:lvl w:ilvl="0" w:tentative="0">
      <w:start w:val="4"/>
      <w:numFmt w:val="chineseCounting"/>
      <w:suff w:val="nothing"/>
      <w:lvlText w:val="（%1）"/>
      <w:lvlJc w:val="left"/>
      <w:rPr>
        <w:rFonts w:hint="eastAsia" w:ascii="楷体" w:hAnsi="楷体" w:eastAsia="楷体" w:cs="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4082137"/>
    <w:rsid w:val="064265FE"/>
    <w:rsid w:val="07E80A5E"/>
    <w:rsid w:val="08125FE6"/>
    <w:rsid w:val="09F707CE"/>
    <w:rsid w:val="0C7A4895"/>
    <w:rsid w:val="0D6D6C1D"/>
    <w:rsid w:val="0EE27BE5"/>
    <w:rsid w:val="12DA6EB3"/>
    <w:rsid w:val="134A4ECA"/>
    <w:rsid w:val="1D61177E"/>
    <w:rsid w:val="1F9C573C"/>
    <w:rsid w:val="25C45CCE"/>
    <w:rsid w:val="27B80082"/>
    <w:rsid w:val="29D8150D"/>
    <w:rsid w:val="2CBC077F"/>
    <w:rsid w:val="2CF929A0"/>
    <w:rsid w:val="2DFD607A"/>
    <w:rsid w:val="2F1F3E8C"/>
    <w:rsid w:val="2F7E7F6E"/>
    <w:rsid w:val="31255C7D"/>
    <w:rsid w:val="36604982"/>
    <w:rsid w:val="3A963E04"/>
    <w:rsid w:val="46B26845"/>
    <w:rsid w:val="474C1E32"/>
    <w:rsid w:val="48252DD1"/>
    <w:rsid w:val="4A3B72B4"/>
    <w:rsid w:val="56990422"/>
    <w:rsid w:val="65980358"/>
    <w:rsid w:val="67927E4C"/>
    <w:rsid w:val="68387D94"/>
    <w:rsid w:val="6A793230"/>
    <w:rsid w:val="6E1A4AAF"/>
    <w:rsid w:val="70EA0941"/>
    <w:rsid w:val="78CC1696"/>
    <w:rsid w:val="7CE53CE8"/>
    <w:rsid w:val="7F6C2C5A"/>
    <w:rsid w:val="7FD626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4"/>
    <w:basedOn w:val="1"/>
    <w:next w:val="1"/>
    <w:autoRedefine/>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autoRedefine/>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autoRedefine/>
    <w:qFormat/>
    <w:uiPriority w:val="0"/>
    <w:pPr>
      <w:adjustRightInd w:val="0"/>
      <w:ind w:firstLine="420"/>
      <w:textAlignment w:val="baseline"/>
    </w:pPr>
    <w:rPr>
      <w:rFonts w:ascii="宋体" w:hAnsi="宋体"/>
      <w:sz w:val="18"/>
      <w:szCs w:val="18"/>
    </w:rPr>
  </w:style>
  <w:style w:type="paragraph" w:styleId="3">
    <w:name w:val="Body Text Indent"/>
    <w:basedOn w:val="1"/>
    <w:next w:val="1"/>
    <w:autoRedefine/>
    <w:qFormat/>
    <w:uiPriority w:val="0"/>
    <w:pPr>
      <w:spacing w:after="120"/>
      <w:ind w:left="420" w:leftChars="200"/>
    </w:pPr>
    <w:rPr>
      <w:rFonts w:ascii="Times New Roman" w:hAnsi="Times New Roman" w:eastAsia="宋体" w:cs="Times New Roman"/>
      <w:szCs w:val="20"/>
    </w:rPr>
  </w:style>
  <w:style w:type="paragraph" w:styleId="5">
    <w:name w:val="Normal Indent"/>
    <w:basedOn w:val="1"/>
    <w:next w:val="1"/>
    <w:qFormat/>
    <w:uiPriority w:val="0"/>
    <w:pPr>
      <w:ind w:firstLine="420" w:firstLineChars="200"/>
    </w:pPr>
    <w:rPr>
      <w:rFonts w:ascii="Times New Roman" w:hAnsi="Times New Roman" w:eastAsia="宋体"/>
      <w:szCs w:val="24"/>
    </w:rPr>
  </w:style>
  <w:style w:type="paragraph" w:styleId="6">
    <w:name w:val="annotation text"/>
    <w:basedOn w:val="1"/>
    <w:link w:val="24"/>
    <w:semiHidden/>
    <w:unhideWhenUsed/>
    <w:qFormat/>
    <w:uiPriority w:val="99"/>
    <w:pPr>
      <w:jc w:val="left"/>
    </w:pPr>
  </w:style>
  <w:style w:type="paragraph" w:styleId="7">
    <w:name w:val="footer"/>
    <w:basedOn w:val="1"/>
    <w:autoRedefine/>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20"/>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autoRedefine/>
    <w:qFormat/>
    <w:uiPriority w:val="39"/>
    <w:pPr>
      <w:tabs>
        <w:tab w:val="left" w:pos="284"/>
        <w:tab w:val="right" w:leader="dot" w:pos="8296"/>
      </w:tabs>
    </w:pPr>
  </w:style>
  <w:style w:type="paragraph" w:styleId="10">
    <w:name w:val="annotation subject"/>
    <w:basedOn w:val="6"/>
    <w:next w:val="6"/>
    <w:link w:val="25"/>
    <w:autoRedefine/>
    <w:semiHidden/>
    <w:unhideWhenUsed/>
    <w:qFormat/>
    <w:uiPriority w:val="99"/>
    <w:rPr>
      <w:b/>
      <w:bCs/>
    </w:rPr>
  </w:style>
  <w:style w:type="character" w:styleId="13">
    <w:name w:val="Hyperlink"/>
    <w:basedOn w:val="12"/>
    <w:autoRedefine/>
    <w:unhideWhenUsed/>
    <w:qFormat/>
    <w:uiPriority w:val="99"/>
    <w:rPr>
      <w:color w:val="0563C1" w:themeColor="hyperlink"/>
      <w:u w:val="single"/>
      <w14:textFill>
        <w14:solidFill>
          <w14:schemeClr w14:val="hlink"/>
        </w14:solidFill>
      </w14:textFill>
    </w:rPr>
  </w:style>
  <w:style w:type="character" w:styleId="14">
    <w:name w:val="annotation reference"/>
    <w:basedOn w:val="12"/>
    <w:autoRedefine/>
    <w:semiHidden/>
    <w:unhideWhenUsed/>
    <w:qFormat/>
    <w:uiPriority w:val="99"/>
    <w:rPr>
      <w:sz w:val="21"/>
      <w:szCs w:val="21"/>
    </w:rPr>
  </w:style>
  <w:style w:type="paragraph" w:customStyle="1" w:styleId="15">
    <w:name w:val="样式 正文文本缩进 + 行距: 1.5 倍行距"/>
    <w:basedOn w:val="1"/>
    <w:autoRedefine/>
    <w:qFormat/>
    <w:uiPriority w:val="0"/>
    <w:pPr>
      <w:spacing w:after="120" w:line="360" w:lineRule="auto"/>
      <w:ind w:left="90" w:leftChars="32" w:firstLine="560" w:firstLineChars="200"/>
    </w:pPr>
    <w:rPr>
      <w:rFonts w:ascii="Calibri" w:hAnsi="Calibri" w:cs="宋体"/>
      <w:szCs w:val="24"/>
    </w:rPr>
  </w:style>
  <w:style w:type="paragraph" w:customStyle="1" w:styleId="16">
    <w:name w:val="Default"/>
    <w:basedOn w:val="17"/>
    <w:next w:val="1"/>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纯文本1"/>
    <w:basedOn w:val="1"/>
    <w:autoRedefine/>
    <w:qFormat/>
    <w:uiPriority w:val="0"/>
    <w:rPr>
      <w:rFonts w:ascii="宋体" w:hAnsi="Courier New"/>
      <w:szCs w:val="20"/>
    </w:rPr>
  </w:style>
  <w:style w:type="paragraph" w:customStyle="1" w:styleId="18">
    <w:name w:val="正文1"/>
    <w:basedOn w:val="16"/>
    <w:next w:val="1"/>
    <w:autoRedefine/>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9">
    <w:name w:val="未处理的提及1"/>
    <w:basedOn w:val="12"/>
    <w:autoRedefine/>
    <w:semiHidden/>
    <w:unhideWhenUsed/>
    <w:qFormat/>
    <w:uiPriority w:val="99"/>
    <w:rPr>
      <w:color w:val="605E5C"/>
      <w:shd w:val="clear" w:color="auto" w:fill="E1DFDD"/>
    </w:rPr>
  </w:style>
  <w:style w:type="character" w:customStyle="1" w:styleId="20">
    <w:name w:val="页眉 字符"/>
    <w:basedOn w:val="12"/>
    <w:link w:val="8"/>
    <w:autoRedefine/>
    <w:qFormat/>
    <w:uiPriority w:val="99"/>
    <w:rPr>
      <w:kern w:val="2"/>
      <w:sz w:val="18"/>
      <w:szCs w:val="18"/>
    </w:rPr>
  </w:style>
  <w:style w:type="paragraph" w:customStyle="1" w:styleId="21">
    <w:name w:val="表文"/>
    <w:basedOn w:val="1"/>
    <w:autoRedefine/>
    <w:qFormat/>
    <w:uiPriority w:val="0"/>
    <w:pPr>
      <w:overflowPunct w:val="0"/>
      <w:spacing w:line="440" w:lineRule="exact"/>
      <w:jc w:val="center"/>
      <w:textAlignment w:val="baseline"/>
    </w:pPr>
    <w:rPr>
      <w:rFonts w:ascii="Arial" w:hAnsi="Arial" w:eastAsia="宋体" w:cs="Times New Roman"/>
      <w:szCs w:val="20"/>
    </w:rPr>
  </w:style>
  <w:style w:type="paragraph" w:customStyle="1" w:styleId="22">
    <w:name w:val="样式 (符号) 宋体 小四 行距: 1.5 倍行距"/>
    <w:basedOn w:val="1"/>
    <w:autoRedefine/>
    <w:qFormat/>
    <w:uiPriority w:val="0"/>
    <w:pPr>
      <w:spacing w:line="360" w:lineRule="auto"/>
      <w:ind w:firstLine="200" w:firstLineChars="200"/>
    </w:pPr>
    <w:rPr>
      <w:rFonts w:ascii="Times New Roman" w:hAnsi="Times New Roman" w:eastAsia="宋体" w:cs="宋体"/>
      <w:sz w:val="24"/>
      <w:szCs w:val="24"/>
    </w:rPr>
  </w:style>
  <w:style w:type="paragraph" w:styleId="23">
    <w:name w:val="List Paragraph"/>
    <w:basedOn w:val="1"/>
    <w:autoRedefine/>
    <w:qFormat/>
    <w:uiPriority w:val="99"/>
    <w:pPr>
      <w:ind w:firstLine="420" w:firstLineChars="200"/>
    </w:pPr>
  </w:style>
  <w:style w:type="character" w:customStyle="1" w:styleId="24">
    <w:name w:val="批注文字 字符"/>
    <w:basedOn w:val="12"/>
    <w:link w:val="6"/>
    <w:autoRedefine/>
    <w:semiHidden/>
    <w:qFormat/>
    <w:uiPriority w:val="99"/>
    <w:rPr>
      <w:kern w:val="2"/>
      <w:sz w:val="21"/>
      <w:szCs w:val="22"/>
    </w:rPr>
  </w:style>
  <w:style w:type="character" w:customStyle="1" w:styleId="25">
    <w:name w:val="批注主题 字符"/>
    <w:basedOn w:val="24"/>
    <w:link w:val="10"/>
    <w:autoRedefine/>
    <w:semiHidden/>
    <w:qFormat/>
    <w:uiPriority w:val="99"/>
    <w:rPr>
      <w:b/>
      <w:bCs/>
      <w:kern w:val="2"/>
      <w:sz w:val="21"/>
      <w:szCs w:val="22"/>
    </w:rPr>
  </w:style>
  <w:style w:type="paragraph" w:customStyle="1" w:styleId="26">
    <w:name w:val="高-正文"/>
    <w:basedOn w:val="1"/>
    <w:autoRedefine/>
    <w:qFormat/>
    <w:uiPriority w:val="0"/>
    <w:pPr>
      <w:topLinePunct/>
      <w:adjustRightInd w:val="0"/>
      <w:snapToGrid w:val="0"/>
      <w:spacing w:line="480" w:lineRule="exact"/>
      <w:ind w:firstLine="600"/>
    </w:pPr>
    <w:rPr>
      <w:rFonts w:ascii="等线" w:hAnsi="等线" w:eastAsia="等线"/>
    </w:rPr>
  </w:style>
  <w:style w:type="paragraph" w:customStyle="1" w:styleId="27">
    <w:name w:val="[1]正文"/>
    <w:basedOn w:val="1"/>
    <w:autoRedefine/>
    <w:qFormat/>
    <w:uiPriority w:val="0"/>
    <w:pPr>
      <w:widowControl/>
      <w:snapToGrid w:val="0"/>
      <w:jc w:val="left"/>
    </w:pPr>
    <w:rPr>
      <w:szCs w:val="28"/>
      <w:lang w:val="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2379</Words>
  <Characters>2625</Characters>
  <Lines>19</Lines>
  <Paragraphs>5</Paragraphs>
  <TotalTime>7</TotalTime>
  <ScaleCrop>false</ScaleCrop>
  <LinksUpToDate>false</LinksUpToDate>
  <CharactersWithSpaces>2643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2023-01-30T09:32:00Z</dcterms:created>
  <dc:creator>hui hui</dc:creator>
  <cp:lastModifiedBy>zilchs</cp:lastModifiedBy>
  <cp:lastPrinted>2023-01-30T09:39:00Z</cp:lastPrinted>
  <dcterms:modified xsi:type="dcterms:W3CDTF">2024-01-30T07:36:05Z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3756DD9593EC4225BBDBAAA3CB0E4682</vt:lpwstr>
  </property>
</Properties>
</file>