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2EC06A">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szCs w:val="32"/>
          <w:lang w:eastAsia="zh-CN"/>
        </w:rPr>
      </w:pPr>
    </w:p>
    <w:p w14:paraId="68794C05">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szCs w:val="32"/>
        </w:rPr>
      </w:pPr>
    </w:p>
    <w:p w14:paraId="2E95B68A">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2C6A1ED3">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3B8B8A49">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14DF7C29">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lang w:eastAsia="zh-CN"/>
        </w:rPr>
      </w:pPr>
    </w:p>
    <w:p w14:paraId="2A3B1CA5">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073480B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szCs w:val="32"/>
        </w:rPr>
      </w:pPr>
    </w:p>
    <w:p w14:paraId="4BAF02BB">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24</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12</w:t>
      </w:r>
      <w:r>
        <w:rPr>
          <w:rFonts w:hint="eastAsia" w:ascii="仿宋_GB2312" w:hAnsi="宋体" w:eastAsia="仿宋_GB2312" w:cs="Times New Roman"/>
          <w:sz w:val="32"/>
          <w:szCs w:val="32"/>
          <w:lang w:eastAsia="zh-CN"/>
        </w:rPr>
        <w:t>号</w:t>
      </w:r>
    </w:p>
    <w:p w14:paraId="0C26C52F">
      <w:pPr>
        <w:rPr>
          <w:rFonts w:hint="eastAsia" w:ascii="仿宋_GB2312" w:hAnsi="宋体" w:eastAsia="仿宋_GB2312"/>
          <w:b/>
          <w:sz w:val="28"/>
          <w:szCs w:val="28"/>
        </w:rPr>
      </w:pPr>
    </w:p>
    <w:p w14:paraId="70E65B4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14:paraId="4F9EC982">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关于镶黄旗大华矿业有限公司镶黄旗巴彦塔拉镇贡呼都格矿区萤石矿储量核实项目环境影响报告表的批复</w:t>
      </w:r>
    </w:p>
    <w:p w14:paraId="1B51B38C">
      <w:pPr>
        <w:widowControl w:val="0"/>
        <w:kinsoku/>
        <w:autoSpaceDE/>
        <w:autoSpaceDN/>
        <w:adjustRightInd/>
        <w:snapToGrid/>
        <w:spacing w:line="360" w:lineRule="auto"/>
        <w:jc w:val="both"/>
        <w:textAlignment w:val="auto"/>
        <w:rPr>
          <w:rFonts w:hint="eastAsia" w:ascii="仿宋_GB2312" w:hAnsi="仿宋_GB2312" w:eastAsia="仿宋_GB2312" w:cs="仿宋_GB2312"/>
          <w:snapToGrid/>
          <w:color w:val="000000"/>
          <w:kern w:val="2"/>
          <w:sz w:val="32"/>
          <w:szCs w:val="32"/>
          <w:lang w:val="en-US" w:eastAsia="zh-CN" w:bidi="ar-SA"/>
        </w:rPr>
      </w:pPr>
    </w:p>
    <w:p w14:paraId="3388876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镶黄旗大华矿业有限公司</w:t>
      </w:r>
      <w:r>
        <w:rPr>
          <w:rFonts w:hint="default" w:ascii="仿宋_GB2312" w:hAnsi="仿宋_GB2312" w:eastAsia="仿宋_GB2312" w:cs="仿宋_GB2312"/>
          <w:snapToGrid/>
          <w:color w:val="000000"/>
          <w:kern w:val="2"/>
          <w:sz w:val="32"/>
          <w:szCs w:val="32"/>
          <w:lang w:val="en-US" w:eastAsia="zh-CN" w:bidi="ar-SA"/>
        </w:rPr>
        <w:t>:</w:t>
      </w:r>
    </w:p>
    <w:p w14:paraId="566F3E1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w:t>
      </w:r>
      <w:r>
        <w:rPr>
          <w:rFonts w:hint="eastAsia" w:ascii="仿宋_GB2312" w:hAnsi="仿宋_GB2312" w:eastAsia="仿宋_GB2312" w:cs="仿宋_GB2312"/>
          <w:snapToGrid/>
          <w:color w:val="000000"/>
          <w:kern w:val="2"/>
          <w:sz w:val="32"/>
          <w:szCs w:val="32"/>
          <w:lang w:val="en-US" w:eastAsia="zh-CN" w:bidi="ar-SA"/>
        </w:rPr>
        <w:t>公司</w:t>
      </w:r>
      <w:r>
        <w:rPr>
          <w:rFonts w:hint="default" w:ascii="仿宋_GB2312" w:hAnsi="仿宋_GB2312" w:eastAsia="仿宋_GB2312" w:cs="仿宋_GB2312"/>
          <w:snapToGrid/>
          <w:color w:val="000000"/>
          <w:kern w:val="2"/>
          <w:sz w:val="32"/>
          <w:szCs w:val="32"/>
          <w:lang w:val="en-US" w:eastAsia="zh-CN" w:bidi="ar-SA"/>
        </w:rPr>
        <w:t>由</w:t>
      </w:r>
      <w:r>
        <w:rPr>
          <w:rFonts w:hint="eastAsia" w:ascii="仿宋_GB2312" w:hAnsi="仿宋_GB2312" w:eastAsia="仿宋_GB2312" w:cs="仿宋_GB2312"/>
          <w:snapToGrid/>
          <w:color w:val="000000"/>
          <w:kern w:val="2"/>
          <w:sz w:val="32"/>
          <w:szCs w:val="32"/>
          <w:lang w:val="en-US" w:eastAsia="zh-CN" w:bidi="ar-SA"/>
        </w:rPr>
        <w:t>内蒙古绿洁</w:t>
      </w:r>
      <w:bookmarkStart w:id="0" w:name="_GoBack"/>
      <w:bookmarkEnd w:id="0"/>
      <w:r>
        <w:rPr>
          <w:rFonts w:hint="eastAsia" w:ascii="仿宋_GB2312" w:hAnsi="仿宋_GB2312" w:eastAsia="仿宋_GB2312" w:cs="仿宋_GB2312"/>
          <w:snapToGrid/>
          <w:color w:val="000000"/>
          <w:kern w:val="2"/>
          <w:sz w:val="32"/>
          <w:szCs w:val="32"/>
          <w:lang w:val="en-US" w:eastAsia="zh-CN" w:bidi="ar-SA"/>
        </w:rPr>
        <w:t>环保有限公司</w:t>
      </w:r>
      <w:r>
        <w:rPr>
          <w:rFonts w:hint="default" w:ascii="仿宋_GB2312" w:hAnsi="仿宋_GB2312" w:eastAsia="仿宋_GB2312" w:cs="仿宋_GB2312"/>
          <w:snapToGrid/>
          <w:color w:val="000000"/>
          <w:kern w:val="2"/>
          <w:sz w:val="32"/>
          <w:szCs w:val="32"/>
          <w:lang w:val="en-US" w:eastAsia="zh-CN" w:bidi="ar-SA"/>
        </w:rPr>
        <w:t>编制的《</w:t>
      </w:r>
      <w:r>
        <w:rPr>
          <w:rFonts w:hint="eastAsia" w:ascii="仿宋_GB2312" w:hAnsi="仿宋_GB2312" w:eastAsia="仿宋_GB2312" w:cs="仿宋_GB2312"/>
          <w:snapToGrid/>
          <w:color w:val="000000"/>
          <w:kern w:val="2"/>
          <w:sz w:val="32"/>
          <w:szCs w:val="32"/>
          <w:lang w:val="en-US" w:eastAsia="zh-CN" w:bidi="ar-SA"/>
        </w:rPr>
        <w:t>镶黄旗大华矿业有限公司镶黄旗巴彦塔拉镇贡呼都格矿区萤石矿储量核实项目环境影响报告表》(以下简称《报告表》)已收悉。现批复如下:</w:t>
      </w:r>
    </w:p>
    <w:p w14:paraId="7B5F8234">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14:paraId="43ED5B9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镶黄旗大华矿业有限公司镶黄旗巴彦塔拉镇贡呼都格矿区萤石矿储量核实项目位于</w:t>
      </w:r>
      <w:r>
        <w:rPr>
          <w:rFonts w:hint="eastAsia" w:ascii="仿宋_GB2312" w:hAnsi="仿宋_GB2312" w:eastAsia="仿宋_GB2312" w:cs="仿宋_GB2312"/>
          <w:snapToGrid/>
          <w:color w:val="000000"/>
          <w:kern w:val="2"/>
          <w:sz w:val="32"/>
          <w:szCs w:val="32"/>
          <w:lang w:val="en-US" w:eastAsia="zh-CN" w:bidi="ar-SA"/>
        </w:rPr>
        <w:t>内蒙古自治区锡林郭勒盟镶黄旗巴彦塔拉镇</w:t>
      </w:r>
      <w:r>
        <w:rPr>
          <w:rFonts w:hint="default" w:ascii="仿宋_GB2312" w:hAnsi="仿宋_GB2312" w:eastAsia="仿宋_GB2312" w:cs="仿宋_GB2312"/>
          <w:snapToGrid/>
          <w:color w:val="000000"/>
          <w:kern w:val="2"/>
          <w:sz w:val="32"/>
          <w:szCs w:val="32"/>
          <w:lang w:val="en-US" w:eastAsia="zh-CN" w:bidi="ar-SA"/>
        </w:rPr>
        <w:t>，项目总投资</w:t>
      </w:r>
      <w:r>
        <w:rPr>
          <w:rFonts w:hint="eastAsia" w:ascii="仿宋_GB2312" w:hAnsi="仿宋_GB2312" w:eastAsia="仿宋_GB2312" w:cs="仿宋_GB2312"/>
          <w:snapToGrid/>
          <w:color w:val="000000"/>
          <w:kern w:val="2"/>
          <w:sz w:val="32"/>
          <w:szCs w:val="32"/>
          <w:lang w:val="en-US" w:eastAsia="zh-CN" w:bidi="ar-SA"/>
        </w:rPr>
        <w:t>193.18</w:t>
      </w:r>
      <w:r>
        <w:rPr>
          <w:rFonts w:hint="default" w:ascii="仿宋_GB2312" w:hAnsi="仿宋_GB2312" w:eastAsia="仿宋_GB2312" w:cs="仿宋_GB2312"/>
          <w:snapToGrid/>
          <w:color w:val="000000"/>
          <w:kern w:val="2"/>
          <w:sz w:val="32"/>
          <w:szCs w:val="32"/>
          <w:lang w:val="en-US" w:eastAsia="zh-CN" w:bidi="ar-SA"/>
        </w:rPr>
        <w:t>万元，环保投资</w:t>
      </w:r>
      <w:r>
        <w:rPr>
          <w:rFonts w:hint="eastAsia" w:ascii="仿宋_GB2312" w:hAnsi="仿宋_GB2312" w:eastAsia="仿宋_GB2312" w:cs="仿宋_GB2312"/>
          <w:snapToGrid/>
          <w:color w:val="000000"/>
          <w:kern w:val="2"/>
          <w:sz w:val="32"/>
          <w:szCs w:val="32"/>
          <w:lang w:val="en-US" w:eastAsia="zh-CN" w:bidi="ar-SA"/>
        </w:rPr>
        <w:t>15</w:t>
      </w:r>
      <w:r>
        <w:rPr>
          <w:rFonts w:hint="default" w:ascii="仿宋_GB2312" w:hAnsi="仿宋_GB2312" w:eastAsia="仿宋_GB2312" w:cs="仿宋_GB2312"/>
          <w:snapToGrid/>
          <w:color w:val="000000"/>
          <w:kern w:val="2"/>
          <w:sz w:val="32"/>
          <w:szCs w:val="32"/>
          <w:lang w:val="en-US" w:eastAsia="zh-CN" w:bidi="ar-SA"/>
        </w:rPr>
        <w:t>万元，环保投资占总投资比例</w:t>
      </w:r>
      <w:r>
        <w:rPr>
          <w:rFonts w:hint="eastAsia" w:ascii="仿宋_GB2312" w:hAnsi="仿宋_GB2312" w:eastAsia="仿宋_GB2312" w:cs="仿宋_GB2312"/>
          <w:snapToGrid/>
          <w:color w:val="000000"/>
          <w:kern w:val="2"/>
          <w:sz w:val="32"/>
          <w:szCs w:val="32"/>
          <w:lang w:val="en-US" w:eastAsia="zh-CN" w:bidi="ar-SA"/>
        </w:rPr>
        <w:t>7.76</w:t>
      </w:r>
      <w:r>
        <w:rPr>
          <w:rFonts w:hint="default" w:ascii="仿宋_GB2312" w:hAnsi="仿宋_GB2312" w:eastAsia="仿宋_GB2312" w:cs="仿宋_GB2312"/>
          <w:snapToGrid/>
          <w:color w:val="000000"/>
          <w:kern w:val="2"/>
          <w:sz w:val="32"/>
          <w:szCs w:val="32"/>
          <w:lang w:val="en-US" w:eastAsia="zh-CN" w:bidi="ar-SA"/>
        </w:rPr>
        <w:t>%</w:t>
      </w:r>
      <w:r>
        <w:rPr>
          <w:rFonts w:hint="eastAsia" w:ascii="仿宋_GB2312" w:hAnsi="仿宋_GB2312" w:eastAsia="仿宋_GB2312" w:cs="仿宋_GB2312"/>
          <w:snapToGrid/>
          <w:color w:val="000000"/>
          <w:kern w:val="2"/>
          <w:sz w:val="32"/>
          <w:szCs w:val="32"/>
          <w:lang w:val="en-US" w:eastAsia="zh-CN" w:bidi="ar-SA"/>
        </w:rPr>
        <w:t>，探矿区面积5.9942km</w:t>
      </w:r>
      <w:r>
        <w:rPr>
          <w:rFonts w:hint="eastAsia" w:ascii="仿宋_GB2312" w:hAnsi="仿宋_GB2312" w:eastAsia="仿宋_GB2312" w:cs="仿宋_GB2312"/>
          <w:snapToGrid/>
          <w:color w:val="000000"/>
          <w:kern w:val="2"/>
          <w:sz w:val="32"/>
          <w:szCs w:val="32"/>
          <w:vertAlign w:val="superscript"/>
          <w:lang w:val="en-US" w:eastAsia="zh-CN" w:bidi="ar-SA"/>
        </w:rPr>
        <w:t>2</w:t>
      </w:r>
      <w:r>
        <w:rPr>
          <w:rFonts w:hint="eastAsia" w:ascii="仿宋_GB2312" w:hAnsi="仿宋_GB2312" w:eastAsia="仿宋_GB2312" w:cs="仿宋_GB2312"/>
          <w:snapToGrid/>
          <w:color w:val="000000"/>
          <w:kern w:val="2"/>
          <w:sz w:val="32"/>
          <w:szCs w:val="32"/>
          <w:lang w:val="en-US" w:eastAsia="zh-CN" w:bidi="ar-SA"/>
        </w:rPr>
        <w:t>，勘查矿种萤石矿，勘查阶段为普查。勘探主要有1:2000地形测量，测量面积5.9942km</w:t>
      </w:r>
      <w:r>
        <w:rPr>
          <w:rFonts w:hint="eastAsia" w:ascii="仿宋_GB2312" w:hAnsi="仿宋_GB2312" w:eastAsia="仿宋_GB2312" w:cs="仿宋_GB2312"/>
          <w:snapToGrid/>
          <w:color w:val="000000"/>
          <w:kern w:val="2"/>
          <w:sz w:val="32"/>
          <w:szCs w:val="32"/>
          <w:vertAlign w:val="superscript"/>
          <w:lang w:val="en-US" w:eastAsia="zh-CN" w:bidi="ar-SA"/>
        </w:rPr>
        <w:t>2</w:t>
      </w:r>
      <w:r>
        <w:rPr>
          <w:rFonts w:hint="eastAsia" w:ascii="仿宋_GB2312" w:hAnsi="仿宋_GB2312" w:eastAsia="仿宋_GB2312" w:cs="仿宋_GB2312"/>
          <w:snapToGrid/>
          <w:color w:val="000000"/>
          <w:kern w:val="2"/>
          <w:sz w:val="32"/>
          <w:szCs w:val="32"/>
          <w:vertAlign w:val="baseline"/>
          <w:lang w:val="en-US" w:eastAsia="zh-CN" w:bidi="ar-SA"/>
        </w:rPr>
        <w:t>;1:2000地质测量，测量面积5.9942km</w:t>
      </w:r>
      <w:r>
        <w:rPr>
          <w:rFonts w:hint="eastAsia" w:ascii="仿宋_GB2312" w:hAnsi="仿宋_GB2312" w:eastAsia="仿宋_GB2312" w:cs="仿宋_GB2312"/>
          <w:snapToGrid/>
          <w:color w:val="000000"/>
          <w:kern w:val="2"/>
          <w:sz w:val="32"/>
          <w:szCs w:val="32"/>
          <w:vertAlign w:val="superscript"/>
          <w:lang w:val="en-US" w:eastAsia="zh-CN" w:bidi="ar-SA"/>
        </w:rPr>
        <w:t>2</w:t>
      </w:r>
      <w:r>
        <w:rPr>
          <w:rFonts w:hint="eastAsia" w:ascii="仿宋_GB2312" w:hAnsi="仿宋_GB2312" w:eastAsia="仿宋_GB2312" w:cs="仿宋_GB2312"/>
          <w:snapToGrid/>
          <w:color w:val="000000"/>
          <w:kern w:val="2"/>
          <w:sz w:val="32"/>
          <w:szCs w:val="32"/>
          <w:vertAlign w:val="baseline"/>
          <w:lang w:val="en-US" w:eastAsia="zh-CN" w:bidi="ar-SA"/>
        </w:rPr>
        <w:t>；完成1:1000地质剖面测量，测量长度9.60km;1:2000水工环地质调查，调查面积5.9942km</w:t>
      </w:r>
      <w:r>
        <w:rPr>
          <w:rFonts w:hint="eastAsia" w:ascii="仿宋_GB2312" w:hAnsi="仿宋_GB2312" w:eastAsia="仿宋_GB2312" w:cs="仿宋_GB2312"/>
          <w:snapToGrid/>
          <w:color w:val="000000"/>
          <w:kern w:val="2"/>
          <w:sz w:val="32"/>
          <w:szCs w:val="32"/>
          <w:vertAlign w:val="superscript"/>
          <w:lang w:val="en-US" w:eastAsia="zh-CN" w:bidi="ar-SA"/>
        </w:rPr>
        <w:t>2</w:t>
      </w:r>
      <w:r>
        <w:rPr>
          <w:rFonts w:hint="eastAsia" w:ascii="仿宋_GB2312" w:hAnsi="仿宋_GB2312" w:eastAsia="仿宋_GB2312" w:cs="仿宋_GB2312"/>
          <w:snapToGrid/>
          <w:color w:val="000000"/>
          <w:kern w:val="2"/>
          <w:sz w:val="32"/>
          <w:szCs w:val="32"/>
          <w:vertAlign w:val="baseline"/>
          <w:lang w:val="en-US" w:eastAsia="zh-CN" w:bidi="ar-SA"/>
        </w:rPr>
        <w:t>;设置钻孔16个，全部取芯。其中，水文孔1个,进行抽水试验，总钻探工作量为3090m。</w:t>
      </w:r>
    </w:p>
    <w:p w14:paraId="3BAF93AE">
      <w:pPr>
        <w:pStyle w:val="7"/>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根据《产业结构调整指导目录（2024年本）》，本项目不属于其中规定的鼓励类、限制类和淘汰类项目。根据《产业结构调整方向暂行规定》中第十一条规定“不属于鼓励类、限制类和淘汰类，且符合国家有关法律、法规规定的，为允许类”，则本项目属于允许类。本项目不属于《市场准入负面清单（2022年版）》中的禁止准入类。综上，本项目符合相关产业政策。《报告表》认为，在全面落实各项污染防治措施的前提下，项目建设对环境的不利影响能够得到一定的缓解和控制。我局原则同意本环境影响报告表的总体评价结论和拟采取的环境保护措施。</w:t>
      </w:r>
    </w:p>
    <w:p w14:paraId="7FA3FECB">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14:paraId="69D2F3E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default" w:ascii="仿宋_GB2312" w:hAnsi="仿宋_GB2312" w:eastAsia="仿宋_GB2312" w:cs="仿宋_GB2312"/>
          <w:snapToGrid w:val="0"/>
          <w:color w:val="auto"/>
          <w:kern w:val="2"/>
          <w:sz w:val="32"/>
          <w:szCs w:val="32"/>
          <w:lang w:val="en-US" w:eastAsia="zh-CN" w:bidi="en-US"/>
        </w:rPr>
      </w:pPr>
      <w:r>
        <w:rPr>
          <w:rFonts w:hint="eastAsia" w:ascii="楷体_GB2312" w:hAnsi="楷体_GB2312" w:eastAsia="楷体_GB2312" w:cs="楷体_GB2312"/>
          <w:color w:val="auto"/>
          <w:spacing w:val="0"/>
          <w:w w:val="100"/>
          <w:position w:val="0"/>
          <w:sz w:val="32"/>
          <w:szCs w:val="32"/>
          <w:lang w:val="en-US" w:eastAsia="zh-CN"/>
        </w:rPr>
        <w:t>（一）落实生态环境保护措施。</w:t>
      </w:r>
      <w:r>
        <w:rPr>
          <w:rFonts w:hint="eastAsia" w:ascii="仿宋_GB2312" w:hAnsi="仿宋_GB2312" w:eastAsia="仿宋_GB2312" w:cs="仿宋_GB2312"/>
          <w:snapToGrid w:val="0"/>
          <w:color w:val="auto"/>
          <w:kern w:val="2"/>
          <w:sz w:val="32"/>
          <w:szCs w:val="32"/>
          <w:lang w:val="en-US" w:eastAsia="zh-CN" w:bidi="en-US"/>
        </w:rPr>
        <w:t>施工期加强施工管理，合理利用场地，严格控制施工范围。运营期工程结束后，立即对表剥离物和废石进行回填，并对临时堆放场地采取防止水土流失等措施，对堆场进行生态恢复；钻探现场应严格按照地质设计要求认真做好封孔工作，保证封孔质量，孔口用水泥砂浆树立规范的标志桩；探矿作业区应对剥离的土壤最好进行异地选址移存，移存的土壤层平整、防止雨水冲刷，探矿完毕后用于表层土壤覆盖，探矿取完样品后立即将表层剥离土回填平整压实，严禁裸露堆放；对矿区栖息的动物应予以保护，严禁在矿区围捕、猎杀，必须限制人群大面积无组织频繁活动，必须对突发性噪声的时间段予以限制；晚间矿山探矿中，对矿区灯火应有遮挡防护；探矿过程中开挖取样过程中，尽量避开有植被的区域；探矿结束后必须清除占地范围内所有建筑物，对临时占地进行植物恢复，尽量按原植被类型、群系予以恢复；林地复绿，林木品种适合当地生长，应结合当地居民及社会经济发展及环境的协调要求，林木的种植施工应符合相关行业规程及规范标准。</w:t>
      </w:r>
    </w:p>
    <w:p w14:paraId="0617E5DF">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color w:val="000000"/>
          <w:sz w:val="32"/>
          <w:szCs w:val="32"/>
          <w:lang w:val="en-US" w:eastAsia="zh-CN"/>
        </w:rPr>
      </w:pPr>
      <w:r>
        <w:rPr>
          <w:rFonts w:hint="eastAsia" w:ascii="楷体_GB2312" w:hAnsi="楷体_GB2312" w:eastAsia="楷体_GB2312" w:cs="楷体_GB2312"/>
          <w:color w:val="auto"/>
          <w:spacing w:val="0"/>
          <w:w w:val="100"/>
          <w:position w:val="0"/>
          <w:sz w:val="32"/>
          <w:szCs w:val="32"/>
          <w:lang w:val="en-US" w:eastAsia="zh-CN"/>
        </w:rPr>
        <w:t>(二)落实</w:t>
      </w:r>
      <w:r>
        <w:rPr>
          <w:rFonts w:hint="eastAsia" w:ascii="楷体_GB2312" w:hAnsi="楷体_GB2312" w:eastAsia="楷体_GB2312" w:cs="楷体_GB2312"/>
          <w:color w:val="000000"/>
          <w:sz w:val="32"/>
          <w:szCs w:val="32"/>
          <w:lang w:val="en-US" w:eastAsia="zh-CN"/>
        </w:rPr>
        <w:t>大气污染防治措施。</w:t>
      </w:r>
      <w:r>
        <w:rPr>
          <w:rFonts w:hint="eastAsia" w:ascii="仿宋_GB2312" w:hAnsi="仿宋_GB2312" w:eastAsia="仿宋_GB2312" w:cs="仿宋_GB2312"/>
          <w:color w:val="000000"/>
          <w:sz w:val="32"/>
          <w:szCs w:val="32"/>
          <w:lang w:val="en-US" w:eastAsia="zh-CN"/>
        </w:rPr>
        <w:t>施工期严格控制作业时间，在大风天气禁止开挖作业，对开挖表土及时进行苫盖处理并压实，防止风力起尘。运营期加强勘探活动产生的扬尘治理，开挖产生的剥离表土堆存于钻探平台旁并及时进行苫盖，合理规划勘探活动时间，严禁大风天气开展钻探作业。</w:t>
      </w:r>
    </w:p>
    <w:p w14:paraId="72AA5F7C">
      <w:pPr>
        <w:keepNext w:val="0"/>
        <w:keepLines w:val="0"/>
        <w:pageBreakBefore w:val="0"/>
        <w:wordWrap/>
        <w:overflowPunct/>
        <w:topLinePunct w:val="0"/>
        <w:bidi w:val="0"/>
        <w:spacing w:line="560" w:lineRule="exact"/>
        <w:ind w:right="0" w:firstLine="640" w:firstLineChars="200"/>
        <w:jc w:val="both"/>
        <w:rPr>
          <w:rFonts w:hint="default" w:ascii="仿宋_GB2312" w:hAnsi="仿宋_GB2312" w:eastAsia="仿宋_GB2312" w:cs="仿宋_GB2312"/>
          <w:snapToGrid/>
          <w:color w:val="000000"/>
          <w:kern w:val="2"/>
          <w:sz w:val="32"/>
          <w:szCs w:val="32"/>
          <w:lang w:val="en-US" w:eastAsia="zh-CN" w:bidi="ar-SA"/>
        </w:rPr>
      </w:pPr>
      <w:r>
        <w:rPr>
          <w:rFonts w:hint="default" w:ascii="楷体_GB2312" w:hAnsi="楷体_GB2312" w:eastAsia="楷体_GB2312" w:cs="楷体_GB2312"/>
          <w:color w:val="auto"/>
          <w:spacing w:val="0"/>
          <w:w w:val="100"/>
          <w:position w:val="0"/>
          <w:sz w:val="32"/>
          <w:szCs w:val="32"/>
          <w:lang w:val="en-US" w:eastAsia="zh-CN"/>
        </w:rPr>
        <w:t>(</w:t>
      </w:r>
      <w:r>
        <w:rPr>
          <w:rFonts w:hint="eastAsia" w:ascii="楷体_GB2312" w:hAnsi="楷体_GB2312" w:eastAsia="楷体_GB2312" w:cs="楷体_GB2312"/>
          <w:color w:val="auto"/>
          <w:spacing w:val="0"/>
          <w:w w:val="100"/>
          <w:position w:val="0"/>
          <w:sz w:val="32"/>
          <w:szCs w:val="32"/>
          <w:lang w:val="en-US" w:eastAsia="zh-CN"/>
        </w:rPr>
        <w:t>三</w:t>
      </w:r>
      <w:r>
        <w:rPr>
          <w:rFonts w:hint="default" w:ascii="楷体_GB2312" w:hAnsi="楷体_GB2312" w:eastAsia="楷体_GB2312" w:cs="楷体_GB2312"/>
          <w:color w:val="auto"/>
          <w:spacing w:val="0"/>
          <w:w w:val="100"/>
          <w:position w:val="0"/>
          <w:sz w:val="32"/>
          <w:szCs w:val="32"/>
          <w:lang w:val="en-US" w:eastAsia="zh-CN"/>
        </w:rPr>
        <w:t>)</w:t>
      </w:r>
      <w:r>
        <w:rPr>
          <w:rFonts w:hint="eastAsia" w:ascii="楷体_GB2312" w:hAnsi="楷体_GB2312" w:eastAsia="楷体_GB2312" w:cs="楷体_GB2312"/>
          <w:color w:val="auto"/>
          <w:spacing w:val="0"/>
          <w:w w:val="100"/>
          <w:position w:val="0"/>
          <w:sz w:val="32"/>
          <w:szCs w:val="32"/>
          <w:lang w:val="en-US" w:eastAsia="zh-CN"/>
        </w:rPr>
        <w:t>落实水污染防治措施。</w:t>
      </w:r>
      <w:r>
        <w:rPr>
          <w:rFonts w:hint="default" w:ascii="仿宋_GB2312" w:hAnsi="仿宋_GB2312" w:eastAsia="仿宋_GB2312" w:cs="仿宋_GB2312"/>
          <w:snapToGrid/>
          <w:color w:val="000000"/>
          <w:kern w:val="2"/>
          <w:sz w:val="32"/>
          <w:szCs w:val="32"/>
          <w:lang w:val="en-US" w:eastAsia="zh-CN" w:bidi="ar-SA"/>
        </w:rPr>
        <w:t>施工期生活污水依托周边旱厕收集经堆肥处理后用作农肥，不外排</w:t>
      </w:r>
      <w:r>
        <w:rPr>
          <w:rFonts w:hint="eastAsia" w:ascii="仿宋_GB2312" w:hAnsi="仿宋_GB2312" w:eastAsia="仿宋_GB2312" w:cs="仿宋_GB2312"/>
          <w:snapToGrid/>
          <w:color w:val="000000"/>
          <w:kern w:val="2"/>
          <w:sz w:val="32"/>
          <w:szCs w:val="32"/>
          <w:lang w:val="en-US" w:eastAsia="zh-CN" w:bidi="ar-SA"/>
        </w:rPr>
        <w:t>。运营期生活污水收集后暂存至简易化粪池中，定期拉运至新宝拉格镇污水处理厂；防渗泥浆池里收集的泥浆废水，经自然沉淀后，上清液循环使用，不外排。</w:t>
      </w:r>
    </w:p>
    <w:p w14:paraId="439AF271">
      <w:pPr>
        <w:keepNext w:val="0"/>
        <w:keepLines w:val="0"/>
        <w:pageBreakBefore w:val="0"/>
        <w:wordWrap/>
        <w:overflowPunct/>
        <w:topLinePunct w:val="0"/>
        <w:bidi w:val="0"/>
        <w:spacing w:line="560" w:lineRule="exact"/>
        <w:ind w:firstLine="640" w:firstLineChars="200"/>
        <w:jc w:val="both"/>
        <w:rPr>
          <w:rFonts w:hint="default" w:ascii="仿宋_GB2312" w:hAnsi="仿宋_GB2312" w:eastAsia="仿宋_GB2312" w:cs="仿宋_GB2312"/>
          <w:snapToGrid/>
          <w:color w:val="000000"/>
          <w:kern w:val="2"/>
          <w:sz w:val="32"/>
          <w:szCs w:val="32"/>
          <w:lang w:val="en-US" w:eastAsia="zh-CN" w:bidi="ar-SA"/>
        </w:rPr>
      </w:pPr>
      <w:r>
        <w:rPr>
          <w:rFonts w:hint="default" w:ascii="楷体_GB2312" w:hAnsi="楷体_GB2312" w:eastAsia="楷体_GB2312" w:cs="楷体_GB2312"/>
          <w:color w:val="auto"/>
          <w:spacing w:val="0"/>
          <w:w w:val="100"/>
          <w:position w:val="0"/>
          <w:sz w:val="32"/>
          <w:szCs w:val="32"/>
          <w:lang w:val="en-US" w:eastAsia="zh-CN"/>
        </w:rPr>
        <w:t>(</w:t>
      </w:r>
      <w:r>
        <w:rPr>
          <w:rFonts w:hint="eastAsia" w:ascii="楷体_GB2312" w:hAnsi="楷体_GB2312" w:eastAsia="楷体_GB2312" w:cs="楷体_GB2312"/>
          <w:color w:val="auto"/>
          <w:spacing w:val="0"/>
          <w:w w:val="100"/>
          <w:position w:val="0"/>
          <w:sz w:val="32"/>
          <w:szCs w:val="32"/>
          <w:lang w:val="en-US" w:eastAsia="zh-CN"/>
        </w:rPr>
        <w:t>四</w:t>
      </w:r>
      <w:r>
        <w:rPr>
          <w:rFonts w:hint="default" w:ascii="楷体_GB2312" w:hAnsi="楷体_GB2312" w:eastAsia="楷体_GB2312" w:cs="楷体_GB2312"/>
          <w:color w:val="auto"/>
          <w:spacing w:val="0"/>
          <w:w w:val="100"/>
          <w:position w:val="0"/>
          <w:sz w:val="32"/>
          <w:szCs w:val="32"/>
          <w:lang w:val="en-US" w:eastAsia="zh-CN"/>
        </w:rPr>
        <w:t>)</w:t>
      </w:r>
      <w:r>
        <w:rPr>
          <w:rFonts w:hint="eastAsia" w:ascii="楷体_GB2312" w:hAnsi="楷体_GB2312" w:eastAsia="楷体_GB2312" w:cs="楷体_GB2312"/>
          <w:color w:val="auto"/>
          <w:spacing w:val="0"/>
          <w:w w:val="100"/>
          <w:position w:val="0"/>
          <w:sz w:val="32"/>
          <w:szCs w:val="32"/>
          <w:lang w:val="en-US" w:eastAsia="zh-CN"/>
        </w:rPr>
        <w:t>落实固体废物污染防治措施</w:t>
      </w:r>
      <w:r>
        <w:rPr>
          <w:rFonts w:hint="default" w:ascii="楷体_GB2312" w:hAnsi="楷体_GB2312" w:eastAsia="楷体_GB2312" w:cs="楷体_GB2312"/>
          <w:color w:val="auto"/>
          <w:spacing w:val="0"/>
          <w:w w:val="100"/>
          <w:position w:val="0"/>
          <w:sz w:val="32"/>
          <w:szCs w:val="32"/>
          <w:lang w:val="en-US" w:eastAsia="zh-CN"/>
        </w:rPr>
        <w:t>。</w:t>
      </w:r>
      <w:r>
        <w:rPr>
          <w:rFonts w:hint="eastAsia" w:ascii="仿宋_GB2312" w:hAnsi="仿宋_GB2312" w:eastAsia="仿宋_GB2312" w:cs="仿宋_GB2312"/>
          <w:snapToGrid/>
          <w:color w:val="000000"/>
          <w:kern w:val="2"/>
          <w:sz w:val="32"/>
          <w:szCs w:val="32"/>
          <w:lang w:val="en-US" w:eastAsia="zh-CN" w:bidi="ar-SA"/>
        </w:rPr>
        <w:t>施工期生活区集中收集的生活垃圾定期交环卫部门进行清理；场地平整产生的弃土集中堆存，钻探采样结束后用于场地平整恢复；钻探设备日常维护会产生少量废矿物油，收集于可封闭型危废收集容器内，产生后由有资质单位回收处置；本项目维修机械过程会产生少量的含油抹布及手套，由维修单位统一收集后交由有资质单位处置；本项目不设置柴油储罐，按需采购，由油桶运至勘探点添加，施工结束后产生的废油桶，由有资质单位回收处置。运营期生活营地设置垃圾收集箱，勘探人员产生的生活垃圾分类收集后运往附近乡村垃圾收集点集中处置，严禁随意抛弃；钻探过程中产生的地表剥离物就近平整压实，并及时遮盖篷布；钻机泥浆废水经沉淀后产生的岩屑、底渣等属于一般固废，待钻探结束后用于回填平整，综合利用；钻探设备日常维护会产生少量废矿物油，收集于可封闭型危废收集容器内，暂存于危废贮存点，交由有资质单位回收处置，须满足《危险废物贮存污染控制标准》GB18597-2023标准要求。</w:t>
      </w:r>
    </w:p>
    <w:p w14:paraId="5EBB592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楷体_GB2312" w:hAnsi="楷体_GB2312" w:eastAsia="楷体_GB2312" w:cs="楷体_GB2312"/>
          <w:color w:val="auto"/>
          <w:spacing w:val="0"/>
          <w:w w:val="100"/>
          <w:position w:val="0"/>
          <w:sz w:val="32"/>
          <w:szCs w:val="32"/>
          <w:lang w:val="en-US" w:eastAsia="zh-CN"/>
        </w:rPr>
        <w:t>（五）落实噪声污染</w:t>
      </w:r>
      <w:r>
        <w:rPr>
          <w:rFonts w:hint="default" w:ascii="楷体_GB2312" w:hAnsi="楷体_GB2312" w:eastAsia="楷体_GB2312" w:cs="楷体_GB2312"/>
          <w:color w:val="auto"/>
          <w:spacing w:val="0"/>
          <w:w w:val="100"/>
          <w:position w:val="0"/>
          <w:sz w:val="32"/>
          <w:szCs w:val="32"/>
          <w:lang w:val="en-US" w:eastAsia="zh-CN"/>
        </w:rPr>
        <w:t>防治措施。</w:t>
      </w:r>
      <w:r>
        <w:rPr>
          <w:rFonts w:hint="eastAsia" w:ascii="仿宋_GB2312" w:hAnsi="仿宋_GB2312" w:eastAsia="仿宋_GB2312" w:cs="仿宋_GB2312"/>
          <w:snapToGrid/>
          <w:color w:val="000000"/>
          <w:kern w:val="2"/>
          <w:sz w:val="32"/>
          <w:szCs w:val="32"/>
          <w:lang w:val="en-US" w:eastAsia="zh-CN" w:bidi="ar-SA"/>
        </w:rPr>
        <w:t>施工期选用符合国家标准机械设备，定期维护保养。运营期加强对勘探钻具设备的维护、养护；合理安排勘探工作时段，应尽可能避免大量噪声设备同时使用；合理布局勘探场地内机械设备，以免局部声级过高；降低人为噪声影响，按操作规范操作机械设备等，过程中减少碰撞噪声，禁止野蛮作业，减少作业噪声；建设单位应加强管理，制定科学、合理的勘探方案和严格的生产管理制度。</w:t>
      </w:r>
    </w:p>
    <w:p w14:paraId="45D99497">
      <w:pPr>
        <w:pStyle w:val="2"/>
        <w:keepNext w:val="0"/>
        <w:keepLines w:val="0"/>
        <w:pageBreakBefore w:val="0"/>
        <w:widowControl/>
        <w:kinsoku w:val="0"/>
        <w:wordWrap/>
        <w:overflowPunct/>
        <w:topLinePunct w:val="0"/>
        <w:autoSpaceDE w:val="0"/>
        <w:autoSpaceDN w:val="0"/>
        <w:bidi w:val="0"/>
        <w:adjustRightInd w:val="0"/>
        <w:snapToGrid w:val="0"/>
        <w:spacing w:after="0" w:line="560" w:lineRule="exact"/>
        <w:ind w:left="0" w:leftChars="0" w:firstLine="640" w:firstLineChars="200"/>
        <w:jc w:val="both"/>
        <w:textAlignment w:val="baseline"/>
        <w:rPr>
          <w:rFonts w:hint="eastAsia" w:ascii="仿宋_GB2312" w:hAnsi="仿宋_GB2312" w:eastAsia="仿宋_GB2312" w:cs="仿宋_GB2312"/>
          <w:snapToGrid/>
          <w:color w:val="000000"/>
          <w:kern w:val="2"/>
          <w:sz w:val="32"/>
          <w:szCs w:val="32"/>
          <w:lang w:val="en-US" w:eastAsia="zh-CN" w:bidi="ar-SA"/>
        </w:rPr>
      </w:pPr>
      <w:r>
        <w:rPr>
          <w:rFonts w:hint="eastAsia" w:ascii="楷体_GB2312" w:hAnsi="楷体_GB2312" w:eastAsia="楷体_GB2312" w:cs="楷体_GB2312"/>
          <w:snapToGrid w:val="0"/>
          <w:color w:val="auto"/>
          <w:spacing w:val="0"/>
          <w:w w:val="100"/>
          <w:kern w:val="0"/>
          <w:position w:val="0"/>
          <w:sz w:val="32"/>
          <w:szCs w:val="32"/>
          <w:lang w:val="en-US" w:eastAsia="zh-CN"/>
        </w:rPr>
        <w:t>（六）加强环境风险防范。</w:t>
      </w:r>
      <w:r>
        <w:rPr>
          <w:rFonts w:hint="eastAsia" w:ascii="仿宋_GB2312" w:hAnsi="仿宋_GB2312" w:eastAsia="仿宋_GB2312" w:cs="仿宋_GB2312"/>
          <w:snapToGrid/>
          <w:color w:val="000000"/>
          <w:kern w:val="2"/>
          <w:sz w:val="32"/>
          <w:szCs w:val="32"/>
          <w:lang w:val="en-US" w:eastAsia="zh-CN" w:bidi="ar-SA"/>
        </w:rPr>
        <w:t>制定</w:t>
      </w:r>
      <w:r>
        <w:rPr>
          <w:rFonts w:hint="eastAsia" w:ascii="仿宋_GB2312" w:hAnsi="仿宋_GB2312" w:eastAsia="仿宋_GB2312" w:cs="仿宋_GB2312"/>
          <w:color w:val="auto"/>
          <w:kern w:val="2"/>
          <w:sz w:val="32"/>
          <w:szCs w:val="32"/>
          <w:lang w:val="en-US" w:eastAsia="zh-CN" w:bidi="en-US"/>
        </w:rPr>
        <w:t>《突发事故应急预案》，建立有效的环境风险防范与应急管理体系并不断完善，配置必要的应急救援设备，并加强人员培训、演练等。</w:t>
      </w:r>
    </w:p>
    <w:p w14:paraId="0F7F2783">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p>
    <w:p w14:paraId="3B71B13C">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四、环境影响报告表经批准后,项目性质、规模、地点、采用的生产工艺或者防治污染、防止生态破坏的措施发生重大变动，应当重新报批该项目环境影响报告表。</w:t>
      </w:r>
    </w:p>
    <w:p w14:paraId="760A0DD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14:paraId="525EAFEF">
      <w:pPr>
        <w:keepNext w:val="0"/>
        <w:keepLines w:val="0"/>
        <w:pageBreakBefore w:val="0"/>
        <w:wordWrap/>
        <w:overflowPunct/>
        <w:topLinePunct w:val="0"/>
        <w:bidi w:val="0"/>
        <w:spacing w:line="560" w:lineRule="exact"/>
        <w:ind w:left="0" w:leftChars="0" w:right="0"/>
        <w:jc w:val="right"/>
        <w:rPr>
          <w:rFonts w:hint="eastAsia" w:ascii="仿宋_GB2312" w:hAnsi="仿宋_GB2312" w:eastAsia="仿宋_GB2312" w:cs="仿宋_GB2312"/>
          <w:spacing w:val="36"/>
          <w:w w:val="102"/>
          <w:sz w:val="32"/>
          <w:szCs w:val="32"/>
        </w:rPr>
      </w:pPr>
    </w:p>
    <w:p w14:paraId="3E7454BC">
      <w:pPr>
        <w:keepNext w:val="0"/>
        <w:keepLines w:val="0"/>
        <w:pageBreakBefore w:val="0"/>
        <w:wordWrap/>
        <w:overflowPunct/>
        <w:topLinePunct w:val="0"/>
        <w:bidi w:val="0"/>
        <w:spacing w:line="560" w:lineRule="exact"/>
        <w:ind w:left="0" w:leftChars="0" w:right="0"/>
        <w:jc w:val="right"/>
        <w:rPr>
          <w:rFonts w:hint="eastAsia" w:ascii="仿宋_GB2312" w:hAnsi="仿宋_GB2312" w:eastAsia="仿宋_GB2312" w:cs="仿宋_GB2312"/>
          <w:spacing w:val="36"/>
          <w:w w:val="102"/>
          <w:sz w:val="32"/>
          <w:szCs w:val="32"/>
        </w:rPr>
      </w:pPr>
    </w:p>
    <w:p w14:paraId="6FA3D9DE">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w:t>
      </w:r>
      <w:r>
        <w:rPr>
          <w:rFonts w:hint="eastAsia" w:ascii="仿宋_GB2312" w:hAnsi="仿宋_GB2312" w:eastAsia="仿宋_GB2312" w:cs="仿宋_GB2312"/>
          <w:spacing w:val="36"/>
          <w:w w:val="102"/>
          <w:sz w:val="32"/>
          <w:szCs w:val="32"/>
          <w:lang w:val="en-US" w:eastAsia="zh-CN"/>
        </w:rPr>
        <w:t xml:space="preserve">局      </w:t>
      </w:r>
    </w:p>
    <w:p w14:paraId="561398A3">
      <w:pPr>
        <w:keepNext w:val="0"/>
        <w:keepLines w:val="0"/>
        <w:pageBreakBefore w:val="0"/>
        <w:wordWrap w:val="0"/>
        <w:overflowPunct/>
        <w:topLinePunct w:val="0"/>
        <w:bidi w:val="0"/>
        <w:spacing w:line="560" w:lineRule="exact"/>
        <w:ind w:left="0" w:leftChars="0" w:right="0"/>
        <w:jc w:val="right"/>
        <w:rPr>
          <w:rFonts w:hint="default" w:ascii="Times New Roman" w:hAnsi="Times New Roman" w:eastAsia="仿宋" w:cs="Times New Roman"/>
          <w:spacing w:val="18"/>
          <w:w w:val="105"/>
          <w:sz w:val="33"/>
          <w:szCs w:val="33"/>
          <w:lang w:val="en-US" w:eastAsia="zh-CN"/>
        </w:rPr>
      </w:pPr>
      <w:r>
        <w:rPr>
          <w:rFonts w:hint="eastAsia" w:ascii="仿宋_GB2312" w:hAnsi="仿宋_GB2312" w:eastAsia="仿宋_GB2312" w:cs="仿宋_GB2312"/>
          <w:spacing w:val="18"/>
          <w:w w:val="105"/>
          <w:sz w:val="32"/>
          <w:szCs w:val="32"/>
        </w:rPr>
        <w:t>202</w:t>
      </w:r>
      <w:r>
        <w:rPr>
          <w:rFonts w:hint="eastAsia" w:ascii="仿宋_GB2312" w:hAnsi="仿宋_GB2312" w:eastAsia="仿宋_GB2312" w:cs="仿宋_GB2312"/>
          <w:spacing w:val="18"/>
          <w:w w:val="105"/>
          <w:sz w:val="32"/>
          <w:szCs w:val="32"/>
          <w:lang w:val="en-US" w:eastAsia="zh-CN"/>
        </w:rPr>
        <w:t>4</w:t>
      </w:r>
      <w:r>
        <w:rPr>
          <w:rFonts w:hint="eastAsia" w:ascii="仿宋_GB2312" w:hAnsi="仿宋_GB2312" w:eastAsia="仿宋_GB2312" w:cs="仿宋_GB2312"/>
          <w:spacing w:val="18"/>
          <w:w w:val="105"/>
          <w:sz w:val="32"/>
          <w:szCs w:val="32"/>
        </w:rPr>
        <w:t>年</w:t>
      </w:r>
      <w:r>
        <w:rPr>
          <w:rFonts w:hint="eastAsia" w:ascii="仿宋_GB2312" w:hAnsi="仿宋_GB2312" w:eastAsia="仿宋_GB2312" w:cs="仿宋_GB2312"/>
          <w:spacing w:val="18"/>
          <w:w w:val="105"/>
          <w:sz w:val="32"/>
          <w:szCs w:val="32"/>
          <w:lang w:val="en-US" w:eastAsia="zh-CN"/>
        </w:rPr>
        <w:t>8</w:t>
      </w:r>
      <w:r>
        <w:rPr>
          <w:rFonts w:hint="eastAsia" w:ascii="仿宋_GB2312" w:hAnsi="仿宋_GB2312" w:eastAsia="仿宋_GB2312" w:cs="仿宋_GB2312"/>
          <w:spacing w:val="18"/>
          <w:w w:val="105"/>
          <w:sz w:val="32"/>
          <w:szCs w:val="32"/>
        </w:rPr>
        <w:t>月</w:t>
      </w:r>
      <w:r>
        <w:rPr>
          <w:rFonts w:hint="eastAsia" w:ascii="仿宋_GB2312" w:hAnsi="仿宋_GB2312" w:eastAsia="仿宋_GB2312" w:cs="仿宋_GB2312"/>
          <w:spacing w:val="18"/>
          <w:w w:val="105"/>
          <w:sz w:val="32"/>
          <w:szCs w:val="32"/>
          <w:lang w:val="en-US" w:eastAsia="zh-CN"/>
        </w:rPr>
        <w:t xml:space="preserve">9日         </w:t>
      </w:r>
    </w:p>
    <w:p w14:paraId="78981F2D">
      <w:pPr>
        <w:rPr>
          <w:rFonts w:hint="eastAsia" w:ascii="Times New Roman" w:hAnsi="Times New Roman" w:eastAsia="仿宋" w:cs="Times New Roman"/>
          <w:spacing w:val="18"/>
          <w:w w:val="105"/>
          <w:sz w:val="33"/>
          <w:szCs w:val="33"/>
          <w:lang w:val="en-US" w:eastAsia="zh-CN"/>
        </w:rPr>
      </w:pPr>
    </w:p>
    <w:p w14:paraId="072E3C8E">
      <w:pPr>
        <w:pStyle w:val="7"/>
        <w:rPr>
          <w:rFonts w:hint="eastAsia" w:ascii="Times New Roman" w:hAnsi="Times New Roman" w:eastAsia="仿宋" w:cs="Times New Roman"/>
          <w:spacing w:val="18"/>
          <w:w w:val="105"/>
          <w:sz w:val="33"/>
          <w:szCs w:val="33"/>
          <w:lang w:val="en-US" w:eastAsia="zh-CN"/>
        </w:rPr>
      </w:pPr>
    </w:p>
    <w:p w14:paraId="183396E6">
      <w:pPr>
        <w:pStyle w:val="2"/>
        <w:rPr>
          <w:rFonts w:hint="eastAsia" w:ascii="Times New Roman" w:hAnsi="Times New Roman" w:eastAsia="仿宋" w:cs="Times New Roman"/>
          <w:spacing w:val="18"/>
          <w:w w:val="105"/>
          <w:sz w:val="33"/>
          <w:szCs w:val="33"/>
          <w:lang w:val="en-US" w:eastAsia="zh-CN"/>
        </w:rPr>
      </w:pPr>
    </w:p>
    <w:p w14:paraId="09EA83BD">
      <w:pPr>
        <w:rPr>
          <w:rFonts w:hint="eastAsia" w:ascii="Times New Roman" w:hAnsi="Times New Roman" w:eastAsia="仿宋" w:cs="Times New Roman"/>
          <w:spacing w:val="18"/>
          <w:w w:val="105"/>
          <w:sz w:val="33"/>
          <w:szCs w:val="33"/>
          <w:lang w:val="en-US" w:eastAsia="zh-CN"/>
        </w:rPr>
      </w:pPr>
    </w:p>
    <w:p w14:paraId="31DD8C8A">
      <w:pPr>
        <w:pStyle w:val="7"/>
        <w:rPr>
          <w:rFonts w:hint="eastAsia" w:ascii="Times New Roman" w:hAnsi="Times New Roman" w:eastAsia="仿宋" w:cs="Times New Roman"/>
          <w:spacing w:val="18"/>
          <w:w w:val="105"/>
          <w:sz w:val="33"/>
          <w:szCs w:val="33"/>
          <w:lang w:val="en-US" w:eastAsia="zh-CN"/>
        </w:rPr>
      </w:pPr>
    </w:p>
    <w:p w14:paraId="33B1FE36">
      <w:pPr>
        <w:pStyle w:val="2"/>
        <w:rPr>
          <w:rFonts w:hint="eastAsia" w:ascii="Times New Roman" w:hAnsi="Times New Roman" w:eastAsia="仿宋" w:cs="Times New Roman"/>
          <w:spacing w:val="18"/>
          <w:w w:val="105"/>
          <w:sz w:val="33"/>
          <w:szCs w:val="33"/>
          <w:lang w:val="en-US" w:eastAsia="zh-CN"/>
        </w:rPr>
      </w:pPr>
    </w:p>
    <w:p w14:paraId="502FCA2F">
      <w:pPr>
        <w:pStyle w:val="2"/>
        <w:rPr>
          <w:rFonts w:hint="eastAsia" w:ascii="Times New Roman" w:hAnsi="Times New Roman" w:eastAsia="仿宋" w:cs="Times New Roman"/>
          <w:spacing w:val="18"/>
          <w:w w:val="105"/>
          <w:sz w:val="33"/>
          <w:szCs w:val="33"/>
          <w:lang w:val="en-US" w:eastAsia="zh-CN"/>
        </w:rPr>
      </w:pPr>
    </w:p>
    <w:p w14:paraId="5E511279">
      <w:pPr>
        <w:rPr>
          <w:rFonts w:hint="eastAsia" w:ascii="Times New Roman" w:hAnsi="Times New Roman" w:eastAsia="仿宋" w:cs="Times New Roman"/>
          <w:spacing w:val="18"/>
          <w:w w:val="105"/>
          <w:sz w:val="33"/>
          <w:szCs w:val="33"/>
          <w:lang w:val="en-US" w:eastAsia="zh-CN"/>
        </w:rPr>
      </w:pPr>
    </w:p>
    <w:p w14:paraId="75DA102F">
      <w:pPr>
        <w:pStyle w:val="7"/>
        <w:rPr>
          <w:rFonts w:hint="eastAsia" w:ascii="Times New Roman" w:hAnsi="Times New Roman" w:eastAsia="仿宋" w:cs="Times New Roman"/>
          <w:spacing w:val="18"/>
          <w:w w:val="105"/>
          <w:sz w:val="33"/>
          <w:szCs w:val="33"/>
          <w:lang w:val="en-US" w:eastAsia="zh-CN"/>
        </w:rPr>
      </w:pPr>
    </w:p>
    <w:p w14:paraId="393C17B8">
      <w:pPr>
        <w:pStyle w:val="2"/>
        <w:rPr>
          <w:rFonts w:hint="eastAsia" w:ascii="Times New Roman" w:hAnsi="Times New Roman" w:eastAsia="仿宋" w:cs="Times New Roman"/>
          <w:spacing w:val="18"/>
          <w:w w:val="105"/>
          <w:sz w:val="33"/>
          <w:szCs w:val="33"/>
          <w:lang w:val="en-US" w:eastAsia="zh-CN"/>
        </w:rPr>
      </w:pPr>
    </w:p>
    <w:p w14:paraId="46FDF01E">
      <w:pPr>
        <w:rPr>
          <w:rFonts w:hint="eastAsia" w:ascii="Times New Roman" w:hAnsi="Times New Roman" w:eastAsia="仿宋" w:cs="Times New Roman"/>
          <w:spacing w:val="18"/>
          <w:w w:val="105"/>
          <w:sz w:val="33"/>
          <w:szCs w:val="33"/>
          <w:lang w:val="en-US" w:eastAsia="zh-CN"/>
        </w:rPr>
      </w:pPr>
    </w:p>
    <w:p w14:paraId="51E9D185">
      <w:pPr>
        <w:pStyle w:val="7"/>
        <w:rPr>
          <w:rFonts w:hint="eastAsia" w:ascii="Times New Roman" w:hAnsi="Times New Roman" w:eastAsia="仿宋" w:cs="Times New Roman"/>
          <w:spacing w:val="18"/>
          <w:w w:val="105"/>
          <w:sz w:val="33"/>
          <w:szCs w:val="33"/>
          <w:lang w:val="en-US" w:eastAsia="zh-CN"/>
        </w:rPr>
      </w:pPr>
    </w:p>
    <w:p w14:paraId="5D16C8AF">
      <w:pPr>
        <w:pStyle w:val="2"/>
        <w:rPr>
          <w:rFonts w:hint="eastAsia" w:ascii="Times New Roman" w:hAnsi="Times New Roman" w:eastAsia="仿宋" w:cs="Times New Roman"/>
          <w:spacing w:val="18"/>
          <w:w w:val="105"/>
          <w:sz w:val="33"/>
          <w:szCs w:val="33"/>
          <w:lang w:val="en-US" w:eastAsia="zh-CN"/>
        </w:rPr>
      </w:pPr>
    </w:p>
    <w:p w14:paraId="2FF58F46">
      <w:pPr>
        <w:rPr>
          <w:rFonts w:hint="eastAsia"/>
          <w:lang w:val="en-US" w:eastAsia="zh-CN"/>
        </w:rPr>
      </w:pPr>
    </w:p>
    <w:p w14:paraId="4301D32C">
      <w:pPr>
        <w:pStyle w:val="7"/>
        <w:rPr>
          <w:rFonts w:hint="eastAsia" w:ascii="Times New Roman" w:hAnsi="Times New Roman" w:eastAsia="仿宋" w:cs="Times New Roman"/>
          <w:spacing w:val="18"/>
          <w:w w:val="105"/>
          <w:sz w:val="33"/>
          <w:szCs w:val="33"/>
          <w:lang w:val="en-US" w:eastAsia="zh-CN"/>
        </w:rPr>
      </w:pPr>
    </w:p>
    <w:p w14:paraId="1B8ADD25">
      <w:pPr>
        <w:pStyle w:val="2"/>
        <w:rPr>
          <w:rFonts w:hint="eastAsia" w:ascii="Times New Roman" w:hAnsi="Times New Roman" w:eastAsia="仿宋" w:cs="Times New Roman"/>
          <w:spacing w:val="18"/>
          <w:w w:val="105"/>
          <w:sz w:val="33"/>
          <w:szCs w:val="33"/>
          <w:lang w:val="en-US" w:eastAsia="zh-CN"/>
        </w:rPr>
      </w:pPr>
    </w:p>
    <w:p w14:paraId="59F55147">
      <w:pPr>
        <w:pStyle w:val="4"/>
        <w:rPr>
          <w:rFonts w:hint="eastAsia" w:ascii="Times New Roman" w:hAnsi="Times New Roman" w:eastAsia="仿宋" w:cs="Times New Roman"/>
          <w:spacing w:val="18"/>
          <w:w w:val="105"/>
          <w:sz w:val="33"/>
          <w:szCs w:val="33"/>
          <w:lang w:val="en-US" w:eastAsia="zh-CN"/>
        </w:rPr>
      </w:pPr>
    </w:p>
    <w:p w14:paraId="329DE0F6">
      <w:pPr>
        <w:rPr>
          <w:rFonts w:hint="eastAsia" w:ascii="Times New Roman" w:hAnsi="Times New Roman" w:eastAsia="仿宋" w:cs="Times New Roman"/>
          <w:spacing w:val="18"/>
          <w:w w:val="105"/>
          <w:sz w:val="33"/>
          <w:szCs w:val="33"/>
          <w:lang w:val="en-US" w:eastAsia="zh-CN"/>
        </w:rPr>
      </w:pPr>
    </w:p>
    <w:p w14:paraId="056BB260">
      <w:pPr>
        <w:pStyle w:val="2"/>
        <w:rPr>
          <w:rFonts w:hint="eastAsia" w:ascii="Times New Roman" w:hAnsi="Times New Roman" w:eastAsia="仿宋" w:cs="Times New Roman"/>
          <w:spacing w:val="18"/>
          <w:w w:val="105"/>
          <w:sz w:val="33"/>
          <w:szCs w:val="33"/>
          <w:lang w:val="en-US" w:eastAsia="zh-CN"/>
        </w:rPr>
      </w:pPr>
    </w:p>
    <w:p w14:paraId="1105C0AD">
      <w:pPr>
        <w:pStyle w:val="4"/>
        <w:rPr>
          <w:rFonts w:hint="eastAsia" w:ascii="Times New Roman" w:hAnsi="Times New Roman" w:eastAsia="仿宋" w:cs="Times New Roman"/>
          <w:spacing w:val="18"/>
          <w:w w:val="105"/>
          <w:sz w:val="33"/>
          <w:szCs w:val="33"/>
          <w:lang w:val="en-US" w:eastAsia="zh-CN"/>
        </w:rPr>
      </w:pPr>
    </w:p>
    <w:p w14:paraId="68692E0E">
      <w:pPr>
        <w:rPr>
          <w:rFonts w:hint="eastAsia" w:ascii="Times New Roman" w:hAnsi="Times New Roman" w:eastAsia="仿宋" w:cs="Times New Roman"/>
          <w:spacing w:val="18"/>
          <w:w w:val="105"/>
          <w:sz w:val="33"/>
          <w:szCs w:val="33"/>
          <w:lang w:val="en-US" w:eastAsia="zh-CN"/>
        </w:rPr>
      </w:pPr>
    </w:p>
    <w:p w14:paraId="24B5CBE0">
      <w:pPr>
        <w:pStyle w:val="2"/>
        <w:rPr>
          <w:rFonts w:hint="eastAsia" w:ascii="Times New Roman" w:hAnsi="Times New Roman" w:eastAsia="仿宋" w:cs="Times New Roman"/>
          <w:spacing w:val="18"/>
          <w:w w:val="105"/>
          <w:sz w:val="33"/>
          <w:szCs w:val="33"/>
          <w:lang w:val="en-US" w:eastAsia="zh-CN"/>
        </w:rPr>
      </w:pPr>
    </w:p>
    <w:p w14:paraId="65A56A16">
      <w:pPr>
        <w:pStyle w:val="4"/>
        <w:rPr>
          <w:rFonts w:hint="eastAsia" w:ascii="Times New Roman" w:hAnsi="Times New Roman" w:eastAsia="仿宋" w:cs="Times New Roman"/>
          <w:spacing w:val="18"/>
          <w:w w:val="105"/>
          <w:sz w:val="33"/>
          <w:szCs w:val="33"/>
          <w:lang w:val="en-US" w:eastAsia="zh-CN"/>
        </w:rPr>
      </w:pPr>
    </w:p>
    <w:p w14:paraId="70B656E0">
      <w:pPr>
        <w:rPr>
          <w:rFonts w:hint="eastAsia" w:ascii="Times New Roman" w:hAnsi="Times New Roman" w:eastAsia="仿宋" w:cs="Times New Roman"/>
          <w:spacing w:val="18"/>
          <w:w w:val="105"/>
          <w:sz w:val="33"/>
          <w:szCs w:val="33"/>
          <w:lang w:val="en-US" w:eastAsia="zh-CN"/>
        </w:rPr>
      </w:pPr>
    </w:p>
    <w:p w14:paraId="3692D42B">
      <w:pPr>
        <w:pStyle w:val="2"/>
        <w:rPr>
          <w:rFonts w:hint="eastAsia" w:ascii="Times New Roman" w:hAnsi="Times New Roman" w:eastAsia="仿宋" w:cs="Times New Roman"/>
          <w:spacing w:val="18"/>
          <w:w w:val="105"/>
          <w:sz w:val="33"/>
          <w:szCs w:val="33"/>
          <w:lang w:val="en-US" w:eastAsia="zh-CN"/>
        </w:rPr>
      </w:pPr>
    </w:p>
    <w:p w14:paraId="69827E6B">
      <w:pPr>
        <w:pStyle w:val="4"/>
        <w:rPr>
          <w:rFonts w:hint="eastAsia" w:ascii="Times New Roman" w:hAnsi="Times New Roman" w:eastAsia="仿宋" w:cs="Times New Roman"/>
          <w:spacing w:val="18"/>
          <w:w w:val="105"/>
          <w:sz w:val="33"/>
          <w:szCs w:val="33"/>
          <w:lang w:val="en-US" w:eastAsia="zh-CN"/>
        </w:rPr>
      </w:pPr>
    </w:p>
    <w:p w14:paraId="271A48E4">
      <w:pPr>
        <w:rPr>
          <w:rFonts w:hint="eastAsia" w:ascii="Times New Roman" w:hAnsi="Times New Roman" w:eastAsia="仿宋" w:cs="Times New Roman"/>
          <w:spacing w:val="18"/>
          <w:w w:val="105"/>
          <w:sz w:val="33"/>
          <w:szCs w:val="33"/>
          <w:lang w:val="en-US" w:eastAsia="zh-CN"/>
        </w:rPr>
      </w:pPr>
    </w:p>
    <w:p w14:paraId="2DB2B05A">
      <w:pPr>
        <w:pStyle w:val="2"/>
        <w:rPr>
          <w:rFonts w:hint="eastAsia" w:ascii="Times New Roman" w:hAnsi="Times New Roman" w:eastAsia="仿宋" w:cs="Times New Roman"/>
          <w:spacing w:val="18"/>
          <w:w w:val="105"/>
          <w:sz w:val="33"/>
          <w:szCs w:val="33"/>
          <w:lang w:val="en-US" w:eastAsia="zh-CN"/>
        </w:rPr>
      </w:pPr>
    </w:p>
    <w:p w14:paraId="704308D1">
      <w:pPr>
        <w:pStyle w:val="4"/>
        <w:rPr>
          <w:rFonts w:hint="eastAsia" w:ascii="Times New Roman" w:hAnsi="Times New Roman" w:eastAsia="仿宋" w:cs="Times New Roman"/>
          <w:spacing w:val="18"/>
          <w:w w:val="105"/>
          <w:sz w:val="33"/>
          <w:szCs w:val="33"/>
          <w:lang w:val="en-US" w:eastAsia="zh-CN"/>
        </w:rPr>
      </w:pPr>
    </w:p>
    <w:p w14:paraId="7FBB544E">
      <w:pPr>
        <w:rPr>
          <w:rFonts w:hint="eastAsia" w:ascii="Times New Roman" w:hAnsi="Times New Roman" w:eastAsia="仿宋" w:cs="Times New Roman"/>
          <w:spacing w:val="18"/>
          <w:w w:val="105"/>
          <w:sz w:val="33"/>
          <w:szCs w:val="33"/>
          <w:lang w:val="en-US" w:eastAsia="zh-CN"/>
        </w:rPr>
      </w:pPr>
    </w:p>
    <w:p w14:paraId="1DA6A418">
      <w:pPr>
        <w:pStyle w:val="2"/>
        <w:rPr>
          <w:rFonts w:hint="eastAsia" w:ascii="Times New Roman" w:hAnsi="Times New Roman" w:eastAsia="仿宋" w:cs="Times New Roman"/>
          <w:spacing w:val="18"/>
          <w:w w:val="105"/>
          <w:sz w:val="33"/>
          <w:szCs w:val="33"/>
          <w:lang w:val="en-US" w:eastAsia="zh-CN"/>
        </w:rPr>
      </w:pPr>
    </w:p>
    <w:p w14:paraId="169C6D69">
      <w:pPr>
        <w:pStyle w:val="4"/>
        <w:rPr>
          <w:rFonts w:hint="eastAsia" w:ascii="Times New Roman" w:hAnsi="Times New Roman" w:eastAsia="仿宋" w:cs="Times New Roman"/>
          <w:spacing w:val="18"/>
          <w:w w:val="105"/>
          <w:sz w:val="33"/>
          <w:szCs w:val="33"/>
          <w:lang w:val="en-US" w:eastAsia="zh-CN"/>
        </w:rPr>
      </w:pPr>
    </w:p>
    <w:p w14:paraId="22005E9F">
      <w:pPr>
        <w:pStyle w:val="2"/>
        <w:ind w:left="0" w:leftChars="0" w:firstLine="0" w:firstLineChars="0"/>
        <w:rPr>
          <w:rFonts w:hint="eastAsia"/>
          <w:lang w:val="en-US" w:eastAsia="zh-CN"/>
        </w:rPr>
      </w:pPr>
    </w:p>
    <w:p w14:paraId="668F9475">
      <w:pPr>
        <w:pStyle w:val="2"/>
        <w:rPr>
          <w:rFonts w:hint="eastAsia" w:ascii="Times New Roman" w:hAnsi="Times New Roman" w:eastAsia="仿宋" w:cs="Times New Roman"/>
          <w:spacing w:val="18"/>
          <w:w w:val="105"/>
          <w:sz w:val="33"/>
          <w:szCs w:val="33"/>
          <w:lang w:val="en-US" w:eastAsia="zh-CN"/>
        </w:rPr>
      </w:pPr>
    </w:p>
    <w:p w14:paraId="70510AA9">
      <w:pPr>
        <w:pStyle w:val="2"/>
        <w:rPr>
          <w:rFonts w:hint="eastAsia" w:ascii="Times New Roman" w:hAnsi="Times New Roman" w:eastAsia="仿宋" w:cs="Times New Roman"/>
          <w:spacing w:val="18"/>
          <w:w w:val="105"/>
          <w:sz w:val="33"/>
          <w:szCs w:val="33"/>
          <w:lang w:val="en-US" w:eastAsia="zh-CN"/>
        </w:rPr>
      </w:pPr>
    </w:p>
    <w:p w14:paraId="29D4310E">
      <w:pPr>
        <w:rPr>
          <w:rFonts w:hint="eastAsia"/>
          <w:lang w:val="en-US" w:eastAsia="zh-CN"/>
        </w:rPr>
      </w:pPr>
    </w:p>
    <w:p w14:paraId="0B87BDCA">
      <w:pPr>
        <w:pStyle w:val="2"/>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14:paraId="506BE43B">
      <w:pPr>
        <w:keepNext w:val="0"/>
        <w:keepLines w:val="0"/>
        <w:pageBreakBefore w:val="0"/>
        <w:widowControl/>
        <w:kinsoku w:val="0"/>
        <w:wordWrap/>
        <w:overflowPunct/>
        <w:topLinePunct w:val="0"/>
        <w:autoSpaceDE w:val="0"/>
        <w:autoSpaceDN w:val="0"/>
        <w:bidi w:val="0"/>
        <w:adjustRightInd w:val="0"/>
        <w:snapToGrid w:val="0"/>
        <w:spacing w:line="400" w:lineRule="exact"/>
        <w:jc w:val="left"/>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_GB2312" w:hAnsi="仿宋_GB2312" w:eastAsia="仿宋_GB2312" w:cs="仿宋_GB2312"/>
          <w:sz w:val="28"/>
          <w:szCs w:val="28"/>
        </w:rPr>
        <w:t>抄送：</w:t>
      </w:r>
      <w:r>
        <w:rPr>
          <w:rFonts w:hint="eastAsia" w:ascii="仿宋_GB2312" w:hAnsi="仿宋_GB2312" w:eastAsia="仿宋_GB2312" w:cs="仿宋_GB2312"/>
          <w:kern w:val="2"/>
          <w:sz w:val="28"/>
          <w:szCs w:val="28"/>
          <w:lang w:val="en-US" w:eastAsia="zh-CN" w:bidi="ar-SA"/>
        </w:rPr>
        <w:t>盟生态环境综合行政执法支队         盟生态环境局镶黄旗分局</w:t>
      </w:r>
    </w:p>
    <w:p w14:paraId="79F9E211">
      <w:pPr>
        <w:keepNext w:val="0"/>
        <w:keepLines w:val="0"/>
        <w:pageBreakBefore w:val="0"/>
        <w:widowControl/>
        <w:kinsoku w:val="0"/>
        <w:wordWrap/>
        <w:overflowPunct/>
        <w:topLinePunct w:val="0"/>
        <w:autoSpaceDE w:val="0"/>
        <w:autoSpaceDN w:val="0"/>
        <w:bidi w:val="0"/>
        <w:adjustRightInd w:val="0"/>
        <w:snapToGrid w:val="0"/>
        <w:spacing w:line="420" w:lineRule="exact"/>
        <w:textAlignment w:val="baseline"/>
        <w:rPr>
          <w:rFonts w:hint="eastAsia" w:ascii="仿宋_GB2312" w:hAnsi="仿宋_GB2312" w:eastAsia="仿宋_GB2312" w:cs="仿宋_GB2312"/>
          <w:spacing w:val="36"/>
          <w:w w:val="102"/>
          <w:sz w:val="28"/>
          <w:szCs w:val="28"/>
        </w:rPr>
      </w:pPr>
      <w:r>
        <w:rPr>
          <w:rFonts w:hint="eastAsia" w:ascii="仿宋_GB2312" w:hAnsi="仿宋_GB2312" w:eastAsia="仿宋_GB2312" w:cs="仿宋_GB2312"/>
          <w:sz w:val="28"/>
          <w:szCs w:val="28"/>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_GB2312" w:hAnsi="仿宋_GB2312" w:eastAsia="仿宋_GB2312" w:cs="仿宋_GB2312"/>
          <w:sz w:val="28"/>
          <w:szCs w:val="28"/>
        </w:rPr>
        <w:t xml:space="preserve">锡林郭勒盟生态环境局办公室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202</w:t>
      </w: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年</w:t>
      </w:r>
      <w:r>
        <w:rPr>
          <w:rFonts w:hint="eastAsia" w:ascii="仿宋_GB2312" w:hAnsi="仿宋_GB2312" w:eastAsia="仿宋_GB2312" w:cs="仿宋_GB2312"/>
          <w:sz w:val="28"/>
          <w:szCs w:val="28"/>
          <w:lang w:val="en-US" w:eastAsia="zh-CN"/>
        </w:rPr>
        <w:t>8</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9</w:t>
      </w:r>
      <w:r>
        <w:rPr>
          <w:rFonts w:hint="eastAsia" w:ascii="仿宋_GB2312" w:hAnsi="仿宋_GB2312" w:eastAsia="仿宋_GB2312" w:cs="仿宋_GB2312"/>
          <w:sz w:val="28"/>
          <w:szCs w:val="28"/>
        </w:rPr>
        <w:t>日印发</w:t>
      </w:r>
    </w:p>
    <w:sectPr>
      <w:footerReference r:id="rId5" w:type="default"/>
      <w:pgSz w:w="12050" w:h="16920"/>
      <w:pgMar w:top="2098" w:right="1474" w:bottom="1984"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E3201">
    <w:pPr>
      <w:spacing w:line="68" w:lineRule="exact"/>
      <w:ind w:firstLine="4330"/>
      <w:rPr>
        <w:rFonts w:ascii="仿宋" w:hAnsi="仿宋" w:eastAsia="仿宋" w:cs="仿宋"/>
        <w:sz w:val="10"/>
        <w:szCs w:val="10"/>
      </w:rPr>
    </w:pPr>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-542925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885067">
                          <w:pPr>
                            <w:pStyle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42.75pt;height:144pt;width:144pt;mso-position-horizontal:outside;mso-position-horizontal-relative:margin;mso-wrap-style:none;z-index:251659264;mso-width-relative:page;mso-height-relative:page;" filled="f" stroked="f" coordsize="21600,21600" o:gfxdata="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I44dKLWAAAACAEAAA8AAAAAAAAAAQAgAAAAIgAAAGRycy9kb3ducmV2LnhtbFBL&#10;AQIUABQAAAAIAIdO4kBrhfn7MQIAAGEEAAAOAAAAAAAAAAEAIAAAACUBAABkcnMvZTJvRG9jLnht&#10;bFBLBQYAAAAABgAGAFkBAADIBQAAAAA=&#10;">
              <v:fill on="f" focussize="0,0"/>
              <v:stroke on="f" weight="0.5pt"/>
              <v:imagedata o:title=""/>
              <o:lock v:ext="edit" aspectratio="f"/>
              <v:textbox inset="0mm,0mm,0mm,0mm" style="mso-fit-shape-to-text:t;">
                <w:txbxContent>
                  <w:p w14:paraId="6D885067">
                    <w:pPr>
                      <w:pStyle w:val="9"/>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A5010"/>
    <w:rsid w:val="001141B7"/>
    <w:rsid w:val="00207696"/>
    <w:rsid w:val="004B0EBE"/>
    <w:rsid w:val="00515C5E"/>
    <w:rsid w:val="00575386"/>
    <w:rsid w:val="0066491C"/>
    <w:rsid w:val="00813E7E"/>
    <w:rsid w:val="00847DE1"/>
    <w:rsid w:val="008B6CF2"/>
    <w:rsid w:val="00951FEE"/>
    <w:rsid w:val="00A87DE8"/>
    <w:rsid w:val="00ED3BD8"/>
    <w:rsid w:val="00EF19E6"/>
    <w:rsid w:val="014C16DC"/>
    <w:rsid w:val="014F03EF"/>
    <w:rsid w:val="01565C22"/>
    <w:rsid w:val="01674DF2"/>
    <w:rsid w:val="019D73AC"/>
    <w:rsid w:val="01B10057"/>
    <w:rsid w:val="01CF3E6B"/>
    <w:rsid w:val="01D6466C"/>
    <w:rsid w:val="01D65751"/>
    <w:rsid w:val="0211186A"/>
    <w:rsid w:val="02691984"/>
    <w:rsid w:val="02CB0C50"/>
    <w:rsid w:val="02CC3DCA"/>
    <w:rsid w:val="02D957AA"/>
    <w:rsid w:val="02E963B2"/>
    <w:rsid w:val="02FF5E45"/>
    <w:rsid w:val="03410286"/>
    <w:rsid w:val="038F0F77"/>
    <w:rsid w:val="03A27EF1"/>
    <w:rsid w:val="03E976DD"/>
    <w:rsid w:val="03EC4439"/>
    <w:rsid w:val="03F62ABB"/>
    <w:rsid w:val="042711AF"/>
    <w:rsid w:val="042913CB"/>
    <w:rsid w:val="042D106A"/>
    <w:rsid w:val="0433224A"/>
    <w:rsid w:val="04697120"/>
    <w:rsid w:val="04820BAF"/>
    <w:rsid w:val="0487430F"/>
    <w:rsid w:val="04AB0032"/>
    <w:rsid w:val="04AE18D1"/>
    <w:rsid w:val="04C904B8"/>
    <w:rsid w:val="04D07A99"/>
    <w:rsid w:val="04ED1856"/>
    <w:rsid w:val="04FC263C"/>
    <w:rsid w:val="050E50E5"/>
    <w:rsid w:val="05145A0C"/>
    <w:rsid w:val="056C665D"/>
    <w:rsid w:val="05704E4E"/>
    <w:rsid w:val="05793C8D"/>
    <w:rsid w:val="058A6A68"/>
    <w:rsid w:val="058F1702"/>
    <w:rsid w:val="059D3E1F"/>
    <w:rsid w:val="059E107D"/>
    <w:rsid w:val="05D07D74"/>
    <w:rsid w:val="05D47115"/>
    <w:rsid w:val="05D94D8A"/>
    <w:rsid w:val="05EA3927"/>
    <w:rsid w:val="05FD496D"/>
    <w:rsid w:val="06020B9C"/>
    <w:rsid w:val="064668EB"/>
    <w:rsid w:val="06523A66"/>
    <w:rsid w:val="06621954"/>
    <w:rsid w:val="067A7CBC"/>
    <w:rsid w:val="073D6AC7"/>
    <w:rsid w:val="076935CA"/>
    <w:rsid w:val="078B55A4"/>
    <w:rsid w:val="078D2AA3"/>
    <w:rsid w:val="07A72E3D"/>
    <w:rsid w:val="07E46C7E"/>
    <w:rsid w:val="080D114C"/>
    <w:rsid w:val="083E11BD"/>
    <w:rsid w:val="0854278F"/>
    <w:rsid w:val="087A397A"/>
    <w:rsid w:val="089E2D75"/>
    <w:rsid w:val="08BB749D"/>
    <w:rsid w:val="08CC6A44"/>
    <w:rsid w:val="08F31FA8"/>
    <w:rsid w:val="09024A32"/>
    <w:rsid w:val="092D40FB"/>
    <w:rsid w:val="09466DE2"/>
    <w:rsid w:val="09774987"/>
    <w:rsid w:val="097B26B0"/>
    <w:rsid w:val="099655F9"/>
    <w:rsid w:val="09B1630C"/>
    <w:rsid w:val="09B91F92"/>
    <w:rsid w:val="09BF1E8A"/>
    <w:rsid w:val="09C55A46"/>
    <w:rsid w:val="09FF478C"/>
    <w:rsid w:val="0A0B0C4F"/>
    <w:rsid w:val="0A1E3055"/>
    <w:rsid w:val="0A2E5BD4"/>
    <w:rsid w:val="0A3463D4"/>
    <w:rsid w:val="0A57573E"/>
    <w:rsid w:val="0A917CCA"/>
    <w:rsid w:val="0AA90B70"/>
    <w:rsid w:val="0AB909AB"/>
    <w:rsid w:val="0ABB091A"/>
    <w:rsid w:val="0AD37255"/>
    <w:rsid w:val="0AE24082"/>
    <w:rsid w:val="0AE95DC0"/>
    <w:rsid w:val="0B2162A2"/>
    <w:rsid w:val="0B2F5BEE"/>
    <w:rsid w:val="0B3B57FD"/>
    <w:rsid w:val="0B426F27"/>
    <w:rsid w:val="0B427448"/>
    <w:rsid w:val="0B4827D7"/>
    <w:rsid w:val="0B7B328E"/>
    <w:rsid w:val="0B80360F"/>
    <w:rsid w:val="0B8C2040"/>
    <w:rsid w:val="0B9E41C6"/>
    <w:rsid w:val="0BCA3CD2"/>
    <w:rsid w:val="0BF615A4"/>
    <w:rsid w:val="0C0A1E86"/>
    <w:rsid w:val="0C174EAA"/>
    <w:rsid w:val="0C2D2378"/>
    <w:rsid w:val="0C373494"/>
    <w:rsid w:val="0C550884"/>
    <w:rsid w:val="0C5745FC"/>
    <w:rsid w:val="0C5B5596"/>
    <w:rsid w:val="0C6531BD"/>
    <w:rsid w:val="0CBC6200"/>
    <w:rsid w:val="0D076EA1"/>
    <w:rsid w:val="0D0E25EF"/>
    <w:rsid w:val="0D1118E5"/>
    <w:rsid w:val="0D18464C"/>
    <w:rsid w:val="0D251429"/>
    <w:rsid w:val="0D251FBE"/>
    <w:rsid w:val="0D5C45C0"/>
    <w:rsid w:val="0DB628CD"/>
    <w:rsid w:val="0DF0289C"/>
    <w:rsid w:val="0DF465A6"/>
    <w:rsid w:val="0E16243F"/>
    <w:rsid w:val="0E172295"/>
    <w:rsid w:val="0E3C04AA"/>
    <w:rsid w:val="0EB67D00"/>
    <w:rsid w:val="0EC02E11"/>
    <w:rsid w:val="0EDB6AFE"/>
    <w:rsid w:val="0F0335D4"/>
    <w:rsid w:val="0F135152"/>
    <w:rsid w:val="0F184516"/>
    <w:rsid w:val="0F221EFE"/>
    <w:rsid w:val="0F490B74"/>
    <w:rsid w:val="0F911629"/>
    <w:rsid w:val="0FB047D2"/>
    <w:rsid w:val="0FCE7EF0"/>
    <w:rsid w:val="0FE20B82"/>
    <w:rsid w:val="0FE964D3"/>
    <w:rsid w:val="10247AE3"/>
    <w:rsid w:val="10494113"/>
    <w:rsid w:val="107C2883"/>
    <w:rsid w:val="10AD5132"/>
    <w:rsid w:val="10CB7366"/>
    <w:rsid w:val="10D46A26"/>
    <w:rsid w:val="10EB6B67"/>
    <w:rsid w:val="10F44005"/>
    <w:rsid w:val="10F5124C"/>
    <w:rsid w:val="1111746F"/>
    <w:rsid w:val="111D29E0"/>
    <w:rsid w:val="113D6C93"/>
    <w:rsid w:val="11494D01"/>
    <w:rsid w:val="118A126C"/>
    <w:rsid w:val="11B12810"/>
    <w:rsid w:val="11E42DD6"/>
    <w:rsid w:val="11F00ED9"/>
    <w:rsid w:val="11F254F3"/>
    <w:rsid w:val="12076651"/>
    <w:rsid w:val="124F5C67"/>
    <w:rsid w:val="12805F14"/>
    <w:rsid w:val="12954B76"/>
    <w:rsid w:val="12B5207C"/>
    <w:rsid w:val="12CB75A7"/>
    <w:rsid w:val="12E70925"/>
    <w:rsid w:val="136E25AE"/>
    <w:rsid w:val="13930956"/>
    <w:rsid w:val="13A10973"/>
    <w:rsid w:val="13C133CE"/>
    <w:rsid w:val="13CA1B57"/>
    <w:rsid w:val="13CD7229"/>
    <w:rsid w:val="13DE083C"/>
    <w:rsid w:val="13F07810"/>
    <w:rsid w:val="13FF321A"/>
    <w:rsid w:val="14025795"/>
    <w:rsid w:val="143B7DAA"/>
    <w:rsid w:val="14423DE3"/>
    <w:rsid w:val="144C6C7C"/>
    <w:rsid w:val="14C05AD1"/>
    <w:rsid w:val="14C8247D"/>
    <w:rsid w:val="14E60C13"/>
    <w:rsid w:val="15236017"/>
    <w:rsid w:val="15540F5A"/>
    <w:rsid w:val="156760C8"/>
    <w:rsid w:val="157C7F80"/>
    <w:rsid w:val="1587766F"/>
    <w:rsid w:val="15BC0979"/>
    <w:rsid w:val="15EC4007"/>
    <w:rsid w:val="15F1161D"/>
    <w:rsid w:val="15F7693B"/>
    <w:rsid w:val="163D4C93"/>
    <w:rsid w:val="166167A3"/>
    <w:rsid w:val="168B3804"/>
    <w:rsid w:val="168D3A3C"/>
    <w:rsid w:val="168D57EA"/>
    <w:rsid w:val="16A10D7E"/>
    <w:rsid w:val="16E660BF"/>
    <w:rsid w:val="17570BA1"/>
    <w:rsid w:val="176A6365"/>
    <w:rsid w:val="17E27FC0"/>
    <w:rsid w:val="17F953D1"/>
    <w:rsid w:val="18047D2E"/>
    <w:rsid w:val="181A12FF"/>
    <w:rsid w:val="186611CF"/>
    <w:rsid w:val="18A1113E"/>
    <w:rsid w:val="18BD4F07"/>
    <w:rsid w:val="18F02060"/>
    <w:rsid w:val="19003D38"/>
    <w:rsid w:val="190D676E"/>
    <w:rsid w:val="1915022F"/>
    <w:rsid w:val="19382D98"/>
    <w:rsid w:val="199F32B3"/>
    <w:rsid w:val="19CC487B"/>
    <w:rsid w:val="19E2098A"/>
    <w:rsid w:val="1A002F7A"/>
    <w:rsid w:val="1A02769F"/>
    <w:rsid w:val="1A2D037C"/>
    <w:rsid w:val="1A534654"/>
    <w:rsid w:val="1A840CB2"/>
    <w:rsid w:val="1ABF125E"/>
    <w:rsid w:val="1AC66073"/>
    <w:rsid w:val="1B0E5B3B"/>
    <w:rsid w:val="1B1059B5"/>
    <w:rsid w:val="1B260F16"/>
    <w:rsid w:val="1B32070E"/>
    <w:rsid w:val="1B5D7B73"/>
    <w:rsid w:val="1BA75234"/>
    <w:rsid w:val="1BE1766A"/>
    <w:rsid w:val="1BEA6DE1"/>
    <w:rsid w:val="1C1251E1"/>
    <w:rsid w:val="1C5B1EE6"/>
    <w:rsid w:val="1C6B4699"/>
    <w:rsid w:val="1CD75A11"/>
    <w:rsid w:val="1CEE0CE4"/>
    <w:rsid w:val="1D0C6F11"/>
    <w:rsid w:val="1D320E99"/>
    <w:rsid w:val="1D81772B"/>
    <w:rsid w:val="1DFB5FB7"/>
    <w:rsid w:val="1E1D38F7"/>
    <w:rsid w:val="1E430E84"/>
    <w:rsid w:val="1E4C1AE7"/>
    <w:rsid w:val="1E6D33C6"/>
    <w:rsid w:val="1E71154D"/>
    <w:rsid w:val="1E8F3080"/>
    <w:rsid w:val="1EAA4A5F"/>
    <w:rsid w:val="1ED33FB6"/>
    <w:rsid w:val="1F0805CC"/>
    <w:rsid w:val="1F373135"/>
    <w:rsid w:val="1F48677A"/>
    <w:rsid w:val="1F4B48B0"/>
    <w:rsid w:val="1F6317DE"/>
    <w:rsid w:val="1F6F0182"/>
    <w:rsid w:val="1F864E6A"/>
    <w:rsid w:val="1F8F028E"/>
    <w:rsid w:val="1F9757DB"/>
    <w:rsid w:val="1FB27619"/>
    <w:rsid w:val="1FBE07C2"/>
    <w:rsid w:val="202D3914"/>
    <w:rsid w:val="20362A4E"/>
    <w:rsid w:val="20453774"/>
    <w:rsid w:val="20474C5B"/>
    <w:rsid w:val="20713A86"/>
    <w:rsid w:val="20A41EE5"/>
    <w:rsid w:val="20EA7235"/>
    <w:rsid w:val="20FB39EF"/>
    <w:rsid w:val="21022930"/>
    <w:rsid w:val="210D7917"/>
    <w:rsid w:val="211E5AAE"/>
    <w:rsid w:val="21350F58"/>
    <w:rsid w:val="213F1567"/>
    <w:rsid w:val="21575EA1"/>
    <w:rsid w:val="21594194"/>
    <w:rsid w:val="216E6B17"/>
    <w:rsid w:val="2184145D"/>
    <w:rsid w:val="219C2D85"/>
    <w:rsid w:val="21A15481"/>
    <w:rsid w:val="21BB3C0D"/>
    <w:rsid w:val="21BD2E67"/>
    <w:rsid w:val="22235722"/>
    <w:rsid w:val="222D504E"/>
    <w:rsid w:val="22431751"/>
    <w:rsid w:val="224D5449"/>
    <w:rsid w:val="22734E06"/>
    <w:rsid w:val="22757537"/>
    <w:rsid w:val="22791318"/>
    <w:rsid w:val="227A5764"/>
    <w:rsid w:val="2295253A"/>
    <w:rsid w:val="22D04FA6"/>
    <w:rsid w:val="22D62AE6"/>
    <w:rsid w:val="22FE4C52"/>
    <w:rsid w:val="230E380E"/>
    <w:rsid w:val="234B5616"/>
    <w:rsid w:val="238B69C1"/>
    <w:rsid w:val="23937187"/>
    <w:rsid w:val="23F51552"/>
    <w:rsid w:val="2412282F"/>
    <w:rsid w:val="24146BD2"/>
    <w:rsid w:val="2417457B"/>
    <w:rsid w:val="243C3EF4"/>
    <w:rsid w:val="24546D13"/>
    <w:rsid w:val="247826EE"/>
    <w:rsid w:val="24C30629"/>
    <w:rsid w:val="24C32F10"/>
    <w:rsid w:val="24C617B0"/>
    <w:rsid w:val="24F9046C"/>
    <w:rsid w:val="2500187D"/>
    <w:rsid w:val="253F55D6"/>
    <w:rsid w:val="2540611D"/>
    <w:rsid w:val="25670F7D"/>
    <w:rsid w:val="257430A0"/>
    <w:rsid w:val="257E3356"/>
    <w:rsid w:val="25987D07"/>
    <w:rsid w:val="25EF6471"/>
    <w:rsid w:val="260346AD"/>
    <w:rsid w:val="261D4907"/>
    <w:rsid w:val="262E5F76"/>
    <w:rsid w:val="26393B6B"/>
    <w:rsid w:val="267021A1"/>
    <w:rsid w:val="267C3185"/>
    <w:rsid w:val="267D6303"/>
    <w:rsid w:val="26BE554B"/>
    <w:rsid w:val="26DD2094"/>
    <w:rsid w:val="26E70C9F"/>
    <w:rsid w:val="26E72CF4"/>
    <w:rsid w:val="2710589B"/>
    <w:rsid w:val="278542BB"/>
    <w:rsid w:val="279302CF"/>
    <w:rsid w:val="27BF014F"/>
    <w:rsid w:val="27D01194"/>
    <w:rsid w:val="27DA3456"/>
    <w:rsid w:val="27DA4B11"/>
    <w:rsid w:val="27E44650"/>
    <w:rsid w:val="27E9484A"/>
    <w:rsid w:val="27FC27CF"/>
    <w:rsid w:val="28135FEE"/>
    <w:rsid w:val="2838212A"/>
    <w:rsid w:val="2843358B"/>
    <w:rsid w:val="28486705"/>
    <w:rsid w:val="284A74CB"/>
    <w:rsid w:val="287A1946"/>
    <w:rsid w:val="28991E5C"/>
    <w:rsid w:val="289D6EC8"/>
    <w:rsid w:val="28B70E79"/>
    <w:rsid w:val="28EC690F"/>
    <w:rsid w:val="290874A2"/>
    <w:rsid w:val="290F629E"/>
    <w:rsid w:val="2916341D"/>
    <w:rsid w:val="296E7C07"/>
    <w:rsid w:val="297C6606"/>
    <w:rsid w:val="29B41A1A"/>
    <w:rsid w:val="29EF7B3D"/>
    <w:rsid w:val="2A111E36"/>
    <w:rsid w:val="2A161F2E"/>
    <w:rsid w:val="2A2C5816"/>
    <w:rsid w:val="2A2E2B0A"/>
    <w:rsid w:val="2A3C3357"/>
    <w:rsid w:val="2A475AB3"/>
    <w:rsid w:val="2A816FBC"/>
    <w:rsid w:val="2A8233B1"/>
    <w:rsid w:val="2AAD7DB1"/>
    <w:rsid w:val="2AD90BA6"/>
    <w:rsid w:val="2ADE4398"/>
    <w:rsid w:val="2AE916BD"/>
    <w:rsid w:val="2B314BC8"/>
    <w:rsid w:val="2B597075"/>
    <w:rsid w:val="2B774362"/>
    <w:rsid w:val="2B7B7D5E"/>
    <w:rsid w:val="2B7D3C27"/>
    <w:rsid w:val="2B8723B0"/>
    <w:rsid w:val="2BEE541D"/>
    <w:rsid w:val="2C0316DE"/>
    <w:rsid w:val="2C0B206C"/>
    <w:rsid w:val="2CA730E3"/>
    <w:rsid w:val="2CD07532"/>
    <w:rsid w:val="2D0E03CF"/>
    <w:rsid w:val="2D3734E5"/>
    <w:rsid w:val="2D39592C"/>
    <w:rsid w:val="2D4652DE"/>
    <w:rsid w:val="2D5C786C"/>
    <w:rsid w:val="2D6B7AAF"/>
    <w:rsid w:val="2D76092E"/>
    <w:rsid w:val="2DAA4A7C"/>
    <w:rsid w:val="2DB66F7C"/>
    <w:rsid w:val="2DBB4593"/>
    <w:rsid w:val="2DC72F38"/>
    <w:rsid w:val="2DE22CBA"/>
    <w:rsid w:val="2E776F13"/>
    <w:rsid w:val="2E9C2616"/>
    <w:rsid w:val="2EB815FE"/>
    <w:rsid w:val="2EB91B26"/>
    <w:rsid w:val="2F147D68"/>
    <w:rsid w:val="2F5026B0"/>
    <w:rsid w:val="2F5B5954"/>
    <w:rsid w:val="2F7013AD"/>
    <w:rsid w:val="2F8B0703"/>
    <w:rsid w:val="2F8E5400"/>
    <w:rsid w:val="2F9A6C85"/>
    <w:rsid w:val="2FB83E8C"/>
    <w:rsid w:val="2FE57FED"/>
    <w:rsid w:val="300D70B8"/>
    <w:rsid w:val="3026282A"/>
    <w:rsid w:val="30393E95"/>
    <w:rsid w:val="30502CF4"/>
    <w:rsid w:val="30566483"/>
    <w:rsid w:val="306453B6"/>
    <w:rsid w:val="30710775"/>
    <w:rsid w:val="3090363A"/>
    <w:rsid w:val="30CA30C1"/>
    <w:rsid w:val="30CC4D09"/>
    <w:rsid w:val="30FC45CB"/>
    <w:rsid w:val="3103697D"/>
    <w:rsid w:val="31235140"/>
    <w:rsid w:val="314724B9"/>
    <w:rsid w:val="317B1459"/>
    <w:rsid w:val="31A6555A"/>
    <w:rsid w:val="31D500EA"/>
    <w:rsid w:val="3225110E"/>
    <w:rsid w:val="32521727"/>
    <w:rsid w:val="325E5158"/>
    <w:rsid w:val="326F550E"/>
    <w:rsid w:val="3272726D"/>
    <w:rsid w:val="329C61C8"/>
    <w:rsid w:val="329F662C"/>
    <w:rsid w:val="32DF7D25"/>
    <w:rsid w:val="32E53E60"/>
    <w:rsid w:val="33114959"/>
    <w:rsid w:val="3353635E"/>
    <w:rsid w:val="33B15439"/>
    <w:rsid w:val="33D62126"/>
    <w:rsid w:val="33E368F4"/>
    <w:rsid w:val="33FC4EAD"/>
    <w:rsid w:val="340D7B43"/>
    <w:rsid w:val="341E587B"/>
    <w:rsid w:val="34297002"/>
    <w:rsid w:val="34485C44"/>
    <w:rsid w:val="3469366F"/>
    <w:rsid w:val="348C6C89"/>
    <w:rsid w:val="349D49F2"/>
    <w:rsid w:val="349D5386"/>
    <w:rsid w:val="34B72D48"/>
    <w:rsid w:val="34C72DAC"/>
    <w:rsid w:val="34CD641D"/>
    <w:rsid w:val="34E63ED8"/>
    <w:rsid w:val="35001E09"/>
    <w:rsid w:val="350C1B78"/>
    <w:rsid w:val="3522139B"/>
    <w:rsid w:val="35236EAC"/>
    <w:rsid w:val="357C1960"/>
    <w:rsid w:val="357C2CDC"/>
    <w:rsid w:val="359070E7"/>
    <w:rsid w:val="360F5BC5"/>
    <w:rsid w:val="364B5A10"/>
    <w:rsid w:val="365B3D27"/>
    <w:rsid w:val="36BB3B00"/>
    <w:rsid w:val="36D2307F"/>
    <w:rsid w:val="37163E07"/>
    <w:rsid w:val="371D201C"/>
    <w:rsid w:val="37335AE2"/>
    <w:rsid w:val="37596839"/>
    <w:rsid w:val="377063EE"/>
    <w:rsid w:val="37776E01"/>
    <w:rsid w:val="37B0269C"/>
    <w:rsid w:val="37BC45BB"/>
    <w:rsid w:val="37BF3CE9"/>
    <w:rsid w:val="37E65BEF"/>
    <w:rsid w:val="37F018ED"/>
    <w:rsid w:val="38875938"/>
    <w:rsid w:val="389F011B"/>
    <w:rsid w:val="38EF70B5"/>
    <w:rsid w:val="39154DEE"/>
    <w:rsid w:val="392A6CA6"/>
    <w:rsid w:val="39555099"/>
    <w:rsid w:val="399F1B54"/>
    <w:rsid w:val="39C40C73"/>
    <w:rsid w:val="39CB14DD"/>
    <w:rsid w:val="39E71521"/>
    <w:rsid w:val="39EE09E5"/>
    <w:rsid w:val="39F06295"/>
    <w:rsid w:val="3A1B67E7"/>
    <w:rsid w:val="3A297440"/>
    <w:rsid w:val="3A3E7C39"/>
    <w:rsid w:val="3A59585F"/>
    <w:rsid w:val="3AAC5453"/>
    <w:rsid w:val="3AC55853"/>
    <w:rsid w:val="3AFD3E13"/>
    <w:rsid w:val="3B253CAF"/>
    <w:rsid w:val="3B4958D4"/>
    <w:rsid w:val="3B516536"/>
    <w:rsid w:val="3B9E4BDD"/>
    <w:rsid w:val="3BA96372"/>
    <w:rsid w:val="3BAB20EB"/>
    <w:rsid w:val="3BBF7C11"/>
    <w:rsid w:val="3BD87F43"/>
    <w:rsid w:val="3BE253E0"/>
    <w:rsid w:val="3C0637C5"/>
    <w:rsid w:val="3C291261"/>
    <w:rsid w:val="3C3D6ABB"/>
    <w:rsid w:val="3C570D2E"/>
    <w:rsid w:val="3C975B58"/>
    <w:rsid w:val="3C9E39FD"/>
    <w:rsid w:val="3CDD5245"/>
    <w:rsid w:val="3CFE5A61"/>
    <w:rsid w:val="3D093329"/>
    <w:rsid w:val="3D1A2F01"/>
    <w:rsid w:val="3D212A9A"/>
    <w:rsid w:val="3D2150C0"/>
    <w:rsid w:val="3D4346CC"/>
    <w:rsid w:val="3D597924"/>
    <w:rsid w:val="3D6E7EA5"/>
    <w:rsid w:val="3D971526"/>
    <w:rsid w:val="3D995F73"/>
    <w:rsid w:val="3DB261BA"/>
    <w:rsid w:val="3E0C738C"/>
    <w:rsid w:val="3E4D6651"/>
    <w:rsid w:val="3E5D37CB"/>
    <w:rsid w:val="3E603179"/>
    <w:rsid w:val="3E703A49"/>
    <w:rsid w:val="3E730B94"/>
    <w:rsid w:val="3EBF1A09"/>
    <w:rsid w:val="3F1955BD"/>
    <w:rsid w:val="3F367F1D"/>
    <w:rsid w:val="3F4F2F8B"/>
    <w:rsid w:val="3F52287D"/>
    <w:rsid w:val="3F7B6278"/>
    <w:rsid w:val="3FD80FD4"/>
    <w:rsid w:val="3FEC76B6"/>
    <w:rsid w:val="400058EF"/>
    <w:rsid w:val="4004626D"/>
    <w:rsid w:val="401A7A33"/>
    <w:rsid w:val="40370BEE"/>
    <w:rsid w:val="4076188D"/>
    <w:rsid w:val="40916FFB"/>
    <w:rsid w:val="40D332C5"/>
    <w:rsid w:val="40D93256"/>
    <w:rsid w:val="40F302C1"/>
    <w:rsid w:val="40F850A2"/>
    <w:rsid w:val="40FE0F0E"/>
    <w:rsid w:val="411E5C8C"/>
    <w:rsid w:val="41393CF5"/>
    <w:rsid w:val="414E28B0"/>
    <w:rsid w:val="414E77DA"/>
    <w:rsid w:val="41526B64"/>
    <w:rsid w:val="41924807"/>
    <w:rsid w:val="41A1168D"/>
    <w:rsid w:val="41DA54D8"/>
    <w:rsid w:val="41F32F91"/>
    <w:rsid w:val="42084BCD"/>
    <w:rsid w:val="42452E8B"/>
    <w:rsid w:val="42654E02"/>
    <w:rsid w:val="42957651"/>
    <w:rsid w:val="429B2AAA"/>
    <w:rsid w:val="42C06088"/>
    <w:rsid w:val="42C10446"/>
    <w:rsid w:val="42E104B2"/>
    <w:rsid w:val="42EF09FB"/>
    <w:rsid w:val="42F26851"/>
    <w:rsid w:val="431605DB"/>
    <w:rsid w:val="4328219C"/>
    <w:rsid w:val="434A49AA"/>
    <w:rsid w:val="436126C4"/>
    <w:rsid w:val="438B7C9A"/>
    <w:rsid w:val="438D657A"/>
    <w:rsid w:val="439C1000"/>
    <w:rsid w:val="43C93571"/>
    <w:rsid w:val="440700DA"/>
    <w:rsid w:val="44095C00"/>
    <w:rsid w:val="443D10E5"/>
    <w:rsid w:val="444B446B"/>
    <w:rsid w:val="44A57FD7"/>
    <w:rsid w:val="44B9344A"/>
    <w:rsid w:val="44C935EA"/>
    <w:rsid w:val="44D6558C"/>
    <w:rsid w:val="44E65F85"/>
    <w:rsid w:val="44EF4FF0"/>
    <w:rsid w:val="451A5BEB"/>
    <w:rsid w:val="462140AB"/>
    <w:rsid w:val="468477C0"/>
    <w:rsid w:val="46B300A5"/>
    <w:rsid w:val="46B8390E"/>
    <w:rsid w:val="46DD0EA4"/>
    <w:rsid w:val="470D1EAB"/>
    <w:rsid w:val="4735160D"/>
    <w:rsid w:val="47456240"/>
    <w:rsid w:val="475D3E81"/>
    <w:rsid w:val="476D241D"/>
    <w:rsid w:val="47E744AA"/>
    <w:rsid w:val="48213971"/>
    <w:rsid w:val="48313978"/>
    <w:rsid w:val="489177E2"/>
    <w:rsid w:val="493F3295"/>
    <w:rsid w:val="49523BA5"/>
    <w:rsid w:val="49570C8B"/>
    <w:rsid w:val="497D6A00"/>
    <w:rsid w:val="49920446"/>
    <w:rsid w:val="49A02C00"/>
    <w:rsid w:val="49AF02A4"/>
    <w:rsid w:val="49B4405C"/>
    <w:rsid w:val="49CA7BE0"/>
    <w:rsid w:val="49E16015"/>
    <w:rsid w:val="49FA0676"/>
    <w:rsid w:val="4A0E0C60"/>
    <w:rsid w:val="4A132BEA"/>
    <w:rsid w:val="4A1D5E7E"/>
    <w:rsid w:val="4A4756D4"/>
    <w:rsid w:val="4A524669"/>
    <w:rsid w:val="4A6A1FC2"/>
    <w:rsid w:val="4A71301D"/>
    <w:rsid w:val="4A802994"/>
    <w:rsid w:val="4A823615"/>
    <w:rsid w:val="4A8A55E5"/>
    <w:rsid w:val="4A8B709D"/>
    <w:rsid w:val="4A8E6E5F"/>
    <w:rsid w:val="4A9A648E"/>
    <w:rsid w:val="4AA571F9"/>
    <w:rsid w:val="4AB91025"/>
    <w:rsid w:val="4AC45190"/>
    <w:rsid w:val="4ACE54AE"/>
    <w:rsid w:val="4AE72A13"/>
    <w:rsid w:val="4B4B2FA2"/>
    <w:rsid w:val="4B7309FB"/>
    <w:rsid w:val="4B786A8C"/>
    <w:rsid w:val="4B835429"/>
    <w:rsid w:val="4B8D7117"/>
    <w:rsid w:val="4B9E5B3A"/>
    <w:rsid w:val="4BB24DCF"/>
    <w:rsid w:val="4BF24016"/>
    <w:rsid w:val="4BF76C86"/>
    <w:rsid w:val="4C211F55"/>
    <w:rsid w:val="4C8F5111"/>
    <w:rsid w:val="4CA26BF2"/>
    <w:rsid w:val="4CB93F3C"/>
    <w:rsid w:val="4CE4545C"/>
    <w:rsid w:val="4CF51AE2"/>
    <w:rsid w:val="4D16256F"/>
    <w:rsid w:val="4D1B26B0"/>
    <w:rsid w:val="4D482FBD"/>
    <w:rsid w:val="4D497020"/>
    <w:rsid w:val="4D6F007A"/>
    <w:rsid w:val="4D7C13DA"/>
    <w:rsid w:val="4DBD1DF1"/>
    <w:rsid w:val="4DCE449B"/>
    <w:rsid w:val="4DDB4F92"/>
    <w:rsid w:val="4DE67291"/>
    <w:rsid w:val="4DEB5934"/>
    <w:rsid w:val="4DED79F7"/>
    <w:rsid w:val="4DF72106"/>
    <w:rsid w:val="4DFE5208"/>
    <w:rsid w:val="4E207837"/>
    <w:rsid w:val="4E6327F1"/>
    <w:rsid w:val="4E6F3F3D"/>
    <w:rsid w:val="4E713DF7"/>
    <w:rsid w:val="4EB33338"/>
    <w:rsid w:val="4ECE0172"/>
    <w:rsid w:val="4EEC17DA"/>
    <w:rsid w:val="4F1A530E"/>
    <w:rsid w:val="4F1C50EA"/>
    <w:rsid w:val="4F3A5A9F"/>
    <w:rsid w:val="4F4A6E30"/>
    <w:rsid w:val="4F4C6AE6"/>
    <w:rsid w:val="4F587A3C"/>
    <w:rsid w:val="4F940028"/>
    <w:rsid w:val="4F9475C8"/>
    <w:rsid w:val="4FC1669B"/>
    <w:rsid w:val="4FD221F1"/>
    <w:rsid w:val="5008134F"/>
    <w:rsid w:val="501A744F"/>
    <w:rsid w:val="502B6D9B"/>
    <w:rsid w:val="502E5DD0"/>
    <w:rsid w:val="50373FDA"/>
    <w:rsid w:val="50593A6B"/>
    <w:rsid w:val="506B7C43"/>
    <w:rsid w:val="506D39BB"/>
    <w:rsid w:val="507019A1"/>
    <w:rsid w:val="50853B31"/>
    <w:rsid w:val="508571FB"/>
    <w:rsid w:val="50FA1CA7"/>
    <w:rsid w:val="50FC76C3"/>
    <w:rsid w:val="51534796"/>
    <w:rsid w:val="515822B1"/>
    <w:rsid w:val="515B2142"/>
    <w:rsid w:val="51894824"/>
    <w:rsid w:val="51C4760A"/>
    <w:rsid w:val="51DD06CC"/>
    <w:rsid w:val="51F865DB"/>
    <w:rsid w:val="521536EF"/>
    <w:rsid w:val="521A5985"/>
    <w:rsid w:val="525135E2"/>
    <w:rsid w:val="5256365E"/>
    <w:rsid w:val="527A7D88"/>
    <w:rsid w:val="52BA27BB"/>
    <w:rsid w:val="52EA7776"/>
    <w:rsid w:val="530879CB"/>
    <w:rsid w:val="530D42FA"/>
    <w:rsid w:val="531B2103"/>
    <w:rsid w:val="535A6478"/>
    <w:rsid w:val="537B113C"/>
    <w:rsid w:val="53BF7267"/>
    <w:rsid w:val="53C83F18"/>
    <w:rsid w:val="53FD1682"/>
    <w:rsid w:val="540255D9"/>
    <w:rsid w:val="54224844"/>
    <w:rsid w:val="54603AAF"/>
    <w:rsid w:val="54A113F4"/>
    <w:rsid w:val="54C83633"/>
    <w:rsid w:val="54FC6A5A"/>
    <w:rsid w:val="55154874"/>
    <w:rsid w:val="551654C9"/>
    <w:rsid w:val="551B39E5"/>
    <w:rsid w:val="55270F7E"/>
    <w:rsid w:val="554E4208"/>
    <w:rsid w:val="556861D7"/>
    <w:rsid w:val="556E7FB9"/>
    <w:rsid w:val="556F5ADF"/>
    <w:rsid w:val="558A0F60"/>
    <w:rsid w:val="55903919"/>
    <w:rsid w:val="55925286"/>
    <w:rsid w:val="55AD3A8A"/>
    <w:rsid w:val="55E34CE0"/>
    <w:rsid w:val="55E464CD"/>
    <w:rsid w:val="55F90990"/>
    <w:rsid w:val="55FA3400"/>
    <w:rsid w:val="56050989"/>
    <w:rsid w:val="560E781C"/>
    <w:rsid w:val="5626658A"/>
    <w:rsid w:val="56295042"/>
    <w:rsid w:val="56785D5C"/>
    <w:rsid w:val="56A45831"/>
    <w:rsid w:val="56B149AE"/>
    <w:rsid w:val="56D30EB1"/>
    <w:rsid w:val="56E27C44"/>
    <w:rsid w:val="56E60B21"/>
    <w:rsid w:val="56EF3762"/>
    <w:rsid w:val="571F77CE"/>
    <w:rsid w:val="5726524E"/>
    <w:rsid w:val="572C48AA"/>
    <w:rsid w:val="57400A23"/>
    <w:rsid w:val="57811E04"/>
    <w:rsid w:val="578E252E"/>
    <w:rsid w:val="579B3F7E"/>
    <w:rsid w:val="57DF519E"/>
    <w:rsid w:val="582232DD"/>
    <w:rsid w:val="58333592"/>
    <w:rsid w:val="58492617"/>
    <w:rsid w:val="58535244"/>
    <w:rsid w:val="587442AD"/>
    <w:rsid w:val="589F0489"/>
    <w:rsid w:val="58AE43C3"/>
    <w:rsid w:val="58B57CAD"/>
    <w:rsid w:val="58ED2313"/>
    <w:rsid w:val="590C63AF"/>
    <w:rsid w:val="591C7D2C"/>
    <w:rsid w:val="595C5ED8"/>
    <w:rsid w:val="597013FA"/>
    <w:rsid w:val="59EA2BD2"/>
    <w:rsid w:val="59EA607C"/>
    <w:rsid w:val="5A144EA7"/>
    <w:rsid w:val="5A1F56FD"/>
    <w:rsid w:val="5A404CC6"/>
    <w:rsid w:val="5A4840FD"/>
    <w:rsid w:val="5A4B1F43"/>
    <w:rsid w:val="5A662087"/>
    <w:rsid w:val="5A805D61"/>
    <w:rsid w:val="5A8B6F17"/>
    <w:rsid w:val="5AA1498D"/>
    <w:rsid w:val="5AA30C31"/>
    <w:rsid w:val="5AA36B2A"/>
    <w:rsid w:val="5AB22733"/>
    <w:rsid w:val="5AEA013B"/>
    <w:rsid w:val="5B0E3A7B"/>
    <w:rsid w:val="5B3422A2"/>
    <w:rsid w:val="5B4F7A87"/>
    <w:rsid w:val="5B694D7F"/>
    <w:rsid w:val="5B6E13B8"/>
    <w:rsid w:val="5BA31AED"/>
    <w:rsid w:val="5BAE24FA"/>
    <w:rsid w:val="5BB24978"/>
    <w:rsid w:val="5BEA2363"/>
    <w:rsid w:val="5BEB33AD"/>
    <w:rsid w:val="5BF05DAB"/>
    <w:rsid w:val="5C097076"/>
    <w:rsid w:val="5C28441B"/>
    <w:rsid w:val="5C5D5B7F"/>
    <w:rsid w:val="5C5F565F"/>
    <w:rsid w:val="5C624A53"/>
    <w:rsid w:val="5C6735EF"/>
    <w:rsid w:val="5C732104"/>
    <w:rsid w:val="5C7B2FBB"/>
    <w:rsid w:val="5C824AD3"/>
    <w:rsid w:val="5C8E01AF"/>
    <w:rsid w:val="5C9673C6"/>
    <w:rsid w:val="5CD01AE3"/>
    <w:rsid w:val="5D031423"/>
    <w:rsid w:val="5D046777"/>
    <w:rsid w:val="5D534349"/>
    <w:rsid w:val="5D8B37C3"/>
    <w:rsid w:val="5D9115E9"/>
    <w:rsid w:val="5D9E3405"/>
    <w:rsid w:val="5DCF5051"/>
    <w:rsid w:val="5DDB01B6"/>
    <w:rsid w:val="5E0E482D"/>
    <w:rsid w:val="5E456BCA"/>
    <w:rsid w:val="5E5B22B9"/>
    <w:rsid w:val="5E5C0CDB"/>
    <w:rsid w:val="5E765DF7"/>
    <w:rsid w:val="5E927D5B"/>
    <w:rsid w:val="5E9345EC"/>
    <w:rsid w:val="5E9F11E3"/>
    <w:rsid w:val="5EAE1426"/>
    <w:rsid w:val="5EC37AEA"/>
    <w:rsid w:val="5ED50151"/>
    <w:rsid w:val="5EEE3F19"/>
    <w:rsid w:val="5EF05EE3"/>
    <w:rsid w:val="5EF959F2"/>
    <w:rsid w:val="5F44721D"/>
    <w:rsid w:val="5F6D12E1"/>
    <w:rsid w:val="5F814DDD"/>
    <w:rsid w:val="5F814E17"/>
    <w:rsid w:val="5F881C77"/>
    <w:rsid w:val="5F8B5C0B"/>
    <w:rsid w:val="5FAC3111"/>
    <w:rsid w:val="5FBA3DFB"/>
    <w:rsid w:val="5FCD5B46"/>
    <w:rsid w:val="5FEA2795"/>
    <w:rsid w:val="60107EBF"/>
    <w:rsid w:val="60226A0D"/>
    <w:rsid w:val="604005D6"/>
    <w:rsid w:val="60651FB9"/>
    <w:rsid w:val="606C2C8F"/>
    <w:rsid w:val="6093657B"/>
    <w:rsid w:val="609D2C5D"/>
    <w:rsid w:val="613C6FAE"/>
    <w:rsid w:val="613D1187"/>
    <w:rsid w:val="614222FA"/>
    <w:rsid w:val="61555579"/>
    <w:rsid w:val="61774699"/>
    <w:rsid w:val="61DF5D9B"/>
    <w:rsid w:val="61F950AE"/>
    <w:rsid w:val="621066BB"/>
    <w:rsid w:val="6224739D"/>
    <w:rsid w:val="62250D41"/>
    <w:rsid w:val="625A7172"/>
    <w:rsid w:val="627E3805"/>
    <w:rsid w:val="628C1A7E"/>
    <w:rsid w:val="629E5C56"/>
    <w:rsid w:val="62B161ED"/>
    <w:rsid w:val="62B45479"/>
    <w:rsid w:val="62D80B9A"/>
    <w:rsid w:val="62E16CBE"/>
    <w:rsid w:val="634B625C"/>
    <w:rsid w:val="634E31D8"/>
    <w:rsid w:val="63944015"/>
    <w:rsid w:val="63A25534"/>
    <w:rsid w:val="63A70B3A"/>
    <w:rsid w:val="63A948B2"/>
    <w:rsid w:val="63AA6DA9"/>
    <w:rsid w:val="63D538F9"/>
    <w:rsid w:val="63E44975"/>
    <w:rsid w:val="63F0428F"/>
    <w:rsid w:val="63F773CC"/>
    <w:rsid w:val="640B731B"/>
    <w:rsid w:val="64A53594"/>
    <w:rsid w:val="64C71494"/>
    <w:rsid w:val="64CC3191"/>
    <w:rsid w:val="65000502"/>
    <w:rsid w:val="65433AE2"/>
    <w:rsid w:val="657F7178"/>
    <w:rsid w:val="65F17726"/>
    <w:rsid w:val="660E238F"/>
    <w:rsid w:val="664408C2"/>
    <w:rsid w:val="664D29AB"/>
    <w:rsid w:val="66585777"/>
    <w:rsid w:val="6661108B"/>
    <w:rsid w:val="668C4743"/>
    <w:rsid w:val="669058B5"/>
    <w:rsid w:val="66B27F22"/>
    <w:rsid w:val="66BA201C"/>
    <w:rsid w:val="66C142B3"/>
    <w:rsid w:val="671953E6"/>
    <w:rsid w:val="675C3547"/>
    <w:rsid w:val="67DE774C"/>
    <w:rsid w:val="680B7043"/>
    <w:rsid w:val="68304EAB"/>
    <w:rsid w:val="683B1F2B"/>
    <w:rsid w:val="68415F73"/>
    <w:rsid w:val="68420A03"/>
    <w:rsid w:val="684352D5"/>
    <w:rsid w:val="685250E0"/>
    <w:rsid w:val="685F62D7"/>
    <w:rsid w:val="68615F07"/>
    <w:rsid w:val="688078CF"/>
    <w:rsid w:val="68AF46C8"/>
    <w:rsid w:val="68D70AE9"/>
    <w:rsid w:val="68ED7FBF"/>
    <w:rsid w:val="690A7914"/>
    <w:rsid w:val="690D33B0"/>
    <w:rsid w:val="69142915"/>
    <w:rsid w:val="69202C76"/>
    <w:rsid w:val="69733998"/>
    <w:rsid w:val="697D0373"/>
    <w:rsid w:val="699C5EFD"/>
    <w:rsid w:val="699F4AF2"/>
    <w:rsid w:val="69A267ED"/>
    <w:rsid w:val="69A2778F"/>
    <w:rsid w:val="69AD7A6F"/>
    <w:rsid w:val="69B31286"/>
    <w:rsid w:val="69B8088F"/>
    <w:rsid w:val="69C560E2"/>
    <w:rsid w:val="69D2314E"/>
    <w:rsid w:val="69EE301F"/>
    <w:rsid w:val="69F774BF"/>
    <w:rsid w:val="6A040A94"/>
    <w:rsid w:val="6A072332"/>
    <w:rsid w:val="6A1508F3"/>
    <w:rsid w:val="6A1A7B2E"/>
    <w:rsid w:val="6A360BD8"/>
    <w:rsid w:val="6A4F12FC"/>
    <w:rsid w:val="6A7F14AC"/>
    <w:rsid w:val="6AA13D2A"/>
    <w:rsid w:val="6AA95198"/>
    <w:rsid w:val="6ACF2E50"/>
    <w:rsid w:val="6AD14E1A"/>
    <w:rsid w:val="6BA706C6"/>
    <w:rsid w:val="6BBA2569"/>
    <w:rsid w:val="6BC71D79"/>
    <w:rsid w:val="6BF863D7"/>
    <w:rsid w:val="6BFE1706"/>
    <w:rsid w:val="6C053CCB"/>
    <w:rsid w:val="6C060AF4"/>
    <w:rsid w:val="6C303DC2"/>
    <w:rsid w:val="6C635F46"/>
    <w:rsid w:val="6C68355C"/>
    <w:rsid w:val="6CAE41B9"/>
    <w:rsid w:val="6CB60DE7"/>
    <w:rsid w:val="6CC4275D"/>
    <w:rsid w:val="6CC95802"/>
    <w:rsid w:val="6CF748E0"/>
    <w:rsid w:val="6CFE0904"/>
    <w:rsid w:val="6D051540"/>
    <w:rsid w:val="6D396CA7"/>
    <w:rsid w:val="6D5373CF"/>
    <w:rsid w:val="6D7453CC"/>
    <w:rsid w:val="6D8D0DA1"/>
    <w:rsid w:val="6D972C6E"/>
    <w:rsid w:val="6DBC462A"/>
    <w:rsid w:val="6DC76061"/>
    <w:rsid w:val="6DF66946"/>
    <w:rsid w:val="6DFD3D93"/>
    <w:rsid w:val="6E05519A"/>
    <w:rsid w:val="6E35746E"/>
    <w:rsid w:val="6E364001"/>
    <w:rsid w:val="6E3A7246"/>
    <w:rsid w:val="6E4A4966"/>
    <w:rsid w:val="6E4B4084"/>
    <w:rsid w:val="6E6E472E"/>
    <w:rsid w:val="6E6F096E"/>
    <w:rsid w:val="6E7F693B"/>
    <w:rsid w:val="6E872694"/>
    <w:rsid w:val="6E891568"/>
    <w:rsid w:val="6E922B12"/>
    <w:rsid w:val="6F170D10"/>
    <w:rsid w:val="6F4F44B5"/>
    <w:rsid w:val="6F634ED2"/>
    <w:rsid w:val="6F686E13"/>
    <w:rsid w:val="6F973151"/>
    <w:rsid w:val="6FB904C8"/>
    <w:rsid w:val="6FBD3BBF"/>
    <w:rsid w:val="6FE078AE"/>
    <w:rsid w:val="700C2451"/>
    <w:rsid w:val="701946FF"/>
    <w:rsid w:val="701F74FE"/>
    <w:rsid w:val="703A486A"/>
    <w:rsid w:val="7040034C"/>
    <w:rsid w:val="70551947"/>
    <w:rsid w:val="70913532"/>
    <w:rsid w:val="709E68B9"/>
    <w:rsid w:val="70DC62C7"/>
    <w:rsid w:val="70EC07BF"/>
    <w:rsid w:val="7113431A"/>
    <w:rsid w:val="7128150C"/>
    <w:rsid w:val="71347EB1"/>
    <w:rsid w:val="716559CA"/>
    <w:rsid w:val="71954949"/>
    <w:rsid w:val="719F1439"/>
    <w:rsid w:val="71AF0B24"/>
    <w:rsid w:val="71C465B7"/>
    <w:rsid w:val="71C57827"/>
    <w:rsid w:val="71CB4324"/>
    <w:rsid w:val="71E33685"/>
    <w:rsid w:val="71EA2ACC"/>
    <w:rsid w:val="71EF2EE3"/>
    <w:rsid w:val="720930EC"/>
    <w:rsid w:val="721939B7"/>
    <w:rsid w:val="721C23E9"/>
    <w:rsid w:val="72334F0E"/>
    <w:rsid w:val="72510345"/>
    <w:rsid w:val="72513A74"/>
    <w:rsid w:val="727906E6"/>
    <w:rsid w:val="72A71B76"/>
    <w:rsid w:val="72B5390F"/>
    <w:rsid w:val="72C74EA1"/>
    <w:rsid w:val="72CE5BF7"/>
    <w:rsid w:val="73025106"/>
    <w:rsid w:val="73256EFA"/>
    <w:rsid w:val="7330146C"/>
    <w:rsid w:val="73662157"/>
    <w:rsid w:val="73A44F2A"/>
    <w:rsid w:val="73A82490"/>
    <w:rsid w:val="74205A4B"/>
    <w:rsid w:val="744715FE"/>
    <w:rsid w:val="744F3BE1"/>
    <w:rsid w:val="74542618"/>
    <w:rsid w:val="74663172"/>
    <w:rsid w:val="74696E7B"/>
    <w:rsid w:val="74977C4C"/>
    <w:rsid w:val="749C4E46"/>
    <w:rsid w:val="753B29A2"/>
    <w:rsid w:val="75A77E9D"/>
    <w:rsid w:val="75E63744"/>
    <w:rsid w:val="75F4331A"/>
    <w:rsid w:val="760638A0"/>
    <w:rsid w:val="76402A1D"/>
    <w:rsid w:val="764A6957"/>
    <w:rsid w:val="76672F99"/>
    <w:rsid w:val="76AC6B33"/>
    <w:rsid w:val="76E732D0"/>
    <w:rsid w:val="772B2868"/>
    <w:rsid w:val="77320DDE"/>
    <w:rsid w:val="773F4EBA"/>
    <w:rsid w:val="776668EA"/>
    <w:rsid w:val="777234E1"/>
    <w:rsid w:val="777271A3"/>
    <w:rsid w:val="779C055E"/>
    <w:rsid w:val="77AB254F"/>
    <w:rsid w:val="77CE2A7E"/>
    <w:rsid w:val="77E44074"/>
    <w:rsid w:val="77FA34D6"/>
    <w:rsid w:val="780E64E4"/>
    <w:rsid w:val="78547CFC"/>
    <w:rsid w:val="78615304"/>
    <w:rsid w:val="78695E8F"/>
    <w:rsid w:val="78780927"/>
    <w:rsid w:val="78DF7F98"/>
    <w:rsid w:val="78F93137"/>
    <w:rsid w:val="78FB3062"/>
    <w:rsid w:val="790E2D96"/>
    <w:rsid w:val="7927654D"/>
    <w:rsid w:val="793E51B7"/>
    <w:rsid w:val="79494343"/>
    <w:rsid w:val="795B7F6F"/>
    <w:rsid w:val="79607369"/>
    <w:rsid w:val="79654980"/>
    <w:rsid w:val="796706F8"/>
    <w:rsid w:val="798752D5"/>
    <w:rsid w:val="79875969"/>
    <w:rsid w:val="79953E26"/>
    <w:rsid w:val="799B52C3"/>
    <w:rsid w:val="79AF56BF"/>
    <w:rsid w:val="79B8531A"/>
    <w:rsid w:val="79BA025C"/>
    <w:rsid w:val="79C47A4D"/>
    <w:rsid w:val="79D0374F"/>
    <w:rsid w:val="79DD4337"/>
    <w:rsid w:val="79FF3FFE"/>
    <w:rsid w:val="7A124B07"/>
    <w:rsid w:val="7A41719B"/>
    <w:rsid w:val="7A526DB4"/>
    <w:rsid w:val="7A7E03EF"/>
    <w:rsid w:val="7A8523D0"/>
    <w:rsid w:val="7AD20D8A"/>
    <w:rsid w:val="7B002BB2"/>
    <w:rsid w:val="7B242D44"/>
    <w:rsid w:val="7B6E59A9"/>
    <w:rsid w:val="7B7E37B6"/>
    <w:rsid w:val="7B7F18A6"/>
    <w:rsid w:val="7B8C2698"/>
    <w:rsid w:val="7BEB5131"/>
    <w:rsid w:val="7BF158FB"/>
    <w:rsid w:val="7BF2506D"/>
    <w:rsid w:val="7BFA3AA5"/>
    <w:rsid w:val="7C2C2FCB"/>
    <w:rsid w:val="7C423B15"/>
    <w:rsid w:val="7C464F3C"/>
    <w:rsid w:val="7C533326"/>
    <w:rsid w:val="7C9C63D4"/>
    <w:rsid w:val="7CBB3234"/>
    <w:rsid w:val="7CCD740C"/>
    <w:rsid w:val="7CD73DE6"/>
    <w:rsid w:val="7CDD6416"/>
    <w:rsid w:val="7D1975CD"/>
    <w:rsid w:val="7D6675B7"/>
    <w:rsid w:val="7D8A0E59"/>
    <w:rsid w:val="7DA30699"/>
    <w:rsid w:val="7DB61C4E"/>
    <w:rsid w:val="7DD33A9B"/>
    <w:rsid w:val="7DE323BA"/>
    <w:rsid w:val="7DF05160"/>
    <w:rsid w:val="7DF246CB"/>
    <w:rsid w:val="7E236173"/>
    <w:rsid w:val="7E6F77A5"/>
    <w:rsid w:val="7E92785A"/>
    <w:rsid w:val="7EB80334"/>
    <w:rsid w:val="7EDA0885"/>
    <w:rsid w:val="7F1056A1"/>
    <w:rsid w:val="7F1242FF"/>
    <w:rsid w:val="7F204E4A"/>
    <w:rsid w:val="7F2977E0"/>
    <w:rsid w:val="7F2E6AFB"/>
    <w:rsid w:val="7F4F5EB6"/>
    <w:rsid w:val="7F800765"/>
    <w:rsid w:val="7FA9634A"/>
    <w:rsid w:val="7FAF5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6">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3">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spacing w:after="120"/>
      <w:ind w:left="420" w:leftChars="200"/>
    </w:pPr>
  </w:style>
  <w:style w:type="paragraph" w:styleId="4">
    <w:name w:val="Body Text First Indent"/>
    <w:basedOn w:val="5"/>
    <w:next w:val="1"/>
    <w:autoRedefine/>
    <w:qFormat/>
    <w:uiPriority w:val="0"/>
    <w:pPr>
      <w:widowControl w:val="0"/>
      <w:snapToGrid/>
      <w:spacing w:before="0" w:after="120" w:line="240" w:lineRule="auto"/>
      <w:ind w:right="0" w:firstLine="420" w:firstLineChars="100"/>
    </w:pPr>
    <w:rPr>
      <w:kern w:val="2"/>
      <w:sz w:val="21"/>
    </w:rPr>
  </w:style>
  <w:style w:type="paragraph" w:styleId="5">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Normal Indent"/>
    <w:basedOn w:val="1"/>
    <w:next w:val="2"/>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8">
    <w:name w:val="Body Text Indent 2"/>
    <w:basedOn w:val="1"/>
    <w:autoRedefine/>
    <w:qFormat/>
    <w:uiPriority w:val="99"/>
    <w:pPr>
      <w:spacing w:after="120" w:line="480" w:lineRule="auto"/>
      <w:ind w:left="420" w:leftChars="200"/>
    </w:pPr>
  </w:style>
  <w:style w:type="paragraph" w:styleId="9">
    <w:name w:val="footer"/>
    <w:basedOn w:val="1"/>
    <w:next w:val="1"/>
    <w:autoRedefine/>
    <w:qFormat/>
    <w:uiPriority w:val="0"/>
    <w:pPr>
      <w:tabs>
        <w:tab w:val="center" w:pos="4153"/>
        <w:tab w:val="right" w:pos="8306"/>
      </w:tabs>
      <w:snapToGrid w:val="0"/>
      <w:jc w:val="left"/>
    </w:pPr>
    <w:rPr>
      <w:sz w:val="18"/>
    </w:rPr>
  </w:style>
  <w:style w:type="paragraph" w:styleId="10">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12">
    <w:name w:val="Table Grid"/>
    <w:basedOn w:val="11"/>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5">
    <w:name w:val="Table Normal"/>
    <w:autoRedefine/>
    <w:semiHidden/>
    <w:unhideWhenUsed/>
    <w:qFormat/>
    <w:uiPriority w:val="0"/>
    <w:tblPr>
      <w:tblCellMar>
        <w:top w:w="0" w:type="dxa"/>
        <w:left w:w="0" w:type="dxa"/>
        <w:bottom w:w="0" w:type="dxa"/>
        <w:right w:w="0" w:type="dxa"/>
      </w:tblCellMar>
    </w:tblPr>
  </w:style>
  <w:style w:type="paragraph" w:customStyle="1" w:styleId="16">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2246</Words>
  <Characters>2350</Characters>
  <TotalTime>2</TotalTime>
  <ScaleCrop>false</ScaleCrop>
  <LinksUpToDate>false</LinksUpToDate>
  <CharactersWithSpaces>2393</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元宝</cp:lastModifiedBy>
  <cp:lastPrinted>2024-08-09T02:14:00Z</cp:lastPrinted>
  <dcterms:modified xsi:type="dcterms:W3CDTF">2024-08-09T02:45:42Z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2052-12.1.0.17147</vt:lpwstr>
  </property>
  <property fmtid="{D5CDD505-2E9C-101B-9397-08002B2CF9AE}" pid="5" name="ICV">
    <vt:lpwstr>9C49328259654AAF99221FEEA7A2A736_13</vt:lpwstr>
  </property>
</Properties>
</file>