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3B65A5">
      <w:pPr>
        <w:keepNext w:val="0"/>
        <w:keepLines w:val="0"/>
        <w:pageBreakBefore w:val="0"/>
        <w:widowControl w:val="0"/>
        <w:kinsoku/>
        <w:wordWrap/>
        <w:overflowPunct/>
        <w:topLinePunct w:val="0"/>
        <w:bidi w:val="0"/>
        <w:snapToGrid w:val="0"/>
        <w:spacing w:line="560" w:lineRule="exact"/>
        <w:jc w:val="center"/>
        <w:rPr>
          <w:rFonts w:ascii="Calibri" w:hAnsi="Calibri" w:eastAsia="宋体" w:cs="Arial"/>
          <w:color w:val="auto"/>
          <w:sz w:val="28"/>
          <w:szCs w:val="28"/>
        </w:rPr>
      </w:pPr>
    </w:p>
    <w:p w14:paraId="534DEA58">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2364D051">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2CF2383E">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6D489744">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71592BF4">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18A92181">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3CDEB54C">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1142290F">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0C37856F">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1CC13B31">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4BCEA13C">
      <w:pPr>
        <w:keepNext w:val="0"/>
        <w:keepLines w:val="0"/>
        <w:pageBreakBefore w:val="0"/>
        <w:widowControl w:val="0"/>
        <w:kinsoku/>
        <w:wordWrap/>
        <w:overflowPunct/>
        <w:topLinePunct w:val="0"/>
        <w:bidi w:val="0"/>
        <w:snapToGrid w:val="0"/>
        <w:spacing w:line="560" w:lineRule="exact"/>
        <w:jc w:val="center"/>
        <w:rPr>
          <w:rFonts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东环审表</w:t>
      </w:r>
      <w:r>
        <w:rPr>
          <w:rFonts w:hint="eastAsia" w:ascii="仿宋_GB2312" w:hAnsi="黑体" w:eastAsia="仿宋_GB2312" w:cs="Arial"/>
          <w:color w:val="auto"/>
          <w:sz w:val="32"/>
          <w:szCs w:val="32"/>
          <w:highlight w:val="none"/>
        </w:rPr>
        <w:t>〔202</w:t>
      </w:r>
      <w:r>
        <w:rPr>
          <w:rFonts w:hint="eastAsia" w:ascii="仿宋_GB2312" w:hAnsi="黑体" w:eastAsia="仿宋_GB2312" w:cs="Arial"/>
          <w:color w:val="auto"/>
          <w:sz w:val="32"/>
          <w:szCs w:val="32"/>
          <w:highlight w:val="none"/>
          <w:lang w:val="en-US" w:eastAsia="zh-CN"/>
        </w:rPr>
        <w:t>4</w:t>
      </w:r>
      <w:r>
        <w:rPr>
          <w:rFonts w:hint="eastAsia" w:ascii="仿宋_GB2312" w:hAnsi="黑体" w:eastAsia="仿宋_GB2312" w:cs="Arial"/>
          <w:color w:val="auto"/>
          <w:sz w:val="32"/>
          <w:szCs w:val="32"/>
          <w:highlight w:val="none"/>
        </w:rPr>
        <w:t>〕</w:t>
      </w:r>
      <w:r>
        <w:rPr>
          <w:rFonts w:hint="eastAsia" w:ascii="仿宋_GB2312" w:hAnsi="Calibri" w:eastAsia="仿宋_GB2312" w:cs="Arial"/>
          <w:color w:val="auto"/>
          <w:sz w:val="32"/>
          <w:szCs w:val="32"/>
          <w:highlight w:val="none"/>
          <w:lang w:val="en-US" w:eastAsia="zh-CN"/>
        </w:rPr>
        <w:t>8</w:t>
      </w:r>
      <w:r>
        <w:rPr>
          <w:rFonts w:hint="eastAsia" w:ascii="仿宋_GB2312" w:hAnsi="Calibri" w:eastAsia="仿宋_GB2312" w:cs="Arial"/>
          <w:color w:val="auto"/>
          <w:sz w:val="32"/>
          <w:szCs w:val="32"/>
          <w:highlight w:val="none"/>
        </w:rPr>
        <w:t xml:space="preserve">号   </w:t>
      </w:r>
    </w:p>
    <w:p w14:paraId="7E887679">
      <w:pPr>
        <w:keepNext w:val="0"/>
        <w:keepLines w:val="0"/>
        <w:pageBreakBefore w:val="0"/>
        <w:widowControl w:val="0"/>
        <w:kinsoku/>
        <w:wordWrap/>
        <w:overflowPunct/>
        <w:topLinePunct w:val="0"/>
        <w:bidi w:val="0"/>
        <w:snapToGrid w:val="0"/>
        <w:spacing w:line="560" w:lineRule="exact"/>
        <w:rPr>
          <w:rFonts w:hint="eastAsia" w:ascii="Calibri" w:hAnsi="Calibri" w:eastAsia="宋体" w:cs="Arial"/>
          <w:color w:val="auto"/>
          <w:sz w:val="44"/>
          <w:szCs w:val="44"/>
          <w:highlight w:val="none"/>
        </w:rPr>
      </w:pPr>
      <w:r>
        <w:rPr>
          <w:rFonts w:ascii="Calibri" w:hAnsi="Calibri" w:eastAsia="宋体" w:cs="Arial"/>
          <w:color w:val="auto"/>
          <w:sz w:val="28"/>
          <w:szCs w:val="28"/>
          <w:highlight w:val="none"/>
        </w:rPr>
        <w:t xml:space="preserve"> </w:t>
      </w:r>
    </w:p>
    <w:p w14:paraId="530F5EF1">
      <w:pPr>
        <w:keepNext w:val="0"/>
        <w:keepLines w:val="0"/>
        <w:pageBreakBefore w:val="0"/>
        <w:widowControl w:val="0"/>
        <w:kinsoku/>
        <w:wordWrap/>
        <w:overflowPunct/>
        <w:topLinePunct w:val="0"/>
        <w:autoSpaceDE w:val="0"/>
        <w:bidi w:val="0"/>
        <w:spacing w:line="560" w:lineRule="exact"/>
        <w:jc w:val="center"/>
        <w:textAlignment w:val="baseline"/>
        <w:rPr>
          <w:rFonts w:hint="eastAsia" w:ascii="方正小标宋简体" w:hAnsi="Calibri" w:eastAsia="方正小标宋简体" w:cs="Arial"/>
          <w:color w:val="auto"/>
          <w:sz w:val="44"/>
          <w:szCs w:val="44"/>
          <w:highlight w:val="none"/>
        </w:rPr>
      </w:pPr>
      <w:r>
        <w:rPr>
          <w:rFonts w:hint="eastAsia" w:ascii="方正小标宋简体" w:hAnsi="Calibri" w:eastAsia="方正小标宋简体" w:cs="Arial"/>
          <w:color w:val="auto"/>
          <w:sz w:val="44"/>
          <w:szCs w:val="44"/>
          <w:highlight w:val="none"/>
        </w:rPr>
        <w:t>锡林郭勒盟生态环境局</w:t>
      </w:r>
    </w:p>
    <w:p w14:paraId="35F2E64F">
      <w:pPr>
        <w:keepNext w:val="0"/>
        <w:keepLines w:val="0"/>
        <w:pageBreakBefore w:val="0"/>
        <w:widowControl w:val="0"/>
        <w:kinsoku/>
        <w:wordWrap/>
        <w:overflowPunct/>
        <w:topLinePunct w:val="0"/>
        <w:autoSpaceDE w:val="0"/>
        <w:bidi w:val="0"/>
        <w:spacing w:line="560" w:lineRule="exact"/>
        <w:jc w:val="center"/>
        <w:textAlignment w:val="baseline"/>
        <w:rPr>
          <w:rFonts w:hint="eastAsia" w:ascii="方正小标宋简体" w:hAnsi="Calibri" w:eastAsia="方正小标宋简体" w:cs="Arial"/>
          <w:color w:val="auto"/>
          <w:sz w:val="44"/>
          <w:szCs w:val="44"/>
          <w:highlight w:val="none"/>
        </w:rPr>
      </w:pPr>
      <w:r>
        <w:rPr>
          <w:rFonts w:hint="eastAsia" w:ascii="方正小标宋简体" w:hAnsi="Calibri" w:eastAsia="方正小标宋简体" w:cs="Arial"/>
          <w:color w:val="auto"/>
          <w:sz w:val="44"/>
          <w:szCs w:val="44"/>
          <w:highlight w:val="none"/>
        </w:rPr>
        <w:t xml:space="preserve">关于中康37井探井勘探项目环境影响报告表的批复 </w:t>
      </w:r>
    </w:p>
    <w:p w14:paraId="01B9FC08">
      <w:pPr>
        <w:keepNext w:val="0"/>
        <w:keepLines w:val="0"/>
        <w:pageBreakBefore w:val="0"/>
        <w:widowControl w:val="0"/>
        <w:kinsoku/>
        <w:wordWrap/>
        <w:overflowPunct/>
        <w:topLinePunct w:val="0"/>
        <w:bidi w:val="0"/>
        <w:adjustRightInd w:val="0"/>
        <w:snapToGrid w:val="0"/>
        <w:spacing w:line="560" w:lineRule="exact"/>
        <w:jc w:val="left"/>
        <w:rPr>
          <w:rFonts w:hint="eastAsia" w:ascii="仿宋_GB2312" w:hAnsi="Calibri" w:eastAsia="仿宋_GB2312" w:cs="Arial"/>
          <w:color w:val="auto"/>
          <w:sz w:val="36"/>
          <w:szCs w:val="36"/>
          <w:highlight w:val="none"/>
        </w:rPr>
      </w:pPr>
      <w:r>
        <w:rPr>
          <w:rFonts w:hint="eastAsia" w:ascii="方正小标宋简体" w:hAnsi="Calibri" w:eastAsia="方正小标宋简体" w:cs="Arial"/>
          <w:color w:val="auto"/>
          <w:sz w:val="44"/>
          <w:szCs w:val="44"/>
          <w:highlight w:val="none"/>
          <w:lang w:val="en-US" w:eastAsia="zh-CN"/>
        </w:rPr>
        <w:t xml:space="preserve"> </w:t>
      </w:r>
      <w:r>
        <w:rPr>
          <w:rFonts w:hint="eastAsia" w:ascii="仿宋_GB2312" w:hAnsi="Calibri" w:eastAsia="仿宋_GB2312" w:cs="Arial"/>
          <w:color w:val="auto"/>
          <w:sz w:val="36"/>
          <w:szCs w:val="36"/>
          <w:highlight w:val="none"/>
        </w:rPr>
        <w:t xml:space="preserve"> </w:t>
      </w:r>
    </w:p>
    <w:p w14:paraId="41B392FB">
      <w:pPr>
        <w:keepNext w:val="0"/>
        <w:keepLines w:val="0"/>
        <w:pageBreakBefore w:val="0"/>
        <w:widowControl w:val="0"/>
        <w:kinsoku/>
        <w:wordWrap/>
        <w:overflowPunct/>
        <w:topLinePunct w:val="0"/>
        <w:bidi w:val="0"/>
        <w:spacing w:line="560" w:lineRule="exac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中国石油化工股份有限公司中原油田内蒙古中康项目部 :</w:t>
      </w:r>
    </w:p>
    <w:p w14:paraId="57EA2ED2">
      <w:pPr>
        <w:keepNext w:val="0"/>
        <w:keepLines w:val="0"/>
        <w:pageBreakBefore w:val="0"/>
        <w:widowControl w:val="0"/>
        <w:kinsoku/>
        <w:wordWrap/>
        <w:overflowPunct/>
        <w:topLinePunct w:val="0"/>
        <w:autoSpaceDE w:val="0"/>
        <w:bidi w:val="0"/>
        <w:adjustRightInd w:val="0"/>
        <w:snapToGrid w:val="0"/>
        <w:spacing w:line="560" w:lineRule="exact"/>
        <w:ind w:firstLine="640" w:firstLineChars="200"/>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bCs/>
          <w:color w:val="auto"/>
          <w:sz w:val="32"/>
          <w:szCs w:val="32"/>
          <w:highlight w:val="none"/>
        </w:rPr>
        <w:t>你公司委托</w:t>
      </w:r>
      <w:r>
        <w:rPr>
          <w:rFonts w:hint="eastAsia" w:ascii="仿宋_GB2312" w:hAnsi="仿宋_GB2312" w:eastAsia="仿宋_GB2312" w:cs="仿宋_GB2312"/>
          <w:bCs/>
          <w:color w:val="auto"/>
          <w:sz w:val="32"/>
          <w:szCs w:val="32"/>
          <w:highlight w:val="none"/>
          <w:lang w:val="en-US" w:eastAsia="zh-CN"/>
        </w:rPr>
        <w:t>内蒙古绿和环保科技有限</w:t>
      </w:r>
      <w:r>
        <w:rPr>
          <w:rFonts w:hint="eastAsia" w:ascii="仿宋_GB2312" w:hAnsi="仿宋_GB2312" w:eastAsia="仿宋_GB2312" w:cs="仿宋_GB2312"/>
          <w:bCs/>
          <w:color w:val="auto"/>
          <w:sz w:val="32"/>
          <w:szCs w:val="32"/>
          <w:highlight w:val="none"/>
          <w:lang w:eastAsia="zh-CN"/>
        </w:rPr>
        <w:t>公司</w:t>
      </w:r>
      <w:r>
        <w:rPr>
          <w:rFonts w:hint="eastAsia" w:ascii="仿宋_GB2312" w:hAnsi="仿宋_GB2312" w:eastAsia="仿宋_GB2312" w:cs="仿宋_GB2312"/>
          <w:bCs/>
          <w:color w:val="auto"/>
          <w:sz w:val="32"/>
          <w:szCs w:val="32"/>
          <w:highlight w:val="none"/>
        </w:rPr>
        <w:t>编制的《中康37井探井勘探项目</w:t>
      </w:r>
      <w:r>
        <w:rPr>
          <w:rFonts w:hint="eastAsia" w:ascii="仿宋_GB2312" w:hAnsi="仿宋_GB2312" w:eastAsia="仿宋_GB2312" w:cs="仿宋_GB2312"/>
          <w:color w:val="auto"/>
          <w:sz w:val="32"/>
          <w:szCs w:val="32"/>
          <w:highlight w:val="none"/>
        </w:rPr>
        <w:t>》环境影响报告表</w:t>
      </w:r>
      <w:r>
        <w:rPr>
          <w:rFonts w:hint="eastAsia" w:ascii="仿宋_GB2312" w:hAnsi="仿宋_GB2312" w:eastAsia="仿宋_GB2312" w:cs="仿宋_GB2312"/>
          <w:color w:val="auto"/>
          <w:sz w:val="32"/>
          <w:szCs w:val="32"/>
          <w:highlight w:val="none"/>
          <w:lang w:val="en-US" w:eastAsia="zh-CN"/>
        </w:rPr>
        <w:t>已</w:t>
      </w:r>
      <w:r>
        <w:rPr>
          <w:rFonts w:hint="eastAsia" w:ascii="仿宋_GB2312" w:hAnsi="仿宋_GB2312" w:eastAsia="仿宋_GB2312" w:cs="仿宋_GB2312"/>
          <w:color w:val="auto"/>
          <w:sz w:val="32"/>
          <w:szCs w:val="32"/>
          <w:highlight w:val="none"/>
        </w:rPr>
        <w:t>收悉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依据《锡林郭勒盟生态环境局关于委托实施行政许可事项的通知》（锡署环字〔2021〕41号），现批复如下</w:t>
      </w:r>
      <w:r>
        <w:rPr>
          <w:rFonts w:hint="eastAsia" w:ascii="仿宋_GB2312" w:hAnsi="仿宋_GB2312" w:eastAsia="仿宋_GB2312" w:cs="仿宋_GB2312"/>
          <w:color w:val="auto"/>
          <w:sz w:val="32"/>
          <w:szCs w:val="32"/>
          <w:highlight w:val="none"/>
          <w:lang w:eastAsia="zh-CN"/>
        </w:rPr>
        <w:t>：</w:t>
      </w:r>
    </w:p>
    <w:p w14:paraId="7CD7E6E3">
      <w:pPr>
        <w:keepNext w:val="0"/>
        <w:keepLines w:val="0"/>
        <w:pageBreakBefore w:val="0"/>
        <w:widowControl w:val="0"/>
        <w:kinsoku/>
        <w:wordWrap/>
        <w:overflowPunct/>
        <w:topLinePunct w:val="0"/>
        <w:autoSpaceDE w:val="0"/>
        <w:autoSpaceDN/>
        <w:bidi w:val="0"/>
        <w:adjustRightInd w:val="0"/>
        <w:snapToGrid w:val="0"/>
        <w:spacing w:line="560" w:lineRule="exact"/>
        <w:ind w:firstLine="640" w:firstLineChars="200"/>
        <w:textAlignment w:val="auto"/>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一、建设项目基本情况</w:t>
      </w:r>
    </w:p>
    <w:p w14:paraId="29F97803">
      <w:pPr>
        <w:keepNext w:val="0"/>
        <w:keepLines w:val="0"/>
        <w:pageBreakBefore w:val="0"/>
        <w:widowControl w:val="0"/>
        <w:kinsoku/>
        <w:wordWrap/>
        <w:overflowPunct/>
        <w:topLinePunct w:val="0"/>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本项目位于内蒙古自治区锡林郭勒盟东乌珠穆沁旗嘎海乐苏木额仁宝拉格嘎查，地理坐标</w:t>
      </w:r>
      <w:r>
        <w:rPr>
          <w:rFonts w:hint="eastAsia" w:ascii="仿宋_GB2312" w:hAnsi="仿宋_GB2312" w:eastAsia="仿宋_GB2312" w:cs="仿宋_GB2312"/>
          <w:color w:val="auto"/>
          <w:sz w:val="32"/>
          <w:szCs w:val="32"/>
          <w:highlight w:val="none"/>
          <w:lang w:val="en-US" w:eastAsia="zh-CN"/>
        </w:rPr>
        <w:t>为东经：117°45′22.390″，北纬：46°22′9.840″</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属于</w:t>
      </w:r>
      <w:r>
        <w:rPr>
          <w:rFonts w:hint="eastAsia" w:ascii="仿宋_GB2312" w:hAnsi="仿宋_GB2312" w:eastAsia="仿宋_GB2312" w:cs="仿宋_GB2312"/>
          <w:color w:val="auto"/>
          <w:sz w:val="32"/>
          <w:szCs w:val="32"/>
          <w:highlight w:val="none"/>
          <w:lang w:val="en-US" w:eastAsia="zh-CN"/>
        </w:rPr>
        <w:t>新建</w:t>
      </w:r>
      <w:r>
        <w:rPr>
          <w:rFonts w:hint="eastAsia" w:ascii="仿宋_GB2312" w:hAnsi="仿宋_GB2312" w:eastAsia="仿宋_GB2312" w:cs="仿宋_GB2312"/>
          <w:color w:val="auto"/>
          <w:sz w:val="32"/>
          <w:szCs w:val="32"/>
          <w:highlight w:val="none"/>
        </w:rPr>
        <w:t>项目</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拟建探井一口、采用二开放式钻井，井深3000m，钻孔直径0.393m，</w:t>
      </w:r>
      <w:r>
        <w:rPr>
          <w:rFonts w:hint="eastAsia" w:ascii="仿宋_GB2312" w:hAnsi="仿宋_GB2312" w:eastAsia="仿宋_GB2312" w:cs="仿宋_GB2312"/>
          <w:color w:val="auto"/>
          <w:sz w:val="32"/>
          <w:szCs w:val="32"/>
          <w:highlight w:val="none"/>
        </w:rPr>
        <w:t>总占地</w:t>
      </w:r>
      <w:r>
        <w:rPr>
          <w:rFonts w:hint="eastAsia" w:ascii="仿宋_GB2312" w:hAnsi="仿宋_GB2312" w:eastAsia="仿宋_GB2312" w:cs="仿宋_GB2312"/>
          <w:color w:val="auto"/>
          <w:sz w:val="32"/>
          <w:szCs w:val="32"/>
          <w:highlight w:val="none"/>
          <w:lang w:val="en-US" w:eastAsia="zh-CN"/>
        </w:rPr>
        <w:t>面积为9414.8</w:t>
      </w:r>
      <w:r>
        <w:rPr>
          <w:rFonts w:hint="eastAsia" w:ascii="仿宋_GB2312" w:hAnsi="仿宋_GB2312" w:eastAsia="仿宋_GB2312" w:cs="仿宋_GB2312"/>
          <w:color w:val="auto"/>
          <w:sz w:val="32"/>
          <w:szCs w:val="32"/>
          <w:highlight w:val="none"/>
        </w:rPr>
        <w:t>m</w:t>
      </w:r>
      <w:r>
        <w:rPr>
          <w:rFonts w:hint="eastAsia" w:ascii="仿宋_GB2312" w:hAnsi="仿宋_GB2312" w:eastAsia="仿宋_GB2312" w:cs="仿宋_GB2312"/>
          <w:color w:val="auto"/>
          <w:sz w:val="32"/>
          <w:szCs w:val="32"/>
          <w:highlight w:val="none"/>
          <w:vertAlign w:val="superscript"/>
        </w:rPr>
        <w:t>2</w:t>
      </w:r>
      <w:r>
        <w:rPr>
          <w:rFonts w:hint="eastAsia" w:ascii="仿宋_GB2312" w:hAnsi="仿宋_GB2312" w:eastAsia="仿宋_GB2312" w:cs="仿宋_GB2312"/>
          <w:color w:val="auto"/>
          <w:sz w:val="32"/>
          <w:szCs w:val="32"/>
          <w:highlight w:val="none"/>
          <w:lang w:val="en-US" w:eastAsia="zh-CN"/>
        </w:rPr>
        <w:t>。主体工程为钻前工程（井场作业面积4420</w:t>
      </w:r>
      <w:r>
        <w:rPr>
          <w:rFonts w:hint="eastAsia" w:ascii="仿宋_GB2312" w:hAnsi="仿宋_GB2312" w:eastAsia="仿宋_GB2312" w:cs="仿宋_GB2312"/>
          <w:color w:val="auto"/>
          <w:sz w:val="32"/>
          <w:szCs w:val="32"/>
          <w:highlight w:val="none"/>
        </w:rPr>
        <w:t>m</w:t>
      </w:r>
      <w:r>
        <w:rPr>
          <w:rFonts w:hint="eastAsia" w:ascii="仿宋_GB2312" w:hAnsi="仿宋_GB2312" w:eastAsia="仿宋_GB2312" w:cs="仿宋_GB2312"/>
          <w:color w:val="auto"/>
          <w:sz w:val="32"/>
          <w:szCs w:val="32"/>
          <w:highlight w:val="none"/>
          <w:vertAlign w:val="superscript"/>
        </w:rPr>
        <w:t>2</w:t>
      </w:r>
      <w:r>
        <w:rPr>
          <w:rFonts w:hint="eastAsia" w:ascii="仿宋_GB2312" w:hAnsi="仿宋_GB2312" w:eastAsia="仿宋_GB2312" w:cs="仿宋_GB2312"/>
          <w:color w:val="auto"/>
          <w:sz w:val="32"/>
          <w:szCs w:val="32"/>
          <w:highlight w:val="none"/>
          <w:lang w:val="en-US" w:eastAsia="zh-CN"/>
        </w:rPr>
        <w:t>,新建泥浆池一座容积为393.75</w:t>
      </w:r>
      <w:r>
        <w:rPr>
          <w:rFonts w:hint="eastAsia" w:ascii="仿宋_GB2312" w:hAnsi="仿宋_GB2312" w:eastAsia="仿宋_GB2312" w:cs="仿宋_GB2312"/>
          <w:color w:val="auto"/>
          <w:sz w:val="32"/>
          <w:szCs w:val="32"/>
          <w:highlight w:val="none"/>
        </w:rPr>
        <w:t>m</w:t>
      </w:r>
      <w:r>
        <w:rPr>
          <w:rFonts w:hint="eastAsia" w:ascii="仿宋_GB2312" w:hAnsi="仿宋_GB2312" w:eastAsia="仿宋_GB2312" w:cs="仿宋_GB2312"/>
          <w:color w:val="auto"/>
          <w:sz w:val="32"/>
          <w:szCs w:val="32"/>
          <w:highlight w:val="none"/>
          <w:vertAlign w:val="superscript"/>
          <w:lang w:val="en-US" w:eastAsia="zh-CN"/>
        </w:rPr>
        <w:t>3</w:t>
      </w:r>
      <w:r>
        <w:rPr>
          <w:rFonts w:hint="eastAsia" w:ascii="仿宋_GB2312" w:hAnsi="仿宋_GB2312" w:eastAsia="仿宋_GB2312" w:cs="仿宋_GB2312"/>
          <w:color w:val="auto"/>
          <w:sz w:val="32"/>
          <w:szCs w:val="32"/>
          <w:highlight w:val="none"/>
          <w:lang w:val="en-US" w:eastAsia="zh-CN"/>
        </w:rPr>
        <w:t>）、钻井工程、试油工程、钻后工程；辅助工程为钻井液配制、钻井液循环罐、钻井测定装置、钻井监控装置；储运工程为钻井、固井材料库，储油罐，污水储罐；公用工程为施工营地（面积1134</w:t>
      </w:r>
      <w:r>
        <w:rPr>
          <w:rFonts w:hint="eastAsia" w:ascii="仿宋_GB2312" w:hAnsi="仿宋_GB2312" w:eastAsia="仿宋_GB2312" w:cs="仿宋_GB2312"/>
          <w:color w:val="auto"/>
          <w:sz w:val="32"/>
          <w:szCs w:val="32"/>
          <w:highlight w:val="none"/>
        </w:rPr>
        <w:t>m</w:t>
      </w:r>
      <w:r>
        <w:rPr>
          <w:rFonts w:hint="eastAsia" w:ascii="仿宋_GB2312" w:hAnsi="仿宋_GB2312" w:eastAsia="仿宋_GB2312" w:cs="仿宋_GB2312"/>
          <w:color w:val="auto"/>
          <w:sz w:val="32"/>
          <w:szCs w:val="32"/>
          <w:highlight w:val="none"/>
          <w:vertAlign w:val="superscript"/>
        </w:rPr>
        <w:t>2</w:t>
      </w:r>
      <w:r>
        <w:rPr>
          <w:rFonts w:hint="eastAsia" w:ascii="仿宋_GB2312" w:hAnsi="仿宋_GB2312" w:eastAsia="仿宋_GB2312" w:cs="仿宋_GB2312"/>
          <w:color w:val="auto"/>
          <w:sz w:val="32"/>
          <w:szCs w:val="32"/>
          <w:highlight w:val="none"/>
          <w:lang w:val="en-US" w:eastAsia="zh-CN"/>
        </w:rPr>
        <w:t>）、供电工程、供水工程、进场道路。</w:t>
      </w:r>
    </w:p>
    <w:p w14:paraId="19C55271">
      <w:pPr>
        <w:keepNext w:val="0"/>
        <w:keepLines w:val="0"/>
        <w:pageBreakBefore w:val="0"/>
        <w:widowControl w:val="0"/>
        <w:kinsoku/>
        <w:wordWrap/>
        <w:overflowPunct/>
        <w:topLinePunct w:val="0"/>
        <w:autoSpaceDN/>
        <w:bidi w:val="0"/>
        <w:spacing w:before="60" w:beforeLines="25" w:line="560" w:lineRule="exact"/>
        <w:ind w:firstLine="640" w:firstLineChars="200"/>
        <w:textAlignment w:val="auto"/>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总投</w:t>
      </w:r>
      <w:r>
        <w:rPr>
          <w:rFonts w:hint="eastAsia" w:ascii="仿宋_GB2312" w:hAnsi="仿宋_GB2312" w:eastAsia="仿宋_GB2312" w:cs="仿宋_GB2312"/>
          <w:bCs/>
          <w:color w:val="auto"/>
          <w:sz w:val="32"/>
          <w:szCs w:val="32"/>
          <w:highlight w:val="none"/>
          <w:lang w:val="en-US" w:eastAsia="zh-CN"/>
        </w:rPr>
        <w:t>520</w:t>
      </w:r>
      <w:r>
        <w:rPr>
          <w:rFonts w:hint="eastAsia" w:ascii="仿宋_GB2312" w:hAnsi="仿宋_GB2312" w:eastAsia="仿宋_GB2312" w:cs="仿宋_GB2312"/>
          <w:bCs/>
          <w:color w:val="auto"/>
          <w:sz w:val="32"/>
          <w:szCs w:val="32"/>
          <w:highlight w:val="none"/>
        </w:rPr>
        <w:t>万元，环保投资</w:t>
      </w:r>
      <w:r>
        <w:rPr>
          <w:rFonts w:hint="eastAsia" w:ascii="仿宋_GB2312" w:hAnsi="仿宋_GB2312" w:eastAsia="仿宋_GB2312" w:cs="仿宋_GB2312"/>
          <w:color w:val="auto"/>
          <w:sz w:val="32"/>
          <w:szCs w:val="32"/>
          <w:highlight w:val="none"/>
          <w:lang w:val="en-US" w:eastAsia="zh-CN"/>
        </w:rPr>
        <w:t>33</w:t>
      </w:r>
      <w:r>
        <w:rPr>
          <w:rFonts w:hint="eastAsia" w:ascii="仿宋_GB2312" w:hAnsi="仿宋_GB2312" w:eastAsia="仿宋_GB2312" w:cs="仿宋_GB2312"/>
          <w:bCs/>
          <w:color w:val="auto"/>
          <w:sz w:val="32"/>
          <w:szCs w:val="32"/>
          <w:highlight w:val="none"/>
        </w:rPr>
        <w:t>万元</w:t>
      </w:r>
      <w:r>
        <w:rPr>
          <w:rFonts w:hint="eastAsia" w:ascii="仿宋_GB2312" w:hAnsi="仿宋_GB2312" w:eastAsia="仿宋_GB2312" w:cs="仿宋_GB2312"/>
          <w:bCs/>
          <w:color w:val="auto"/>
          <w:sz w:val="32"/>
          <w:szCs w:val="32"/>
          <w:highlight w:val="none"/>
          <w:lang w:eastAsia="zh-CN"/>
        </w:rPr>
        <w:t>，</w:t>
      </w:r>
      <w:r>
        <w:rPr>
          <w:rFonts w:hint="eastAsia" w:ascii="仿宋_GB2312" w:hAnsi="仿宋_GB2312" w:eastAsia="仿宋_GB2312" w:cs="仿宋_GB2312"/>
          <w:bCs/>
          <w:color w:val="auto"/>
          <w:sz w:val="32"/>
          <w:szCs w:val="32"/>
          <w:highlight w:val="none"/>
        </w:rPr>
        <w:t>占总投资的</w:t>
      </w:r>
      <w:r>
        <w:rPr>
          <w:rFonts w:hint="eastAsia" w:ascii="仿宋_GB2312" w:hAnsi="仿宋_GB2312" w:eastAsia="仿宋_GB2312" w:cs="仿宋_GB2312"/>
          <w:color w:val="auto"/>
          <w:sz w:val="32"/>
          <w:szCs w:val="32"/>
          <w:highlight w:val="none"/>
          <w:lang w:val="en-US" w:eastAsia="zh-CN"/>
        </w:rPr>
        <w:t>6.35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bCs/>
          <w:color w:val="auto"/>
          <w:sz w:val="32"/>
          <w:szCs w:val="32"/>
          <w:highlight w:val="none"/>
        </w:rPr>
        <w:t>。</w:t>
      </w:r>
    </w:p>
    <w:p w14:paraId="4DA6FEB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GB" w:eastAsia="zh-CN"/>
        </w:rPr>
        <w:t>依</w:t>
      </w:r>
      <w:r>
        <w:rPr>
          <w:rFonts w:hint="eastAsia" w:ascii="仿宋_GB2312" w:hAnsi="仿宋_GB2312" w:eastAsia="仿宋_GB2312" w:cs="仿宋_GB2312"/>
          <w:color w:val="auto"/>
          <w:sz w:val="32"/>
          <w:szCs w:val="32"/>
          <w:highlight w:val="none"/>
          <w:lang w:val="en-GB"/>
        </w:rPr>
        <w:t>据《产业结构调整指导目录》(20</w:t>
      </w:r>
      <w:r>
        <w:rPr>
          <w:rFonts w:hint="eastAsia" w:ascii="仿宋_GB2312" w:hAnsi="仿宋_GB2312" w:eastAsia="仿宋_GB2312" w:cs="仿宋_GB2312"/>
          <w:color w:val="auto"/>
          <w:sz w:val="32"/>
          <w:szCs w:val="32"/>
          <w:highlight w:val="none"/>
          <w:lang w:val="en-US" w:eastAsia="zh-CN"/>
        </w:rPr>
        <w:t>24</w:t>
      </w:r>
      <w:r>
        <w:rPr>
          <w:rFonts w:hint="eastAsia" w:ascii="仿宋_GB2312" w:hAnsi="仿宋_GB2312" w:eastAsia="仿宋_GB2312" w:cs="仿宋_GB2312"/>
          <w:color w:val="auto"/>
          <w:sz w:val="32"/>
          <w:szCs w:val="32"/>
          <w:highlight w:val="none"/>
          <w:lang w:val="en-GB"/>
        </w:rPr>
        <w:t>年本)，本项目属于</w:t>
      </w:r>
      <w:r>
        <w:rPr>
          <w:rFonts w:hint="eastAsia" w:ascii="仿宋_GB2312" w:hAnsi="仿宋_GB2312" w:eastAsia="仿宋_GB2312" w:cs="仿宋_GB2312"/>
          <w:color w:val="auto"/>
          <w:sz w:val="32"/>
          <w:szCs w:val="32"/>
          <w:highlight w:val="none"/>
          <w:lang w:val="en-US" w:eastAsia="zh-CN"/>
        </w:rPr>
        <w:t>鼓励类建设项目。</w:t>
      </w:r>
      <w:r>
        <w:rPr>
          <w:rFonts w:hint="eastAsia" w:ascii="仿宋_GB2312" w:hAnsi="仿宋_GB2312" w:eastAsia="仿宋_GB2312" w:cs="仿宋_GB2312"/>
          <w:color w:val="auto"/>
          <w:sz w:val="32"/>
          <w:szCs w:val="32"/>
          <w:highlight w:val="none"/>
          <w:lang w:val="en-GB" w:eastAsia="zh-CN"/>
        </w:rPr>
        <w:t>符合</w:t>
      </w:r>
      <w:r>
        <w:rPr>
          <w:rFonts w:hint="eastAsia" w:ascii="仿宋_GB2312" w:hAnsi="仿宋_GB2312" w:eastAsia="仿宋_GB2312" w:cs="仿宋_GB2312"/>
          <w:color w:val="auto"/>
          <w:sz w:val="32"/>
          <w:szCs w:val="32"/>
          <w:highlight w:val="none"/>
          <w:lang w:val="en-US" w:eastAsia="zh-CN"/>
        </w:rPr>
        <w:t>国家相关法律法规，符合</w:t>
      </w:r>
      <w:r>
        <w:rPr>
          <w:rFonts w:hint="eastAsia" w:ascii="仿宋_GB2312" w:hAnsi="仿宋_GB2312" w:eastAsia="仿宋_GB2312" w:cs="仿宋_GB2312"/>
          <w:color w:val="auto"/>
          <w:sz w:val="32"/>
          <w:szCs w:val="32"/>
          <w:highlight w:val="none"/>
          <w:lang w:val="en-GB" w:eastAsia="zh-CN"/>
        </w:rPr>
        <w:t>国家产业政策要求</w:t>
      </w:r>
      <w:r>
        <w:rPr>
          <w:rFonts w:hint="eastAsia" w:ascii="仿宋_GB2312" w:hAnsi="仿宋_GB2312" w:eastAsia="仿宋_GB2312" w:cs="仿宋_GB2312"/>
          <w:color w:val="auto"/>
          <w:sz w:val="32"/>
          <w:szCs w:val="32"/>
          <w:highlight w:val="none"/>
          <w:lang w:val="en-US" w:eastAsia="zh-CN"/>
        </w:rPr>
        <w:t>及我盟“三线一单”管控要求。</w:t>
      </w:r>
    </w:p>
    <w:p w14:paraId="7D2B08F9">
      <w:pPr>
        <w:pStyle w:val="13"/>
        <w:keepNext w:val="0"/>
        <w:keepLines w:val="0"/>
        <w:pageBreakBefore w:val="0"/>
        <w:widowControl w:val="0"/>
        <w:kinsoku/>
        <w:wordWrap/>
        <w:overflowPunct/>
        <w:topLinePunct w:val="0"/>
        <w:autoSpaceDE/>
        <w:autoSpaceDN/>
        <w:bidi w:val="0"/>
        <w:adjustRightInd/>
        <w:snapToGrid w:val="0"/>
        <w:spacing w:line="560" w:lineRule="exact"/>
        <w:ind w:firstLine="480" w:firstLineChars="15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 xml:space="preserve"> 在全面落实《</w:t>
      </w:r>
      <w:r>
        <w:rPr>
          <w:rFonts w:hint="eastAsia" w:ascii="仿宋_GB2312" w:hAnsi="仿宋_GB2312" w:eastAsia="仿宋_GB2312" w:cs="仿宋_GB2312"/>
          <w:b w:val="0"/>
          <w:bCs/>
          <w:color w:val="auto"/>
          <w:sz w:val="32"/>
          <w:szCs w:val="32"/>
          <w:highlight w:val="none"/>
          <w:u w:val="none"/>
          <w:lang w:val="en-US" w:eastAsia="zh-CN"/>
        </w:rPr>
        <w:t>报告表</w:t>
      </w:r>
      <w:r>
        <w:rPr>
          <w:rFonts w:hint="eastAsia" w:ascii="仿宋_GB2312" w:hAnsi="仿宋_GB2312" w:eastAsia="仿宋_GB2312" w:cs="仿宋_GB2312"/>
          <w:color w:val="auto"/>
          <w:sz w:val="32"/>
          <w:szCs w:val="32"/>
          <w:highlight w:val="none"/>
          <w:lang w:val="en-US" w:eastAsia="zh-CN"/>
        </w:rPr>
        <w:t>》中提出的各项污染防治措施后，可使环境污染和生态破坏控制在允许范围内，从生态环境保护的角度分析，该项目建设可行。</w:t>
      </w:r>
    </w:p>
    <w:p w14:paraId="1E5F0D37">
      <w:pPr>
        <w:keepNext w:val="0"/>
        <w:keepLines w:val="0"/>
        <w:pageBreakBefore w:val="0"/>
        <w:widowControl w:val="0"/>
        <w:kinsoku/>
        <w:wordWrap/>
        <w:overflowPunct/>
        <w:topLinePunct w:val="0"/>
        <w:bidi w:val="0"/>
        <w:spacing w:line="560" w:lineRule="exact"/>
        <w:ind w:firstLine="640" w:firstLineChars="200"/>
        <w:rPr>
          <w:rFonts w:hint="eastAsia" w:ascii="黑体" w:hAnsi="黑体" w:eastAsia="黑体" w:cs="Arial"/>
          <w:color w:val="auto"/>
          <w:sz w:val="32"/>
          <w:szCs w:val="32"/>
          <w:highlight w:val="none"/>
          <w:lang w:eastAsia="zh-CN"/>
        </w:rPr>
      </w:pPr>
      <w:r>
        <w:rPr>
          <w:rFonts w:hint="eastAsia" w:ascii="黑体" w:hAnsi="黑体" w:eastAsia="黑体" w:cs="Arial"/>
          <w:color w:val="auto"/>
          <w:sz w:val="32"/>
          <w:szCs w:val="32"/>
          <w:highlight w:val="none"/>
        </w:rPr>
        <w:t>二、项目建设</w:t>
      </w:r>
      <w:r>
        <w:rPr>
          <w:rFonts w:hint="eastAsia" w:ascii="黑体" w:hAnsi="黑体" w:eastAsia="黑体" w:cs="Arial"/>
          <w:color w:val="auto"/>
          <w:sz w:val="32"/>
          <w:szCs w:val="32"/>
          <w:highlight w:val="none"/>
          <w:lang w:val="en-US" w:eastAsia="zh-CN"/>
        </w:rPr>
        <w:t>过程</w:t>
      </w:r>
      <w:bookmarkStart w:id="0" w:name="_GoBack"/>
      <w:bookmarkEnd w:id="0"/>
      <w:r>
        <w:rPr>
          <w:rFonts w:hint="eastAsia" w:ascii="黑体" w:hAnsi="黑体" w:eastAsia="黑体" w:cs="Arial"/>
          <w:color w:val="auto"/>
          <w:sz w:val="32"/>
          <w:szCs w:val="32"/>
          <w:highlight w:val="none"/>
          <w:lang w:val="en-US" w:eastAsia="zh-CN"/>
        </w:rPr>
        <w:t>中的相关责任</w:t>
      </w:r>
    </w:p>
    <w:p w14:paraId="04AC60C5">
      <w:pPr>
        <w:keepNext w:val="0"/>
        <w:keepLines w:val="0"/>
        <w:pageBreakBefore w:val="0"/>
        <w:widowControl w:val="0"/>
        <w:kinsoku/>
        <w:wordWrap/>
        <w:overflowPunct/>
        <w:topLinePunct w:val="0"/>
        <w:autoSpaceDE w:val="0"/>
        <w:autoSpaceDN w:val="0"/>
        <w:bidi w:val="0"/>
        <w:adjustRightInd w:val="0"/>
        <w:spacing w:line="560" w:lineRule="exact"/>
        <w:ind w:firstLine="643" w:firstLineChars="200"/>
        <w:rPr>
          <w:rFonts w:hint="eastAsia" w:ascii="楷体_GB2312" w:hAnsi="Calibri" w:eastAsia="楷体_GB2312" w:cs="Arial"/>
          <w:b/>
          <w:bCs/>
          <w:color w:val="auto"/>
          <w:sz w:val="32"/>
          <w:szCs w:val="32"/>
          <w:highlight w:val="none"/>
        </w:rPr>
      </w:pPr>
      <w:r>
        <w:rPr>
          <w:rFonts w:hint="eastAsia" w:ascii="楷体_GB2312" w:hAnsi="Calibri" w:eastAsia="楷体_GB2312" w:cs="Arial"/>
          <w:b/>
          <w:bCs/>
          <w:color w:val="auto"/>
          <w:sz w:val="32"/>
          <w:szCs w:val="32"/>
          <w:highlight w:val="none"/>
        </w:rPr>
        <w:t>（一）废气方面。</w:t>
      </w:r>
    </w:p>
    <w:p w14:paraId="7453DB6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产生的施工扬尘</w:t>
      </w:r>
      <w:r>
        <w:rPr>
          <w:rFonts w:hint="eastAsia" w:ascii="仿宋_GB2312" w:hAnsi="仿宋_GB2312" w:eastAsia="仿宋_GB2312" w:cs="仿宋_GB2312"/>
          <w:sz w:val="32"/>
          <w:szCs w:val="32"/>
          <w:highlight w:val="none"/>
        </w:rPr>
        <w:t>采取洒水、运输车辆减速慢行等措施</w:t>
      </w:r>
      <w:r>
        <w:rPr>
          <w:rFonts w:hint="eastAsia" w:ascii="仿宋_GB2312" w:hAnsi="仿宋_GB2312" w:eastAsia="仿宋_GB2312" w:cs="仿宋_GB2312"/>
          <w:sz w:val="32"/>
          <w:szCs w:val="32"/>
          <w:highlight w:val="none"/>
          <w:lang w:val="en-US" w:eastAsia="zh-CN"/>
        </w:rPr>
        <w:t>及时</w:t>
      </w:r>
      <w:r>
        <w:rPr>
          <w:rFonts w:hint="eastAsia" w:ascii="仿宋_GB2312" w:hAnsi="仿宋_GB2312" w:eastAsia="仿宋_GB2312" w:cs="仿宋_GB2312"/>
          <w:sz w:val="32"/>
          <w:szCs w:val="32"/>
          <w:highlight w:val="none"/>
        </w:rPr>
        <w:t>抑制</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对井口无组织废气</w:t>
      </w:r>
      <w:r>
        <w:rPr>
          <w:rFonts w:hint="eastAsia" w:ascii="仿宋_GB2312" w:hAnsi="仿宋_GB2312" w:eastAsia="仿宋_GB2312" w:cs="仿宋_GB2312"/>
          <w:sz w:val="32"/>
          <w:szCs w:val="32"/>
          <w:highlight w:val="none"/>
        </w:rPr>
        <w:t>采取</w:t>
      </w:r>
      <w:r>
        <w:rPr>
          <w:rFonts w:hint="eastAsia" w:ascii="仿宋_GB2312" w:hAnsi="仿宋_GB2312" w:eastAsia="仿宋_GB2312" w:cs="仿宋_GB2312"/>
          <w:bCs/>
          <w:sz w:val="32"/>
          <w:szCs w:val="32"/>
          <w:highlight w:val="none"/>
        </w:rPr>
        <w:t>井口封闭、</w:t>
      </w:r>
      <w:r>
        <w:rPr>
          <w:rFonts w:hint="eastAsia" w:ascii="仿宋_GB2312" w:hAnsi="仿宋_GB2312" w:eastAsia="仿宋_GB2312" w:cs="仿宋_GB2312"/>
          <w:sz w:val="32"/>
          <w:szCs w:val="32"/>
          <w:highlight w:val="none"/>
        </w:rPr>
        <w:t>浸没式装车、单井罐高架防腐、环密技术等措施防止烃类泄露</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燃油设备不得超负荷运行。</w:t>
      </w:r>
    </w:p>
    <w:p w14:paraId="443625ED">
      <w:pPr>
        <w:keepNext w:val="0"/>
        <w:keepLines w:val="0"/>
        <w:pageBreakBefore w:val="0"/>
        <w:widowControl w:val="0"/>
        <w:kinsoku/>
        <w:wordWrap/>
        <w:overflowPunct/>
        <w:topLinePunct w:val="0"/>
        <w:autoSpaceDE w:val="0"/>
        <w:autoSpaceDN w:val="0"/>
        <w:bidi w:val="0"/>
        <w:adjustRightInd w:val="0"/>
        <w:spacing w:line="560" w:lineRule="exact"/>
        <w:ind w:firstLine="643" w:firstLineChars="200"/>
        <w:rPr>
          <w:rFonts w:hint="eastAsia" w:ascii="楷体_GB2312" w:hAnsi="Calibri" w:eastAsia="楷体_GB2312" w:cs="Arial"/>
          <w:b/>
          <w:bCs/>
          <w:color w:val="auto"/>
          <w:sz w:val="32"/>
          <w:szCs w:val="32"/>
          <w:highlight w:val="none"/>
        </w:rPr>
      </w:pPr>
      <w:r>
        <w:rPr>
          <w:rFonts w:hint="eastAsia" w:ascii="楷体_GB2312" w:hAnsi="Calibri" w:eastAsia="楷体_GB2312" w:cs="Arial"/>
          <w:b/>
          <w:bCs/>
          <w:color w:val="auto"/>
          <w:sz w:val="32"/>
          <w:szCs w:val="32"/>
          <w:highlight w:val="none"/>
        </w:rPr>
        <w:t>（二）废水方面。</w:t>
      </w:r>
    </w:p>
    <w:p w14:paraId="7FE5ECAD">
      <w:pPr>
        <w:keepNext w:val="0"/>
        <w:keepLines w:val="0"/>
        <w:pageBreakBefore w:val="0"/>
        <w:widowControl w:val="0"/>
        <w:kinsoku/>
        <w:wordWrap/>
        <w:overflowPunct/>
        <w:topLinePunct w:val="0"/>
        <w:autoSpaceDE w:val="0"/>
        <w:autoSpaceDN w:val="0"/>
        <w:bidi w:val="0"/>
        <w:adjustRightInd w:val="0"/>
        <w:spacing w:line="560" w:lineRule="exact"/>
        <w:ind w:firstLine="640" w:firstLineChars="200"/>
        <w:textAlignment w:val="auto"/>
        <w:rPr>
          <w:rFonts w:hint="eastAsia" w:ascii="仿宋_GB2312" w:hAnsi="Calibri" w:eastAsia="仿宋_GB2312" w:cs="Arial"/>
          <w:color w:val="auto"/>
          <w:sz w:val="32"/>
          <w:szCs w:val="32"/>
          <w:highlight w:val="cyan"/>
          <w:lang w:eastAsia="zh-CN"/>
        </w:rPr>
      </w:pPr>
      <w:r>
        <w:rPr>
          <w:rFonts w:hint="eastAsia" w:ascii="仿宋_GB2312" w:hAnsi="Calibri" w:eastAsia="仿宋_GB2312" w:cs="Arial"/>
          <w:bCs/>
          <w:color w:val="auto"/>
          <w:sz w:val="32"/>
          <w:szCs w:val="32"/>
          <w:highlight w:val="none"/>
        </w:rPr>
        <w:t>生活污水集中收集后</w:t>
      </w:r>
      <w:r>
        <w:rPr>
          <w:rFonts w:hint="eastAsia" w:ascii="仿宋_GB2312" w:hAnsi="Calibri" w:eastAsia="仿宋_GB2312" w:cs="Arial"/>
          <w:bCs/>
          <w:color w:val="auto"/>
          <w:sz w:val="32"/>
          <w:szCs w:val="32"/>
          <w:highlight w:val="none"/>
          <w:lang w:val="en-US" w:eastAsia="zh-CN"/>
        </w:rPr>
        <w:t>依托</w:t>
      </w:r>
      <w:r>
        <w:rPr>
          <w:rFonts w:hint="eastAsia" w:ascii="仿宋_GB2312" w:hAnsi="Calibri" w:eastAsia="仿宋_GB2312" w:cs="Arial"/>
          <w:bCs/>
          <w:color w:val="auto"/>
          <w:sz w:val="32"/>
          <w:szCs w:val="32"/>
          <w:highlight w:val="none"/>
        </w:rPr>
        <w:t>中康联合站进行处理，严禁向外环境排放</w:t>
      </w:r>
      <w:r>
        <w:rPr>
          <w:rFonts w:hint="eastAsia" w:ascii="仿宋_GB2312" w:hAnsi="Calibri" w:eastAsia="仿宋_GB2312" w:cs="Arial"/>
          <w:bCs/>
          <w:color w:val="auto"/>
          <w:sz w:val="32"/>
          <w:szCs w:val="32"/>
          <w:highlight w:val="none"/>
          <w:lang w:val="en-US" w:eastAsia="zh-CN"/>
        </w:rPr>
        <w:t>;钻井废水、洗井废水、压裂废水经污水储罐暂存后运往中康联合站处理；凿钻产生的泥浆废水循环利用不得外排。</w:t>
      </w:r>
      <w:r>
        <w:rPr>
          <w:rFonts w:hint="eastAsia" w:ascii="仿宋_GB2312" w:hAnsi="仿宋_GB2312" w:eastAsia="仿宋_GB2312" w:cs="仿宋_GB2312"/>
          <w:color w:val="auto"/>
          <w:sz w:val="32"/>
          <w:szCs w:val="32"/>
          <w:highlight w:val="none"/>
          <w:lang w:val="en-US" w:eastAsia="zh-CN"/>
        </w:rPr>
        <w:t>严格落实报告表提出的泥浆池等各区域防渗要求。</w:t>
      </w:r>
    </w:p>
    <w:p w14:paraId="4AA15DE4">
      <w:pPr>
        <w:keepNext w:val="0"/>
        <w:keepLines w:val="0"/>
        <w:pageBreakBefore w:val="0"/>
        <w:widowControl w:val="0"/>
        <w:kinsoku/>
        <w:wordWrap/>
        <w:overflowPunct/>
        <w:topLinePunct w:val="0"/>
        <w:autoSpaceDE w:val="0"/>
        <w:autoSpaceDN w:val="0"/>
        <w:bidi w:val="0"/>
        <w:adjustRightInd w:val="0"/>
        <w:spacing w:line="560" w:lineRule="exact"/>
        <w:ind w:firstLine="643" w:firstLineChars="200"/>
        <w:rPr>
          <w:rFonts w:hint="eastAsia" w:ascii="楷体_GB2312" w:hAnsi="Calibri" w:eastAsia="楷体_GB2312" w:cs="Arial"/>
          <w:b/>
          <w:bCs/>
          <w:color w:val="auto"/>
          <w:kern w:val="0"/>
          <w:sz w:val="32"/>
          <w:szCs w:val="32"/>
          <w:highlight w:val="none"/>
          <w:lang w:eastAsia="zh-CN"/>
        </w:rPr>
      </w:pPr>
      <w:r>
        <w:rPr>
          <w:rFonts w:hint="eastAsia" w:ascii="楷体_GB2312" w:hAnsi="Calibri" w:eastAsia="楷体_GB2312" w:cs="Arial"/>
          <w:b/>
          <w:bCs/>
          <w:color w:val="auto"/>
          <w:kern w:val="0"/>
          <w:sz w:val="32"/>
          <w:szCs w:val="32"/>
          <w:highlight w:val="none"/>
        </w:rPr>
        <w:t>（三）噪声方面</w:t>
      </w:r>
      <w:r>
        <w:rPr>
          <w:rFonts w:hint="eastAsia" w:ascii="楷体_GB2312" w:hAnsi="Calibri" w:eastAsia="楷体_GB2312" w:cs="Arial"/>
          <w:b/>
          <w:bCs/>
          <w:color w:val="auto"/>
          <w:kern w:val="0"/>
          <w:sz w:val="32"/>
          <w:szCs w:val="32"/>
          <w:highlight w:val="none"/>
          <w:lang w:eastAsia="zh-CN"/>
        </w:rPr>
        <w:t>。</w:t>
      </w:r>
    </w:p>
    <w:p w14:paraId="370C9460">
      <w:pPr>
        <w:keepNext w:val="0"/>
        <w:keepLines w:val="0"/>
        <w:pageBreakBefore w:val="0"/>
        <w:widowControl w:val="0"/>
        <w:kinsoku/>
        <w:wordWrap/>
        <w:overflowPunct/>
        <w:topLinePunct w:val="0"/>
        <w:autoSpaceDE w:val="0"/>
        <w:autoSpaceDN w:val="0"/>
        <w:bidi w:val="0"/>
        <w:adjustRightInd w:val="0"/>
        <w:spacing w:line="560" w:lineRule="exact"/>
        <w:ind w:firstLine="640" w:firstLineChars="200"/>
        <w:jc w:val="both"/>
        <w:rPr>
          <w:rFonts w:hint="default" w:ascii="仿宋_GB2312" w:hAnsi="Calibri" w:eastAsia="仿宋_GB2312" w:cs="Arial"/>
          <w:color w:val="auto"/>
          <w:sz w:val="32"/>
          <w:szCs w:val="32"/>
          <w:highlight w:val="none"/>
          <w:lang w:val="en-US" w:eastAsia="zh-CN"/>
        </w:rPr>
      </w:pPr>
      <w:r>
        <w:rPr>
          <w:rFonts w:hint="eastAsia" w:ascii="仿宋_GB2312" w:hAnsi="Calibri" w:eastAsia="仿宋_GB2312" w:cs="Arial"/>
          <w:color w:val="auto"/>
          <w:sz w:val="32"/>
          <w:szCs w:val="32"/>
          <w:highlight w:val="none"/>
          <w:lang w:val="en-US" w:eastAsia="zh-CN"/>
        </w:rPr>
        <w:t>加强</w:t>
      </w:r>
      <w:r>
        <w:rPr>
          <w:rFonts w:hint="eastAsia" w:ascii="仿宋_GB2312" w:hAnsi="Calibri" w:eastAsia="仿宋_GB2312" w:cs="Arial"/>
          <w:color w:val="auto"/>
          <w:sz w:val="32"/>
          <w:szCs w:val="32"/>
          <w:highlight w:val="none"/>
        </w:rPr>
        <w:t>运输车辆</w:t>
      </w:r>
      <w:r>
        <w:rPr>
          <w:rFonts w:hint="eastAsia" w:ascii="仿宋_GB2312" w:hAnsi="Calibri" w:eastAsia="仿宋_GB2312" w:cs="Arial"/>
          <w:color w:val="auto"/>
          <w:sz w:val="32"/>
          <w:szCs w:val="32"/>
          <w:highlight w:val="none"/>
          <w:lang w:val="en-US" w:eastAsia="zh-CN"/>
        </w:rPr>
        <w:t>管理，采取减速慢行</w:t>
      </w:r>
      <w:r>
        <w:rPr>
          <w:rFonts w:hint="eastAsia" w:ascii="仿宋_GB2312" w:hAnsi="Calibri" w:eastAsia="仿宋_GB2312" w:cs="Arial"/>
          <w:color w:val="auto"/>
          <w:sz w:val="32"/>
          <w:szCs w:val="32"/>
          <w:highlight w:val="none"/>
        </w:rPr>
        <w:t>、禁止鸣笛等措施</w:t>
      </w:r>
      <w:r>
        <w:rPr>
          <w:rFonts w:hint="eastAsia" w:ascii="仿宋_GB2312" w:hAnsi="Calibri" w:eastAsia="仿宋_GB2312" w:cs="Arial"/>
          <w:color w:val="auto"/>
          <w:sz w:val="32"/>
          <w:szCs w:val="32"/>
          <w:highlight w:val="none"/>
          <w:lang w:eastAsia="zh-CN"/>
        </w:rPr>
        <w:t>；</w:t>
      </w:r>
      <w:r>
        <w:rPr>
          <w:rFonts w:hint="eastAsia" w:ascii="仿宋_GB2312" w:hAnsi="Calibri" w:eastAsia="仿宋_GB2312" w:cs="Arial"/>
          <w:color w:val="auto"/>
          <w:sz w:val="32"/>
          <w:szCs w:val="32"/>
          <w:highlight w:val="none"/>
          <w:lang w:val="en-US" w:eastAsia="zh-CN"/>
        </w:rPr>
        <w:t>生产设备合理布局，</w:t>
      </w:r>
      <w:r>
        <w:rPr>
          <w:rFonts w:hint="eastAsia" w:ascii="仿宋_GB2312" w:hAnsi="Calibri" w:eastAsia="仿宋_GB2312" w:cs="Arial"/>
          <w:color w:val="auto"/>
          <w:sz w:val="32"/>
          <w:szCs w:val="32"/>
          <w:highlight w:val="none"/>
        </w:rPr>
        <w:t>采取减振、降噪</w:t>
      </w:r>
      <w:r>
        <w:rPr>
          <w:rFonts w:hint="eastAsia" w:ascii="仿宋_GB2312" w:hAnsi="Calibri" w:eastAsia="仿宋_GB2312" w:cs="Arial"/>
          <w:color w:val="auto"/>
          <w:sz w:val="32"/>
          <w:szCs w:val="32"/>
          <w:highlight w:val="none"/>
          <w:lang w:val="en-US" w:eastAsia="zh-CN"/>
        </w:rPr>
        <w:t>等先进技术</w:t>
      </w:r>
      <w:r>
        <w:rPr>
          <w:rFonts w:hint="eastAsia" w:ascii="仿宋_GB2312" w:hAnsi="Calibri" w:eastAsia="仿宋_GB2312" w:cs="Arial"/>
          <w:color w:val="auto"/>
          <w:sz w:val="32"/>
          <w:szCs w:val="32"/>
          <w:highlight w:val="none"/>
        </w:rPr>
        <w:t>措施，</w:t>
      </w:r>
      <w:r>
        <w:rPr>
          <w:rFonts w:hint="eastAsia" w:ascii="仿宋_GB2312" w:hAnsi="Calibri" w:eastAsia="仿宋_GB2312" w:cs="Arial"/>
          <w:color w:val="auto"/>
          <w:sz w:val="32"/>
          <w:szCs w:val="32"/>
          <w:highlight w:val="none"/>
          <w:lang w:val="en-US" w:eastAsia="zh-CN"/>
        </w:rPr>
        <w:t>降低噪声污染，执行《建筑施工场界环境噪声排放标准》（GB12523-2011）。</w:t>
      </w:r>
    </w:p>
    <w:p w14:paraId="73A5E0FC">
      <w:pPr>
        <w:keepNext w:val="0"/>
        <w:keepLines w:val="0"/>
        <w:pageBreakBefore w:val="0"/>
        <w:widowControl w:val="0"/>
        <w:kinsoku/>
        <w:wordWrap/>
        <w:overflowPunct/>
        <w:topLinePunct w:val="0"/>
        <w:autoSpaceDE w:val="0"/>
        <w:autoSpaceDN w:val="0"/>
        <w:bidi w:val="0"/>
        <w:adjustRightInd w:val="0"/>
        <w:spacing w:line="560" w:lineRule="exact"/>
        <w:ind w:firstLine="643" w:firstLineChars="200"/>
        <w:rPr>
          <w:rFonts w:hint="eastAsia" w:ascii="楷体_GB2312" w:hAnsi="Calibri" w:eastAsia="楷体_GB2312" w:cs="Arial"/>
          <w:b/>
          <w:bCs/>
          <w:color w:val="auto"/>
          <w:sz w:val="32"/>
          <w:szCs w:val="32"/>
          <w:highlight w:val="none"/>
        </w:rPr>
      </w:pPr>
      <w:r>
        <w:rPr>
          <w:rFonts w:hint="eastAsia" w:ascii="楷体_GB2312" w:hAnsi="Calibri" w:eastAsia="楷体_GB2312" w:cs="Arial"/>
          <w:b/>
          <w:bCs/>
          <w:color w:val="auto"/>
          <w:sz w:val="32"/>
          <w:szCs w:val="32"/>
          <w:highlight w:val="none"/>
        </w:rPr>
        <w:t>（四）固废方面。</w:t>
      </w:r>
    </w:p>
    <w:p w14:paraId="59E43A6A">
      <w:pPr>
        <w:keepNext w:val="0"/>
        <w:keepLines w:val="0"/>
        <w:pageBreakBefore w:val="0"/>
        <w:widowControl w:val="0"/>
        <w:kinsoku/>
        <w:wordWrap/>
        <w:overflowPunct/>
        <w:topLinePunct w:val="0"/>
        <w:autoSpaceDE w:val="0"/>
        <w:autoSpaceDN w:val="0"/>
        <w:bidi w:val="0"/>
        <w:adjustRightIn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钻井</w:t>
      </w:r>
      <w:r>
        <w:rPr>
          <w:rFonts w:hint="eastAsia" w:ascii="仿宋_GB2312" w:hAnsi="仿宋_GB2312" w:eastAsia="仿宋_GB2312" w:cs="仿宋_GB2312"/>
          <w:sz w:val="32"/>
          <w:szCs w:val="32"/>
        </w:rPr>
        <w:t>泥浆、岩屑</w:t>
      </w:r>
      <w:r>
        <w:rPr>
          <w:rFonts w:hint="eastAsia" w:ascii="仿宋_GB2312" w:hAnsi="仿宋_GB2312" w:eastAsia="仿宋_GB2312" w:cs="仿宋_GB2312"/>
          <w:sz w:val="32"/>
          <w:szCs w:val="32"/>
          <w:lang w:val="en-US" w:eastAsia="zh-CN"/>
        </w:rPr>
        <w:t>暂存于防渗泥浆池</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最终固化处理，不得随意排放，并在周围</w:t>
      </w:r>
      <w:r>
        <w:rPr>
          <w:rFonts w:hint="eastAsia" w:ascii="仿宋_GB2312" w:hAnsi="仿宋_GB2312" w:eastAsia="仿宋_GB2312" w:cs="仿宋_GB2312"/>
          <w:sz w:val="32"/>
          <w:szCs w:val="32"/>
        </w:rPr>
        <w:t>设置明确标识及围栏等措施，避免造成人或牲畜误入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废料桶由厂家定期回收，不得随意处置；产生的废防渗材料、落地油、油泥砂等危险废物委托有资质的单位进行处置，严格执行《危险废物贮存污染控制标准》（GB18597-2023）、危险废物转移联单制度等相关法律法规及管理要求，张贴危险废物标识，建立危险废物台账，如实记载危险废物种类、数量、性质、产生环节、流向、贮存、利用处置等信息；产生的</w:t>
      </w:r>
      <w:r>
        <w:rPr>
          <w:rFonts w:hint="eastAsia" w:ascii="仿宋_GB2312" w:hAnsi="仿宋_GB2312" w:eastAsia="仿宋_GB2312" w:cs="仿宋_GB2312"/>
          <w:sz w:val="32"/>
          <w:szCs w:val="32"/>
        </w:rPr>
        <w:t>生活垃圾集中收集后</w:t>
      </w:r>
      <w:r>
        <w:rPr>
          <w:rFonts w:hint="default" w:ascii="仿宋_GB2312" w:hAnsi="仿宋_GB2312" w:eastAsia="仿宋_GB2312" w:cs="仿宋_GB2312"/>
          <w:sz w:val="32"/>
          <w:szCs w:val="32"/>
          <w:lang w:eastAsia="zh-CN"/>
        </w:rPr>
        <w:t>规范处置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严格按照</w:t>
      </w:r>
      <w:r>
        <w:rPr>
          <w:rFonts w:hint="eastAsia" w:ascii="仿宋_GB2312" w:hAnsi="仿宋_GB2312" w:eastAsia="仿宋_GB2312" w:cs="仿宋_GB2312"/>
          <w:sz w:val="32"/>
          <w:szCs w:val="32"/>
        </w:rPr>
        <w:t>《一般工业固体废物贮存和填埋污染控制标准》（GB18599-20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）执行。</w:t>
      </w:r>
    </w:p>
    <w:p w14:paraId="2A4573F8">
      <w:pPr>
        <w:keepNext w:val="0"/>
        <w:keepLines w:val="0"/>
        <w:pageBreakBefore w:val="0"/>
        <w:widowControl w:val="0"/>
        <w:kinsoku/>
        <w:wordWrap/>
        <w:overflowPunct/>
        <w:topLinePunct w:val="0"/>
        <w:autoSpaceDE w:val="0"/>
        <w:autoSpaceDN w:val="0"/>
        <w:bidi w:val="0"/>
        <w:adjustRightInd w:val="0"/>
        <w:spacing w:line="560" w:lineRule="exact"/>
        <w:ind w:firstLine="643" w:firstLineChars="200"/>
        <w:rPr>
          <w:rFonts w:hint="eastAsia" w:ascii="楷体_GB2312" w:hAnsi="Calibri" w:eastAsia="楷体_GB2312" w:cs="Arial"/>
          <w:b/>
          <w:bCs/>
          <w:color w:val="auto"/>
          <w:sz w:val="32"/>
          <w:szCs w:val="32"/>
          <w:highlight w:val="none"/>
        </w:rPr>
      </w:pPr>
      <w:r>
        <w:rPr>
          <w:rFonts w:hint="eastAsia" w:ascii="楷体_GB2312" w:hAnsi="Calibri" w:eastAsia="楷体_GB2312" w:cs="Arial"/>
          <w:b/>
          <w:bCs/>
          <w:color w:val="auto"/>
          <w:sz w:val="32"/>
          <w:szCs w:val="32"/>
          <w:highlight w:val="none"/>
        </w:rPr>
        <w:t>（</w:t>
      </w:r>
      <w:r>
        <w:rPr>
          <w:rFonts w:hint="eastAsia" w:ascii="楷体_GB2312" w:hAnsi="Calibri" w:eastAsia="楷体_GB2312" w:cs="Arial"/>
          <w:b/>
          <w:bCs/>
          <w:color w:val="auto"/>
          <w:sz w:val="32"/>
          <w:szCs w:val="32"/>
          <w:highlight w:val="none"/>
          <w:lang w:val="en-US" w:eastAsia="zh-CN"/>
        </w:rPr>
        <w:t>五</w:t>
      </w:r>
      <w:r>
        <w:rPr>
          <w:rFonts w:hint="eastAsia" w:ascii="楷体_GB2312" w:hAnsi="Calibri" w:eastAsia="楷体_GB2312" w:cs="Arial"/>
          <w:b/>
          <w:bCs/>
          <w:color w:val="auto"/>
          <w:sz w:val="32"/>
          <w:szCs w:val="32"/>
          <w:highlight w:val="none"/>
        </w:rPr>
        <w:t>）</w:t>
      </w:r>
      <w:r>
        <w:rPr>
          <w:rFonts w:hint="eastAsia" w:ascii="楷体_GB2312" w:hAnsi="Calibri" w:eastAsia="楷体_GB2312" w:cs="Arial"/>
          <w:b/>
          <w:bCs/>
          <w:color w:val="auto"/>
          <w:sz w:val="32"/>
          <w:szCs w:val="32"/>
          <w:highlight w:val="none"/>
          <w:lang w:val="en-US" w:eastAsia="zh-CN"/>
        </w:rPr>
        <w:t>生态恢复</w:t>
      </w:r>
      <w:r>
        <w:rPr>
          <w:rFonts w:hint="eastAsia" w:ascii="楷体_GB2312" w:hAnsi="Calibri" w:eastAsia="楷体_GB2312" w:cs="Arial"/>
          <w:b/>
          <w:bCs/>
          <w:color w:val="auto"/>
          <w:sz w:val="32"/>
          <w:szCs w:val="32"/>
          <w:highlight w:val="none"/>
        </w:rPr>
        <w:t>方面。</w:t>
      </w:r>
    </w:p>
    <w:p w14:paraId="503A30E2">
      <w:pPr>
        <w:keepNext w:val="0"/>
        <w:keepLines w:val="0"/>
        <w:pageBreakBefore w:val="0"/>
        <w:widowControl w:val="0"/>
        <w:kinsoku/>
        <w:wordWrap/>
        <w:overflowPunct/>
        <w:topLinePunct w:val="0"/>
        <w:autoSpaceDE w:val="0"/>
        <w:autoSpaceDN w:val="0"/>
        <w:bidi w:val="0"/>
        <w:adjustRightInd w:val="0"/>
        <w:spacing w:line="560" w:lineRule="exact"/>
        <w:ind w:firstLine="640" w:firstLineChars="200"/>
        <w:rPr>
          <w:rFonts w:hint="eastAsia" w:ascii="黑体" w:hAnsi="黑体" w:eastAsia="黑体" w:cs="Arial"/>
          <w:color w:val="auto"/>
          <w:sz w:val="32"/>
          <w:szCs w:val="32"/>
          <w:highlight w:val="none"/>
        </w:rPr>
      </w:pPr>
      <w:r>
        <w:rPr>
          <w:rFonts w:hint="eastAsia" w:ascii="仿宋_GB2312" w:hAnsi="仿宋_GB2312" w:eastAsia="仿宋_GB2312" w:cs="仿宋_GB2312"/>
          <w:color w:val="auto"/>
          <w:sz w:val="32"/>
          <w:szCs w:val="32"/>
          <w:highlight w:val="none"/>
        </w:rPr>
        <w:t>表土临时堆存并</w:t>
      </w:r>
      <w:r>
        <w:rPr>
          <w:rFonts w:hint="eastAsia" w:ascii="仿宋_GB2312" w:hAnsi="仿宋_GB2312" w:eastAsia="仿宋_GB2312" w:cs="仿宋_GB2312"/>
          <w:color w:val="auto"/>
          <w:sz w:val="32"/>
          <w:szCs w:val="32"/>
          <w:highlight w:val="none"/>
          <w:lang w:val="en-US" w:eastAsia="zh-CN"/>
        </w:rPr>
        <w:t>进行苫盖</w:t>
      </w:r>
      <w:r>
        <w:rPr>
          <w:rFonts w:hint="eastAsia" w:ascii="仿宋_GB2312" w:hAnsi="仿宋_GB2312" w:eastAsia="仿宋_GB2312" w:cs="仿宋_GB2312"/>
          <w:color w:val="auto"/>
          <w:sz w:val="32"/>
          <w:szCs w:val="32"/>
          <w:highlight w:val="none"/>
        </w:rPr>
        <w:t>，勘探结束后表土及时回填，播撒草籽、恢复植被，</w:t>
      </w:r>
      <w:r>
        <w:rPr>
          <w:rFonts w:hint="eastAsia" w:ascii="仿宋_GB2312" w:hAnsi="仿宋_GB2312" w:eastAsia="仿宋_GB2312" w:cs="仿宋_GB2312"/>
          <w:color w:val="auto"/>
          <w:sz w:val="32"/>
          <w:szCs w:val="32"/>
          <w:highlight w:val="none"/>
          <w:lang w:eastAsia="zh-CN"/>
        </w:rPr>
        <w:t>钻井</w:t>
      </w:r>
      <w:r>
        <w:rPr>
          <w:rFonts w:hint="eastAsia" w:ascii="仿宋_GB2312" w:hAnsi="仿宋_GB2312" w:eastAsia="仿宋_GB2312" w:cs="仿宋_GB2312"/>
          <w:color w:val="auto"/>
          <w:sz w:val="32"/>
          <w:szCs w:val="32"/>
          <w:highlight w:val="none"/>
        </w:rPr>
        <w:t>封闭</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 xml:space="preserve">   </w:t>
      </w:r>
    </w:p>
    <w:p w14:paraId="0EB1913B">
      <w:pPr>
        <w:keepNext w:val="0"/>
        <w:keepLines w:val="0"/>
        <w:pageBreakBefore w:val="0"/>
        <w:widowControl w:val="0"/>
        <w:numPr>
          <w:ilvl w:val="0"/>
          <w:numId w:val="2"/>
        </w:numPr>
        <w:kinsoku/>
        <w:wordWrap/>
        <w:overflowPunct/>
        <w:topLinePunct w:val="0"/>
        <w:autoSpaceDE w:val="0"/>
        <w:autoSpaceDN w:val="0"/>
        <w:bidi w:val="0"/>
        <w:adjustRightInd w:val="0"/>
        <w:spacing w:line="560" w:lineRule="exact"/>
        <w:ind w:firstLine="640" w:firstLineChars="200"/>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执行“三同时”制度</w:t>
      </w:r>
    </w:p>
    <w:p w14:paraId="1AA31CD3">
      <w:pPr>
        <w:keepNext w:val="0"/>
        <w:keepLines w:val="0"/>
        <w:pageBreakBefore w:val="0"/>
        <w:widowControl w:val="0"/>
        <w:numPr>
          <w:ilvl w:val="0"/>
          <w:numId w:val="0"/>
        </w:numPr>
        <w:kinsoku/>
        <w:wordWrap/>
        <w:overflowPunct/>
        <w:topLinePunct w:val="0"/>
        <w:autoSpaceDE w:val="0"/>
        <w:autoSpaceDN w:val="0"/>
        <w:bidi w:val="0"/>
        <w:adjustRightInd w:val="0"/>
        <w:spacing w:line="560" w:lineRule="exact"/>
        <w:ind w:firstLine="640" w:firstLineChars="200"/>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本项目建设必须严格执行生态环境保护设施与主体工程同时设计、同时施工、同时投产使用的生态环境保护“三同时”制度。</w:t>
      </w:r>
    </w:p>
    <w:p w14:paraId="4730F621">
      <w:pPr>
        <w:keepNext w:val="0"/>
        <w:keepLines w:val="0"/>
        <w:pageBreakBefore w:val="0"/>
        <w:widowControl w:val="0"/>
        <w:kinsoku/>
        <w:wordWrap/>
        <w:overflowPunct/>
        <w:topLinePunct w:val="0"/>
        <w:autoSpaceDE w:val="0"/>
        <w:autoSpaceDN w:val="0"/>
        <w:bidi w:val="0"/>
        <w:adjustRightInd w:val="0"/>
        <w:spacing w:line="560" w:lineRule="exact"/>
        <w:ind w:firstLine="640" w:firstLineChars="200"/>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（一）要将生态环境保护措施纳入初步设计报告并落实环保设施投资概算。</w:t>
      </w:r>
    </w:p>
    <w:p w14:paraId="10B2394F">
      <w:pPr>
        <w:keepNext w:val="0"/>
        <w:keepLines w:val="0"/>
        <w:pageBreakBefore w:val="0"/>
        <w:widowControl w:val="0"/>
        <w:kinsoku/>
        <w:wordWrap/>
        <w:overflowPunct/>
        <w:topLinePunct w:val="0"/>
        <w:autoSpaceDE w:val="0"/>
        <w:autoSpaceDN w:val="0"/>
        <w:bidi w:val="0"/>
        <w:adjustRightInd w:val="0"/>
        <w:spacing w:line="560" w:lineRule="exact"/>
        <w:ind w:firstLine="640" w:firstLineChars="200"/>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（二）要将生态环境保护设施建设纳入施工合同，保证生态环境保护设施建设进度和资金。</w:t>
      </w:r>
    </w:p>
    <w:p w14:paraId="58C2396A">
      <w:pPr>
        <w:keepNext w:val="0"/>
        <w:keepLines w:val="0"/>
        <w:pageBreakBefore w:val="0"/>
        <w:widowControl w:val="0"/>
        <w:kinsoku/>
        <w:wordWrap/>
        <w:overflowPunct/>
        <w:topLinePunct w:val="0"/>
        <w:autoSpaceDE w:val="0"/>
        <w:autoSpaceDN w:val="0"/>
        <w:bidi w:val="0"/>
        <w:adjustRightInd w:val="0"/>
        <w:spacing w:line="560" w:lineRule="exact"/>
        <w:ind w:firstLine="640" w:firstLineChars="200"/>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（三）项目竣工后须按规定程序实施竣工环境保护验收，验收合格后方可正式投运。</w:t>
      </w:r>
    </w:p>
    <w:p w14:paraId="70EF0F59">
      <w:pPr>
        <w:keepNext w:val="0"/>
        <w:keepLines w:val="0"/>
        <w:pageBreakBefore w:val="0"/>
        <w:widowControl w:val="0"/>
        <w:kinsoku/>
        <w:wordWrap/>
        <w:overflowPunct/>
        <w:topLinePunct w:val="0"/>
        <w:autoSpaceDE w:val="0"/>
        <w:autoSpaceDN w:val="0"/>
        <w:bidi w:val="0"/>
        <w:adjustRightInd w:val="0"/>
        <w:spacing w:line="560" w:lineRule="exact"/>
        <w:ind w:firstLine="640" w:firstLineChars="200"/>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四、其他要求</w:t>
      </w:r>
    </w:p>
    <w:p w14:paraId="02B4A35C">
      <w:pPr>
        <w:keepNext w:val="0"/>
        <w:keepLines w:val="0"/>
        <w:pageBreakBefore w:val="0"/>
        <w:widowControl w:val="0"/>
        <w:kinsoku/>
        <w:wordWrap/>
        <w:overflowPunct/>
        <w:topLinePunct w:val="0"/>
        <w:autoSpaceDE w:val="0"/>
        <w:autoSpaceDN w:val="0"/>
        <w:bidi w:val="0"/>
        <w:adjustRightInd w:val="0"/>
        <w:spacing w:line="560" w:lineRule="exact"/>
        <w:ind w:firstLine="640" w:firstLineChars="200"/>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东乌珠穆沁旗生态环境综合行政执法大队对该项目建设期间及运行期间各项生态环境保护措施落实情况进行监督检查和管理。</w:t>
      </w:r>
    </w:p>
    <w:p w14:paraId="4E01E862">
      <w:pPr>
        <w:rPr>
          <w:rFonts w:hint="eastAsia"/>
          <w:color w:val="auto"/>
          <w:highlight w:val="none"/>
        </w:rPr>
      </w:pPr>
    </w:p>
    <w:p w14:paraId="59A0ABBE">
      <w:pPr>
        <w:pStyle w:val="2"/>
        <w:rPr>
          <w:rFonts w:hint="eastAsia"/>
          <w:color w:val="auto"/>
          <w:highlight w:val="none"/>
        </w:rPr>
      </w:pPr>
    </w:p>
    <w:p w14:paraId="68D861AF">
      <w:pPr>
        <w:pStyle w:val="3"/>
        <w:rPr>
          <w:rFonts w:hint="eastAsia"/>
          <w:color w:val="auto"/>
          <w:highlight w:val="none"/>
        </w:rPr>
      </w:pPr>
    </w:p>
    <w:p w14:paraId="7069CE2D">
      <w:pPr>
        <w:rPr>
          <w:rFonts w:hint="eastAsia"/>
        </w:rPr>
      </w:pPr>
    </w:p>
    <w:p w14:paraId="2CB253EC">
      <w:pPr>
        <w:keepNext w:val="0"/>
        <w:keepLines w:val="0"/>
        <w:pageBreakBefore w:val="0"/>
        <w:widowControl w:val="0"/>
        <w:kinsoku/>
        <w:wordWrap/>
        <w:overflowPunct/>
        <w:topLinePunct w:val="0"/>
        <w:autoSpaceDE w:val="0"/>
        <w:autoSpaceDN w:val="0"/>
        <w:bidi w:val="0"/>
        <w:adjustRightInd w:val="0"/>
        <w:spacing w:line="560" w:lineRule="exact"/>
        <w:ind w:firstLine="4160" w:firstLineChars="1300"/>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锡林郭勒盟生态环境局</w:t>
      </w:r>
    </w:p>
    <w:p w14:paraId="1C367C92">
      <w:pPr>
        <w:keepNext w:val="0"/>
        <w:keepLines w:val="0"/>
        <w:pageBreakBefore w:val="0"/>
        <w:widowControl w:val="0"/>
        <w:kinsoku/>
        <w:wordWrap/>
        <w:overflowPunct/>
        <w:topLinePunct w:val="0"/>
        <w:autoSpaceDE w:val="0"/>
        <w:autoSpaceDN w:val="0"/>
        <w:bidi w:val="0"/>
        <w:adjustRightInd w:val="0"/>
        <w:spacing w:line="560" w:lineRule="exact"/>
        <w:ind w:firstLine="640" w:firstLineChars="200"/>
        <w:jc w:val="center"/>
        <w:rPr>
          <w:rFonts w:hint="eastAsia" w:ascii="仿宋_GB2312" w:hAnsi="Calibri" w:eastAsia="仿宋_GB2312" w:cs="Arial"/>
          <w:color w:val="auto"/>
          <w:sz w:val="32"/>
          <w:szCs w:val="32"/>
          <w:highlight w:val="none"/>
          <w:lang w:eastAsia="zh-CN"/>
        </w:rPr>
      </w:pPr>
      <w:r>
        <w:rPr>
          <w:rFonts w:hint="eastAsia" w:ascii="仿宋_GB2312" w:hAnsi="Calibri" w:eastAsia="仿宋_GB2312" w:cs="Arial"/>
          <w:color w:val="auto"/>
          <w:sz w:val="32"/>
          <w:szCs w:val="32"/>
          <w:highlight w:val="none"/>
        </w:rPr>
        <w:t xml:space="preserve">                  </w:t>
      </w:r>
      <w:r>
        <w:rPr>
          <w:rFonts w:hint="eastAsia" w:ascii="仿宋_GB2312" w:hAnsi="Calibri" w:eastAsia="仿宋_GB2312" w:cs="Arial"/>
          <w:color w:val="auto"/>
          <w:sz w:val="32"/>
          <w:szCs w:val="32"/>
          <w:highlight w:val="none"/>
          <w:lang w:eastAsia="zh-CN"/>
        </w:rPr>
        <w:t>202</w:t>
      </w:r>
      <w:r>
        <w:rPr>
          <w:rFonts w:hint="eastAsia" w:ascii="仿宋_GB2312" w:hAnsi="Calibri" w:eastAsia="仿宋_GB2312" w:cs="Arial"/>
          <w:color w:val="auto"/>
          <w:sz w:val="32"/>
          <w:szCs w:val="32"/>
          <w:highlight w:val="none"/>
          <w:lang w:val="en-US" w:eastAsia="zh-CN"/>
        </w:rPr>
        <w:t>4</w:t>
      </w:r>
      <w:r>
        <w:rPr>
          <w:rFonts w:hint="eastAsia" w:ascii="仿宋_GB2312" w:hAnsi="Calibri" w:eastAsia="仿宋_GB2312" w:cs="Arial"/>
          <w:color w:val="auto"/>
          <w:sz w:val="32"/>
          <w:szCs w:val="32"/>
          <w:highlight w:val="none"/>
          <w:lang w:eastAsia="zh-CN"/>
        </w:rPr>
        <w:t>年</w:t>
      </w:r>
      <w:r>
        <w:rPr>
          <w:rFonts w:hint="eastAsia" w:ascii="仿宋_GB2312" w:hAnsi="Calibri" w:eastAsia="仿宋_GB2312" w:cs="Arial"/>
          <w:color w:val="auto"/>
          <w:sz w:val="32"/>
          <w:szCs w:val="32"/>
          <w:highlight w:val="none"/>
          <w:lang w:val="en-US" w:eastAsia="zh-CN"/>
        </w:rPr>
        <w:t>8</w:t>
      </w:r>
      <w:r>
        <w:rPr>
          <w:rFonts w:hint="eastAsia" w:ascii="仿宋_GB2312" w:hAnsi="Calibri" w:eastAsia="仿宋_GB2312" w:cs="Arial"/>
          <w:color w:val="auto"/>
          <w:sz w:val="32"/>
          <w:szCs w:val="32"/>
          <w:highlight w:val="none"/>
          <w:lang w:eastAsia="zh-CN"/>
        </w:rPr>
        <w:t>月</w:t>
      </w:r>
      <w:r>
        <w:rPr>
          <w:rFonts w:hint="eastAsia" w:ascii="仿宋_GB2312" w:hAnsi="Calibri" w:eastAsia="仿宋_GB2312" w:cs="Arial"/>
          <w:color w:val="auto"/>
          <w:sz w:val="32"/>
          <w:szCs w:val="32"/>
          <w:highlight w:val="none"/>
          <w:lang w:val="en-US" w:eastAsia="zh-CN"/>
        </w:rPr>
        <w:t>13</w:t>
      </w:r>
      <w:r>
        <w:rPr>
          <w:rFonts w:hint="eastAsia" w:ascii="仿宋_GB2312" w:hAnsi="Calibri" w:eastAsia="仿宋_GB2312" w:cs="Arial"/>
          <w:color w:val="auto"/>
          <w:sz w:val="32"/>
          <w:szCs w:val="32"/>
          <w:highlight w:val="none"/>
          <w:lang w:eastAsia="zh-CN"/>
        </w:rPr>
        <w:t>日</w:t>
      </w:r>
    </w:p>
    <w:p w14:paraId="286A52CD">
      <w:pPr>
        <w:pStyle w:val="2"/>
        <w:rPr>
          <w:rFonts w:hint="eastAsia" w:ascii="仿宋_GB2312" w:hAnsi="Calibri" w:eastAsia="仿宋_GB2312" w:cs="Arial"/>
          <w:color w:val="auto"/>
          <w:sz w:val="32"/>
          <w:szCs w:val="32"/>
          <w:highlight w:val="none"/>
          <w:lang w:eastAsia="zh-CN"/>
        </w:rPr>
      </w:pPr>
    </w:p>
    <w:p w14:paraId="67C63128">
      <w:pPr>
        <w:pStyle w:val="3"/>
        <w:rPr>
          <w:rFonts w:hint="eastAsia" w:ascii="仿宋_GB2312" w:hAnsi="Calibri" w:eastAsia="仿宋_GB2312" w:cs="Arial"/>
          <w:color w:val="auto"/>
          <w:sz w:val="32"/>
          <w:szCs w:val="32"/>
          <w:highlight w:val="none"/>
          <w:lang w:eastAsia="zh-CN"/>
        </w:rPr>
      </w:pPr>
    </w:p>
    <w:p w14:paraId="550BA1A7">
      <w:pPr>
        <w:rPr>
          <w:rFonts w:hint="eastAsia" w:ascii="仿宋_GB2312" w:hAnsi="Calibri" w:eastAsia="仿宋_GB2312" w:cs="Arial"/>
          <w:color w:val="auto"/>
          <w:sz w:val="32"/>
          <w:szCs w:val="32"/>
          <w:highlight w:val="none"/>
          <w:lang w:eastAsia="zh-CN"/>
        </w:rPr>
      </w:pPr>
    </w:p>
    <w:p w14:paraId="5A7771D2">
      <w:pPr>
        <w:pStyle w:val="2"/>
        <w:rPr>
          <w:rFonts w:hint="eastAsia"/>
          <w:lang w:eastAsia="zh-CN"/>
        </w:rPr>
      </w:pPr>
    </w:p>
    <w:p w14:paraId="15873F9B">
      <w:pPr>
        <w:rPr>
          <w:rFonts w:hint="eastAsia" w:ascii="仿宋_GB2312" w:hAnsi="Calibri" w:eastAsia="仿宋_GB2312" w:cs="Arial"/>
          <w:color w:val="auto"/>
          <w:sz w:val="32"/>
          <w:szCs w:val="32"/>
          <w:highlight w:val="none"/>
          <w:lang w:eastAsia="zh-CN"/>
        </w:rPr>
      </w:pPr>
    </w:p>
    <w:p w14:paraId="403C397D">
      <w:pPr>
        <w:pStyle w:val="2"/>
        <w:rPr>
          <w:rFonts w:hint="eastAsia"/>
          <w:lang w:val="en-US" w:eastAsia="zh-CN"/>
        </w:rPr>
      </w:pPr>
    </w:p>
    <w:p w14:paraId="58ED60F9">
      <w:pPr>
        <w:keepNext w:val="0"/>
        <w:keepLines w:val="0"/>
        <w:pageBreakBefore w:val="0"/>
        <w:widowControl w:val="0"/>
        <w:kinsoku/>
        <w:wordWrap/>
        <w:overflowPunct/>
        <w:topLinePunct w:val="0"/>
        <w:autoSpaceDE/>
        <w:autoSpaceDN/>
        <w:bidi w:val="0"/>
        <w:adjustRightInd/>
        <w:spacing w:line="560" w:lineRule="exact"/>
        <w:jc w:val="both"/>
        <w:textAlignment w:val="auto"/>
        <w:rPr>
          <w:rFonts w:hint="default"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kern w:val="2"/>
          <w:sz w:val="24"/>
          <w:szCs w:val="24"/>
          <w:lang w:val="en-US" w:eastAsia="zh-CN" w:bidi="ar-SA"/>
        </w:rPr>
        <mc:AlternateContent>
          <mc:Choice Requires="wps">
            <w:drawing>
              <wp:anchor distT="0" distB="0" distL="114300" distR="114300" simplePos="0" relativeHeight="251659264" behindDoc="0" locked="0" layoutInCell="1" allowOverlap="1">
                <wp:simplePos x="0" y="0"/>
                <wp:positionH relativeFrom="column">
                  <wp:posOffset>12700</wp:posOffset>
                </wp:positionH>
                <wp:positionV relativeFrom="paragraph">
                  <wp:posOffset>25400</wp:posOffset>
                </wp:positionV>
                <wp:extent cx="5220335" cy="10795"/>
                <wp:effectExtent l="0" t="4445" r="18415" b="13335"/>
                <wp:wrapNone/>
                <wp:docPr id="12" name="直接箭头连接符 12"/>
                <wp:cNvGraphicFramePr/>
                <a:graphic xmlns:a="http://schemas.openxmlformats.org/drawingml/2006/main">
                  <a:graphicData uri="http://schemas.microsoft.com/office/word/2010/wordprocessingShape">
                    <wps:wsp>
                      <wps:cNvCnPr/>
                      <wps:spPr>
                        <a:xfrm flipV="1">
                          <a:off x="0" y="0"/>
                          <a:ext cx="5220335" cy="10795"/>
                        </a:xfrm>
                        <a:prstGeom prst="straightConnector1">
                          <a:avLst/>
                        </a:prstGeom>
                        <a:ln w="3175" cap="flat" cmpd="sng">
                          <a:solidFill>
                            <a:srgbClr val="000000"/>
                          </a:solidFill>
                          <a:prstDash val="solid"/>
                          <a:round/>
                          <a:headEnd type="none" w="med" len="med"/>
                          <a:tailEnd type="none" w="med" len="med"/>
                        </a:ln>
                      </wps:spPr>
                      <wps:bodyPr/>
                    </wps:wsp>
                  </a:graphicData>
                </a:graphic>
              </wp:anchor>
            </w:drawing>
          </mc:Choice>
          <mc:Fallback>
            <w:pict>
              <v:shape id="_x0000_s1026" o:spid="_x0000_s1026" o:spt="32" type="#_x0000_t32" style="position:absolute;left:0pt;flip:y;margin-left:1pt;margin-top:2pt;height:0.85pt;width:411.05pt;z-index:251659264;mso-width-relative:page;mso-height-relative:page;" filled="f" stroked="t" coordsize="21600,21600" o:gfxdata="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Mu6p5TVAAAABQEAAA8AAAAAAAAAAQAgAAAAIgAA&#10;AGRycy9kb3ducmV2LnhtbFBLAQIUABQAAAAIAIdO4kBCcdFbCwIAAAYEAAAOAAAAAAAAAAEAIAAA&#10;ACQBAABkcnMvZTJvRG9jLnhtbFBLBQYAAAAABgAGAFkBAAChBQAAAAA=&#10;">
                <v:fill on="f" focussize="0,0"/>
                <v:stroke weight="0.25pt" color="#000000" joinstyle="round"/>
                <v:imagedata o:title=""/>
                <o:lock v:ext="edit" aspectratio="f"/>
              </v:shape>
            </w:pict>
          </mc:Fallback>
        </mc:AlternateContent>
      </w:r>
      <w:r>
        <w:rPr>
          <w:rFonts w:hint="eastAsia" w:ascii="仿宋_GB2312" w:hAnsi="仿宋_GB2312" w:eastAsia="仿宋_GB2312" w:cs="仿宋_GB2312"/>
          <w:color w:val="auto"/>
          <w:kern w:val="2"/>
          <w:sz w:val="24"/>
          <w:szCs w:val="24"/>
          <w:lang w:val="en-US" w:eastAsia="zh-CN" w:bidi="ar-SA"/>
        </w:rPr>
        <w:t>抄送：盟生态环境综合行政执法支队       盟生态环境局东乌珠穆沁旗分局</w:t>
      </w:r>
    </w:p>
    <w:p w14:paraId="6BC4FE31">
      <w:pPr>
        <w:pStyle w:val="13"/>
        <w:keepNext w:val="0"/>
        <w:keepLines w:val="0"/>
        <w:pageBreakBefore w:val="0"/>
        <w:widowControl w:val="0"/>
        <w:pBdr>
          <w:top w:val="single" w:color="auto" w:sz="4" w:space="0"/>
          <w:bottom w:val="single" w:color="auto" w:sz="4" w:space="0"/>
        </w:pBdr>
        <w:kinsoku/>
        <w:wordWrap/>
        <w:overflowPunct/>
        <w:topLinePunct w:val="0"/>
        <w:autoSpaceDE/>
        <w:autoSpaceDN/>
        <w:bidi w:val="0"/>
        <w:adjustRightInd/>
        <w:spacing w:before="62" w:beforeLines="20" w:line="560" w:lineRule="exact"/>
        <w:jc w:val="both"/>
        <w:textAlignment w:val="auto"/>
        <w:rPr>
          <w:rFonts w:ascii="Calibri" w:hAnsi="Calibri" w:eastAsia="宋体" w:cs="Arial"/>
          <w:color w:val="auto"/>
          <w:szCs w:val="21"/>
        </w:rPr>
      </w:pPr>
      <w:r>
        <w:rPr>
          <w:rFonts w:hint="eastAsia" w:ascii="仿宋_GB2312" w:hAnsi="仿宋_GB2312" w:eastAsia="仿宋_GB2312" w:cs="仿宋_GB2312"/>
          <w:color w:val="auto"/>
          <w:kern w:val="2"/>
          <w:sz w:val="28"/>
          <w:szCs w:val="28"/>
          <w:lang w:val="en-US" w:eastAsia="zh-CN" w:bidi="ar-SA"/>
        </w:rPr>
        <w:t>锡林郭勒盟生态环境局办公室             2024年8月13日印发</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panose1 w:val="020B0604020202020204"/>
    <w:charset w:val="86"/>
    <w:family w:val="swiss"/>
    <w:pitch w:val="default"/>
    <w:sig w:usb0="FFFFFFFF" w:usb1="E9FFFFFF" w:usb2="0000003F" w:usb3="00000000" w:csb0="603F01FF" w:csb1="FFFF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87B607">
    <w:pPr>
      <w:pStyle w:val="1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762AAD">
                          <w:pPr>
                            <w:pStyle w:val="1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F762AAD">
                    <w:pPr>
                      <w:pStyle w:val="1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61B7A5C"/>
    <w:multiLevelType w:val="singleLevel"/>
    <w:tmpl w:val="D61B7A5C"/>
    <w:lvl w:ilvl="0" w:tentative="0">
      <w:start w:val="1"/>
      <w:numFmt w:val="bullet"/>
      <w:pStyle w:val="8"/>
      <w:lvlText w:val=""/>
      <w:lvlJc w:val="left"/>
      <w:pPr>
        <w:tabs>
          <w:tab w:val="left" w:pos="780"/>
        </w:tabs>
        <w:ind w:left="780" w:hanging="360"/>
      </w:pPr>
      <w:rPr>
        <w:rFonts w:hint="default" w:ascii="Wingdings" w:hAnsi="Wingdings"/>
      </w:rPr>
    </w:lvl>
  </w:abstractNum>
  <w:abstractNum w:abstractNumId="1">
    <w:nsid w:val="3B018EB6"/>
    <w:multiLevelType w:val="singleLevel"/>
    <w:tmpl w:val="3B018EB6"/>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3YzFkMjhiMGE4NWZhYWJjZTAzNzdkNzQ2ZmI3MTYifQ=="/>
  </w:docVars>
  <w:rsids>
    <w:rsidRoot w:val="008C043C"/>
    <w:rsid w:val="0038300B"/>
    <w:rsid w:val="005F7B71"/>
    <w:rsid w:val="007658FF"/>
    <w:rsid w:val="00820D53"/>
    <w:rsid w:val="008C043C"/>
    <w:rsid w:val="009844B6"/>
    <w:rsid w:val="009F66BD"/>
    <w:rsid w:val="00FE4844"/>
    <w:rsid w:val="02313F99"/>
    <w:rsid w:val="02AE1145"/>
    <w:rsid w:val="036D0E8E"/>
    <w:rsid w:val="04F76DD4"/>
    <w:rsid w:val="058A5E9A"/>
    <w:rsid w:val="061D0ABC"/>
    <w:rsid w:val="070F49A2"/>
    <w:rsid w:val="07D4164E"/>
    <w:rsid w:val="07E20276"/>
    <w:rsid w:val="08163A15"/>
    <w:rsid w:val="08444A26"/>
    <w:rsid w:val="08EE4992"/>
    <w:rsid w:val="099F7A3A"/>
    <w:rsid w:val="09DE0562"/>
    <w:rsid w:val="0A0F696E"/>
    <w:rsid w:val="0A430D0D"/>
    <w:rsid w:val="0AA93DF5"/>
    <w:rsid w:val="0B627C36"/>
    <w:rsid w:val="0B85160C"/>
    <w:rsid w:val="0B941820"/>
    <w:rsid w:val="0B9C2483"/>
    <w:rsid w:val="0BD22349"/>
    <w:rsid w:val="0D006C17"/>
    <w:rsid w:val="0D84493F"/>
    <w:rsid w:val="0E3B20E1"/>
    <w:rsid w:val="0E4A266A"/>
    <w:rsid w:val="0E686F94"/>
    <w:rsid w:val="10150A56"/>
    <w:rsid w:val="10A81CF0"/>
    <w:rsid w:val="11692E07"/>
    <w:rsid w:val="152817C5"/>
    <w:rsid w:val="155B515D"/>
    <w:rsid w:val="15A72150"/>
    <w:rsid w:val="16B56AEF"/>
    <w:rsid w:val="17677AB2"/>
    <w:rsid w:val="17B10865"/>
    <w:rsid w:val="17DB5C48"/>
    <w:rsid w:val="19120228"/>
    <w:rsid w:val="197D7D98"/>
    <w:rsid w:val="1ADA4D76"/>
    <w:rsid w:val="1B0818E3"/>
    <w:rsid w:val="1B64761F"/>
    <w:rsid w:val="1BB9498B"/>
    <w:rsid w:val="1CB824AC"/>
    <w:rsid w:val="1E1836BE"/>
    <w:rsid w:val="1E732FC1"/>
    <w:rsid w:val="1F07774F"/>
    <w:rsid w:val="1F422EEA"/>
    <w:rsid w:val="1FE033A1"/>
    <w:rsid w:val="20315438"/>
    <w:rsid w:val="208A0FEC"/>
    <w:rsid w:val="214A0C4E"/>
    <w:rsid w:val="216A09F5"/>
    <w:rsid w:val="21A34113"/>
    <w:rsid w:val="22E20377"/>
    <w:rsid w:val="22FF6810"/>
    <w:rsid w:val="23377209"/>
    <w:rsid w:val="235A4CA6"/>
    <w:rsid w:val="23A52533"/>
    <w:rsid w:val="240B5FA0"/>
    <w:rsid w:val="25E116AE"/>
    <w:rsid w:val="27B32BD6"/>
    <w:rsid w:val="27DA63B5"/>
    <w:rsid w:val="280E2503"/>
    <w:rsid w:val="28137B19"/>
    <w:rsid w:val="287C72DC"/>
    <w:rsid w:val="292875F4"/>
    <w:rsid w:val="29AC18CA"/>
    <w:rsid w:val="29FB0865"/>
    <w:rsid w:val="29FD638B"/>
    <w:rsid w:val="2A59718E"/>
    <w:rsid w:val="2AC46EA9"/>
    <w:rsid w:val="2C6F6CDB"/>
    <w:rsid w:val="2C831802"/>
    <w:rsid w:val="2D3A5D8D"/>
    <w:rsid w:val="2D542766"/>
    <w:rsid w:val="2D8868B3"/>
    <w:rsid w:val="2E5461D3"/>
    <w:rsid w:val="2E7674A3"/>
    <w:rsid w:val="2EFA0694"/>
    <w:rsid w:val="30F1651D"/>
    <w:rsid w:val="31495728"/>
    <w:rsid w:val="31540F86"/>
    <w:rsid w:val="31A145D7"/>
    <w:rsid w:val="324F5BF1"/>
    <w:rsid w:val="337D0D36"/>
    <w:rsid w:val="342033A2"/>
    <w:rsid w:val="34474DD2"/>
    <w:rsid w:val="35562C74"/>
    <w:rsid w:val="37360638"/>
    <w:rsid w:val="37B704C1"/>
    <w:rsid w:val="37C36E66"/>
    <w:rsid w:val="383C2774"/>
    <w:rsid w:val="39047736"/>
    <w:rsid w:val="394713D0"/>
    <w:rsid w:val="398D772B"/>
    <w:rsid w:val="399A59A4"/>
    <w:rsid w:val="39C66799"/>
    <w:rsid w:val="3B4219A0"/>
    <w:rsid w:val="3B914B85"/>
    <w:rsid w:val="3BC82C9D"/>
    <w:rsid w:val="3BDD327F"/>
    <w:rsid w:val="3D6407A3"/>
    <w:rsid w:val="3E7A2248"/>
    <w:rsid w:val="40E816EB"/>
    <w:rsid w:val="416C40CA"/>
    <w:rsid w:val="41CF4659"/>
    <w:rsid w:val="4255690C"/>
    <w:rsid w:val="42EC2E6D"/>
    <w:rsid w:val="42F36125"/>
    <w:rsid w:val="43547A1E"/>
    <w:rsid w:val="444A6219"/>
    <w:rsid w:val="45763769"/>
    <w:rsid w:val="4690085B"/>
    <w:rsid w:val="469E0729"/>
    <w:rsid w:val="47857C94"/>
    <w:rsid w:val="48710218"/>
    <w:rsid w:val="48C94277"/>
    <w:rsid w:val="49E05655"/>
    <w:rsid w:val="4A832DD5"/>
    <w:rsid w:val="4B49547C"/>
    <w:rsid w:val="4CBB4158"/>
    <w:rsid w:val="4D447CA9"/>
    <w:rsid w:val="4D56216C"/>
    <w:rsid w:val="4E1F24C4"/>
    <w:rsid w:val="4E651FE8"/>
    <w:rsid w:val="4E762ABE"/>
    <w:rsid w:val="4FD74E04"/>
    <w:rsid w:val="507F724A"/>
    <w:rsid w:val="50DB0924"/>
    <w:rsid w:val="523D0641"/>
    <w:rsid w:val="523D34F4"/>
    <w:rsid w:val="52EF4B5B"/>
    <w:rsid w:val="55652AC4"/>
    <w:rsid w:val="565E627F"/>
    <w:rsid w:val="56612F25"/>
    <w:rsid w:val="57C9597B"/>
    <w:rsid w:val="580735BC"/>
    <w:rsid w:val="580746F5"/>
    <w:rsid w:val="591B0458"/>
    <w:rsid w:val="595C281E"/>
    <w:rsid w:val="59A71CEC"/>
    <w:rsid w:val="59C748A7"/>
    <w:rsid w:val="59E720E8"/>
    <w:rsid w:val="5A706581"/>
    <w:rsid w:val="5ABD109B"/>
    <w:rsid w:val="5AEC372E"/>
    <w:rsid w:val="5B1C2265"/>
    <w:rsid w:val="5BBD0173"/>
    <w:rsid w:val="5BE121A7"/>
    <w:rsid w:val="5DFE5C52"/>
    <w:rsid w:val="5E0771FD"/>
    <w:rsid w:val="5E2C6C63"/>
    <w:rsid w:val="5EDD786E"/>
    <w:rsid w:val="5EE73DC1"/>
    <w:rsid w:val="5EF579C8"/>
    <w:rsid w:val="5F1B49ED"/>
    <w:rsid w:val="5F54797E"/>
    <w:rsid w:val="5FAE5456"/>
    <w:rsid w:val="5FCF6572"/>
    <w:rsid w:val="600A6B30"/>
    <w:rsid w:val="60FB2842"/>
    <w:rsid w:val="61D70C94"/>
    <w:rsid w:val="624A3B5C"/>
    <w:rsid w:val="63716EC6"/>
    <w:rsid w:val="64382ACA"/>
    <w:rsid w:val="64405216"/>
    <w:rsid w:val="645C52D0"/>
    <w:rsid w:val="646A4041"/>
    <w:rsid w:val="652930D1"/>
    <w:rsid w:val="65C717C5"/>
    <w:rsid w:val="660F30F2"/>
    <w:rsid w:val="66D24120"/>
    <w:rsid w:val="66D9725C"/>
    <w:rsid w:val="67BF46A4"/>
    <w:rsid w:val="67FA1B80"/>
    <w:rsid w:val="68321757"/>
    <w:rsid w:val="68773217"/>
    <w:rsid w:val="68C1444C"/>
    <w:rsid w:val="699456BD"/>
    <w:rsid w:val="699658D9"/>
    <w:rsid w:val="69E45977"/>
    <w:rsid w:val="6A254E78"/>
    <w:rsid w:val="6AA33E09"/>
    <w:rsid w:val="6B626157"/>
    <w:rsid w:val="6B8D008F"/>
    <w:rsid w:val="6BAC3463"/>
    <w:rsid w:val="6BE97F42"/>
    <w:rsid w:val="6C152AE5"/>
    <w:rsid w:val="6CCF3DD4"/>
    <w:rsid w:val="6D6B5FE4"/>
    <w:rsid w:val="6E453429"/>
    <w:rsid w:val="6F401568"/>
    <w:rsid w:val="6F7F210C"/>
    <w:rsid w:val="6F9C52CB"/>
    <w:rsid w:val="70336864"/>
    <w:rsid w:val="70856F2A"/>
    <w:rsid w:val="71026966"/>
    <w:rsid w:val="729727E7"/>
    <w:rsid w:val="73092C77"/>
    <w:rsid w:val="74C97F59"/>
    <w:rsid w:val="75151DA7"/>
    <w:rsid w:val="75E1200D"/>
    <w:rsid w:val="77A967D7"/>
    <w:rsid w:val="785F7466"/>
    <w:rsid w:val="78656BA2"/>
    <w:rsid w:val="79333656"/>
    <w:rsid w:val="79E306C6"/>
    <w:rsid w:val="79E57CFB"/>
    <w:rsid w:val="79F503F9"/>
    <w:rsid w:val="7AFD2CD7"/>
    <w:rsid w:val="7BCC6F38"/>
    <w:rsid w:val="7C06069C"/>
    <w:rsid w:val="7C3A20F4"/>
    <w:rsid w:val="7C3C2310"/>
    <w:rsid w:val="7C4C339B"/>
    <w:rsid w:val="7CAC1243"/>
    <w:rsid w:val="7D060CE3"/>
    <w:rsid w:val="7D2D3A06"/>
    <w:rsid w:val="7E3239CA"/>
    <w:rsid w:val="7E4A44F7"/>
    <w:rsid w:val="7EEB3B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qFormat="1" w:unhideWhenUsed="0" w:uiPriority="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qFormat="1" w:unhideWhenUsed="0" w:uiPriority="0" w:semiHidden="0"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qFormat="1"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qFormat="1" w:unhideWhenUsed="0" w:uiPriority="0" w:semiHidden="0"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8">
    <w:name w:val="Default Paragraph Font"/>
    <w:autoRedefine/>
    <w:unhideWhenUsed/>
    <w:qFormat/>
    <w:uiPriority w:val="1"/>
  </w:style>
  <w:style w:type="table" w:default="1" w:styleId="17">
    <w:name w:val="Normal Table"/>
    <w:autoRedefin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2">
    <w:name w:val="endnote text"/>
    <w:basedOn w:val="1"/>
    <w:next w:val="3"/>
    <w:autoRedefine/>
    <w:qFormat/>
    <w:uiPriority w:val="0"/>
    <w:pPr>
      <w:snapToGrid w:val="0"/>
      <w:jc w:val="left"/>
    </w:pPr>
  </w:style>
  <w:style w:type="paragraph" w:styleId="3">
    <w:name w:val="Plain Text"/>
    <w:basedOn w:val="1"/>
    <w:next w:val="1"/>
    <w:autoRedefine/>
    <w:qFormat/>
    <w:uiPriority w:val="0"/>
    <w:rPr>
      <w:rFonts w:ascii="宋体" w:hAnsi="Courier New"/>
    </w:rPr>
  </w:style>
  <w:style w:type="paragraph" w:styleId="4">
    <w:name w:val="E-mail Signature"/>
    <w:basedOn w:val="1"/>
    <w:next w:val="5"/>
    <w:autoRedefine/>
    <w:qFormat/>
    <w:uiPriority w:val="0"/>
    <w:pPr>
      <w:spacing w:line="460" w:lineRule="exact"/>
      <w:ind w:firstLine="200"/>
    </w:pPr>
    <w:rPr>
      <w:sz w:val="24"/>
    </w:rPr>
  </w:style>
  <w:style w:type="paragraph" w:customStyle="1" w:styleId="5">
    <w:name w:val="文章"/>
    <w:basedOn w:val="6"/>
    <w:next w:val="7"/>
    <w:autoRedefine/>
    <w:qFormat/>
    <w:uiPriority w:val="0"/>
    <w:pPr>
      <w:widowControl/>
      <w:ind w:firstLine="480"/>
      <w:jc w:val="center"/>
    </w:pPr>
    <w:rPr>
      <w:sz w:val="26"/>
    </w:rPr>
  </w:style>
  <w:style w:type="paragraph" w:styleId="6">
    <w:name w:val="Body Text Indent"/>
    <w:basedOn w:val="1"/>
    <w:next w:val="1"/>
    <w:autoRedefine/>
    <w:qFormat/>
    <w:uiPriority w:val="0"/>
    <w:pPr>
      <w:spacing w:after="120"/>
      <w:ind w:left="420" w:leftChars="200"/>
    </w:pPr>
    <w:rPr>
      <w:kern w:val="0"/>
      <w:sz w:val="24"/>
      <w:szCs w:val="20"/>
    </w:rPr>
  </w:style>
  <w:style w:type="paragraph" w:styleId="7">
    <w:name w:val="List"/>
    <w:basedOn w:val="1"/>
    <w:next w:val="8"/>
    <w:autoRedefine/>
    <w:qFormat/>
    <w:uiPriority w:val="0"/>
    <w:pPr>
      <w:ind w:left="200" w:hanging="200" w:hangingChars="200"/>
      <w:contextualSpacing/>
    </w:pPr>
  </w:style>
  <w:style w:type="paragraph" w:styleId="8">
    <w:name w:val="List Bullet 2"/>
    <w:basedOn w:val="1"/>
    <w:next w:val="9"/>
    <w:autoRedefine/>
    <w:semiHidden/>
    <w:unhideWhenUsed/>
    <w:qFormat/>
    <w:uiPriority w:val="99"/>
    <w:pPr>
      <w:numPr>
        <w:ilvl w:val="0"/>
        <w:numId w:val="1"/>
      </w:numPr>
    </w:pPr>
  </w:style>
  <w:style w:type="paragraph" w:customStyle="1" w:styleId="9">
    <w:name w:val="xl70"/>
    <w:basedOn w:val="1"/>
    <w:next w:val="10"/>
    <w:autoRedefine/>
    <w:qFormat/>
    <w:uiPriority w:val="0"/>
    <w:pPr>
      <w:widowControl/>
      <w:spacing w:before="280" w:after="280"/>
    </w:pPr>
    <w:rPr>
      <w:rFonts w:ascii="宋体"/>
    </w:rPr>
  </w:style>
  <w:style w:type="paragraph" w:customStyle="1" w:styleId="10">
    <w:name w:val="正文缩进1"/>
    <w:basedOn w:val="1"/>
    <w:next w:val="11"/>
    <w:autoRedefine/>
    <w:qFormat/>
    <w:uiPriority w:val="0"/>
    <w:pPr>
      <w:ind w:firstLine="420"/>
    </w:pPr>
    <w:rPr>
      <w:szCs w:val="20"/>
    </w:rPr>
  </w:style>
  <w:style w:type="paragraph" w:customStyle="1" w:styleId="11">
    <w:name w:val="td1"/>
    <w:basedOn w:val="1"/>
    <w:next w:val="1"/>
    <w:autoRedefine/>
    <w:qFormat/>
    <w:uiPriority w:val="0"/>
    <w:pPr>
      <w:widowControl/>
      <w:spacing w:before="280" w:after="280" w:line="300" w:lineRule="atLeast"/>
      <w:ind w:firstLine="200"/>
    </w:pPr>
    <w:rPr>
      <w:color w:val="000000"/>
      <w:sz w:val="18"/>
    </w:rPr>
  </w:style>
  <w:style w:type="paragraph" w:styleId="12">
    <w:name w:val="Body Text"/>
    <w:basedOn w:val="1"/>
    <w:next w:val="1"/>
    <w:autoRedefine/>
    <w:qFormat/>
    <w:uiPriority w:val="0"/>
    <w:pPr>
      <w:widowControl/>
      <w:snapToGrid w:val="0"/>
      <w:spacing w:before="60" w:after="160" w:line="259" w:lineRule="auto"/>
      <w:ind w:right="113"/>
    </w:pPr>
    <w:rPr>
      <w:kern w:val="0"/>
      <w:sz w:val="18"/>
      <w:szCs w:val="20"/>
    </w:rPr>
  </w:style>
  <w:style w:type="paragraph" w:styleId="13">
    <w:name w:val="footer"/>
    <w:basedOn w:val="1"/>
    <w:next w:val="1"/>
    <w:autoRedefine/>
    <w:semiHidden/>
    <w:unhideWhenUsed/>
    <w:qFormat/>
    <w:uiPriority w:val="99"/>
    <w:pPr>
      <w:tabs>
        <w:tab w:val="center" w:pos="4153"/>
        <w:tab w:val="right" w:pos="8306"/>
      </w:tabs>
      <w:snapToGrid w:val="0"/>
      <w:jc w:val="left"/>
    </w:pPr>
    <w:rPr>
      <w:sz w:val="18"/>
    </w:rPr>
  </w:style>
  <w:style w:type="paragraph" w:styleId="14">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5">
    <w:name w:val="toc 2"/>
    <w:basedOn w:val="1"/>
    <w:next w:val="4"/>
    <w:autoRedefine/>
    <w:semiHidden/>
    <w:qFormat/>
    <w:uiPriority w:val="0"/>
    <w:pPr>
      <w:spacing w:line="240" w:lineRule="exact"/>
      <w:jc w:val="center"/>
    </w:pPr>
    <w:rPr>
      <w:szCs w:val="24"/>
    </w:rPr>
  </w:style>
  <w:style w:type="paragraph" w:styleId="16">
    <w:name w:val="Body Text First Indent 2"/>
    <w:basedOn w:val="6"/>
    <w:next w:val="1"/>
    <w:autoRedefine/>
    <w:qFormat/>
    <w:uiPriority w:val="0"/>
    <w:pPr>
      <w:ind w:firstLine="420" w:firstLineChars="200"/>
    </w:pPr>
    <w:rPr>
      <w:kern w:val="2"/>
      <w:sz w:val="21"/>
      <w:szCs w:val="24"/>
    </w:rPr>
  </w:style>
  <w:style w:type="paragraph" w:customStyle="1" w:styleId="19">
    <w:name w:val="高-正文"/>
    <w:basedOn w:val="1"/>
    <w:autoRedefine/>
    <w:qFormat/>
    <w:uiPriority w:val="0"/>
    <w:pPr>
      <w:topLinePunct/>
      <w:adjustRightInd w:val="0"/>
      <w:snapToGrid w:val="0"/>
      <w:spacing w:line="480" w:lineRule="exact"/>
      <w:ind w:firstLine="600" w:firstLineChars="200"/>
    </w:pPr>
    <w:rPr>
      <w:kern w:val="0"/>
      <w:sz w:val="24"/>
    </w:rPr>
  </w:style>
  <w:style w:type="paragraph" w:customStyle="1" w:styleId="20">
    <w:name w:val="Default"/>
    <w:basedOn w:val="21"/>
    <w:next w:val="22"/>
    <w:autoRedefine/>
    <w:qFormat/>
    <w:uiPriority w:val="0"/>
    <w:pPr>
      <w:widowControl w:val="0"/>
      <w:autoSpaceDE w:val="0"/>
      <w:autoSpaceDN w:val="0"/>
      <w:adjustRightInd w:val="0"/>
    </w:pPr>
    <w:rPr>
      <w:rFonts w:ascii="宋体" w:cs="宋体"/>
      <w:color w:val="000000"/>
      <w:sz w:val="24"/>
      <w:szCs w:val="24"/>
      <w:lang w:val="en-US" w:eastAsia="zh-CN" w:bidi="ar-SA"/>
    </w:rPr>
  </w:style>
  <w:style w:type="paragraph" w:customStyle="1" w:styleId="21">
    <w:name w:val="纯文本1"/>
    <w:basedOn w:val="1"/>
    <w:autoRedefine/>
    <w:qFormat/>
    <w:uiPriority w:val="0"/>
    <w:pPr>
      <w:adjustRightInd w:val="0"/>
      <w:textAlignment w:val="baseline"/>
    </w:pPr>
    <w:rPr>
      <w:rFonts w:ascii="宋体" w:hAnsi="Courier New"/>
      <w:snapToGrid w:val="0"/>
      <w:sz w:val="28"/>
    </w:rPr>
  </w:style>
  <w:style w:type="paragraph" w:customStyle="1" w:styleId="22">
    <w:name w:val="样式35"/>
    <w:basedOn w:val="23"/>
    <w:next w:val="24"/>
    <w:autoRedefine/>
    <w:qFormat/>
    <w:uiPriority w:val="0"/>
    <w:pPr>
      <w:spacing w:line="312" w:lineRule="auto"/>
      <w:ind w:firstLine="567"/>
    </w:pPr>
    <w:rPr>
      <w:rFonts w:ascii="宋体"/>
    </w:rPr>
  </w:style>
  <w:style w:type="paragraph" w:customStyle="1" w:styleId="23">
    <w:name w:val="表 内容"/>
    <w:basedOn w:val="1"/>
    <w:autoRedefine/>
    <w:qFormat/>
    <w:uiPriority w:val="0"/>
    <w:pPr>
      <w:spacing w:line="240" w:lineRule="atLeast"/>
      <w:jc w:val="center"/>
    </w:pPr>
  </w:style>
  <w:style w:type="paragraph" w:customStyle="1" w:styleId="24">
    <w:name w:val="font6"/>
    <w:basedOn w:val="1"/>
    <w:next w:val="15"/>
    <w:autoRedefine/>
    <w:qFormat/>
    <w:uiPriority w:val="0"/>
    <w:pPr>
      <w:widowControl/>
      <w:spacing w:before="100" w:beforeAutospacing="1" w:after="100" w:afterAutospacing="1"/>
      <w:jc w:val="left"/>
    </w:pPr>
    <w:rPr>
      <w:rFonts w:eastAsia="Arial Unicode MS"/>
      <w:kern w:val="0"/>
      <w:sz w:val="24"/>
      <w:szCs w:val="20"/>
    </w:rPr>
  </w:style>
  <w:style w:type="paragraph" w:customStyle="1" w:styleId="25">
    <w:name w:val="Body text|1"/>
    <w:basedOn w:val="1"/>
    <w:autoRedefine/>
    <w:qFormat/>
    <w:uiPriority w:val="0"/>
    <w:pPr>
      <w:spacing w:line="449" w:lineRule="auto"/>
      <w:ind w:firstLine="400"/>
    </w:pPr>
    <w:rPr>
      <w:rFonts w:ascii="宋体" w:hAnsi="宋体" w:cs="宋体"/>
      <w:sz w:val="22"/>
      <w:szCs w:val="22"/>
      <w:lang w:val="zh-TW" w:eastAsia="zh-TW" w:bidi="zh-TW"/>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E586D99-A5F9-4698-A69F-01EF36BD7954}">
  <ds:schemaRefs/>
</ds:datastoreItem>
</file>

<file path=docProps/app.xml><?xml version="1.0" encoding="utf-8"?>
<Properties xmlns="http://schemas.openxmlformats.org/officeDocument/2006/extended-properties" xmlns:vt="http://schemas.openxmlformats.org/officeDocument/2006/docPropsVTypes">
  <Template>Normal</Template>
  <Pages>4</Pages>
  <Words>1499</Words>
  <Characters>1612</Characters>
  <Lines>14</Lines>
  <Paragraphs>4</Paragraphs>
  <TotalTime>4</TotalTime>
  <ScaleCrop>false</ScaleCrop>
  <LinksUpToDate>false</LinksUpToDate>
  <CharactersWithSpaces>1662</CharactersWithSpaces>
  <Application>WPS Office_12.1.0.17140_F1E327BC-269C-435d-A152-05C5408002CA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2022-11-11T10:34:00Z</dcterms:created>
  <dc:creator>dn</dc:creator>
  <cp:lastModifiedBy>sargai</cp:lastModifiedBy>
  <cp:lastPrinted>2024-08-12T03:31:00Z</cp:lastPrinted>
  <dcterms:modified xsi:type="dcterms:W3CDTF">2024-08-13T03:40:32Z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2052-12.1.0.17140</vt:lpwstr>
  </property>
  <property fmtid="{D5CDD505-2E9C-101B-9397-08002B2CF9AE}" pid="3" name="ICV">
    <vt:lpwstr>58CA69F143144A988AEDCED7E41418C8_13</vt:lpwstr>
  </property>
</Properties>
</file>