
<file path=[Content_Types].xml><?xml version="1.0" encoding="utf-8"?>
<Types xmlns="http://schemas.openxmlformats.org/package/2006/content-types">
  <Default Extension="xml" ContentType="application/xml"/>
  <Default Extension="bin" ContentType="application/vnd.openxmlformats-officedocument.oleObject"/>
  <Default Extension="emf" ContentType="image/x-emf"/>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42AF670">
      <w:pPr>
        <w:rPr>
          <w:b/>
          <w:color w:val="000000"/>
          <w:sz w:val="28"/>
          <w:szCs w:val="28"/>
        </w:rPr>
      </w:pPr>
      <w:r>
        <w:rPr>
          <w:b/>
          <w:color w:val="000000"/>
          <w:sz w:val="28"/>
          <w:szCs w:val="28"/>
        </w:rPr>
        <w:t>建设项目所在地自然环境社会环境简况</w:t>
      </w:r>
    </w:p>
    <w:tbl>
      <w:tblPr>
        <w:tblStyle w:val="25"/>
        <w:tblW w:w="0" w:type="auto"/>
        <w:tblInd w:w="-25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72"/>
      </w:tblGrid>
      <w:tr w14:paraId="7501A4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91" w:hRule="atLeast"/>
        </w:trPr>
        <w:tc>
          <w:tcPr>
            <w:tcW w:w="9072" w:type="dxa"/>
          </w:tcPr>
          <w:p w14:paraId="73F789A0">
            <w:pPr>
              <w:rPr>
                <w:b/>
                <w:color w:val="000000"/>
                <w:sz w:val="24"/>
              </w:rPr>
            </w:pPr>
            <w:r>
              <w:rPr>
                <w:b/>
                <w:color w:val="000000"/>
                <w:sz w:val="24"/>
              </w:rPr>
              <w:t>自然环境简况（地形、地貌、地质、气候、气象、水文、植被、生物多样性等）：</w:t>
            </w:r>
            <w:bookmarkStart w:id="0" w:name="_Toc308189383"/>
            <w:bookmarkStart w:id="1" w:name="_Toc235815328"/>
            <w:bookmarkStart w:id="2" w:name="_Toc237237858"/>
          </w:p>
          <w:bookmarkEnd w:id="0"/>
          <w:bookmarkEnd w:id="1"/>
          <w:bookmarkEnd w:id="2"/>
          <w:p w14:paraId="7C9937C4">
            <w:pPr>
              <w:spacing w:beforeLines="50"/>
              <w:ind w:firstLine="480" w:firstLineChars="200"/>
              <w:rPr>
                <w:color w:val="000000"/>
                <w:sz w:val="24"/>
              </w:rPr>
            </w:pPr>
            <w:r>
              <w:rPr>
                <w:color w:val="000000"/>
                <w:sz w:val="24"/>
              </w:rPr>
              <w:t>1、地理位置</w:t>
            </w:r>
          </w:p>
          <w:p w14:paraId="13C67204">
            <w:pPr>
              <w:ind w:firstLine="480" w:firstLineChars="200"/>
              <w:rPr>
                <w:rFonts w:hint="eastAsia"/>
                <w:sz w:val="24"/>
              </w:rPr>
            </w:pPr>
            <w:r>
              <w:rPr>
                <w:rFonts w:hint="eastAsia"/>
                <w:sz w:val="24"/>
              </w:rPr>
              <w:t>苏尼特左旗位于位于内蒙古自治区锡林郭勒盟西北部，东与阿巴嘎旗接壤，南连正镶白旗、正蓝旗，西南与苏尼特右旗、二连浩特市相邻，西、北与蒙古国交界，国界线长316km。地理坐标北</w:t>
            </w:r>
            <w:r>
              <w:rPr>
                <w:sz w:val="24"/>
              </w:rPr>
              <w:t>纬42°45′～45°15′，东经111°24′～115°12′</w:t>
            </w:r>
            <w:r>
              <w:rPr>
                <w:rFonts w:hint="eastAsia"/>
                <w:sz w:val="24"/>
              </w:rPr>
              <w:t>，南北长335km，东西宽160km，总面积为34251.7km</w:t>
            </w:r>
            <w:r>
              <w:rPr>
                <w:rFonts w:hint="eastAsia"/>
                <w:sz w:val="24"/>
                <w:vertAlign w:val="superscript"/>
              </w:rPr>
              <w:t>2</w:t>
            </w:r>
            <w:r>
              <w:rPr>
                <w:rFonts w:hint="eastAsia"/>
                <w:sz w:val="24"/>
              </w:rPr>
              <w:t>。</w:t>
            </w:r>
          </w:p>
          <w:p w14:paraId="3DA08300">
            <w:pPr>
              <w:ind w:firstLine="480" w:firstLineChars="200"/>
              <w:rPr>
                <w:rFonts w:hint="eastAsia"/>
                <w:color w:val="000000"/>
                <w:sz w:val="24"/>
              </w:rPr>
            </w:pPr>
            <w:r>
              <w:rPr>
                <w:rFonts w:hint="eastAsia"/>
                <w:sz w:val="24"/>
              </w:rPr>
              <w:t>本项目位于内蒙古自治区锡林郭勒盟</w:t>
            </w:r>
            <w:r>
              <w:rPr>
                <w:rFonts w:hint="eastAsia" w:ascii="宋体" w:hAnsi="宋体" w:cs="宋体"/>
                <w:sz w:val="24"/>
              </w:rPr>
              <w:t>苏尼特左旗满都拉图镇东北</w:t>
            </w:r>
            <w:r>
              <w:rPr>
                <w:sz w:val="24"/>
              </w:rPr>
              <w:t>2</w:t>
            </w:r>
            <w:r>
              <w:rPr>
                <w:rFonts w:hint="eastAsia"/>
                <w:sz w:val="24"/>
              </w:rPr>
              <w:t>6</w:t>
            </w:r>
            <w:r>
              <w:rPr>
                <w:sz w:val="24"/>
              </w:rPr>
              <w:t>km</w:t>
            </w:r>
            <w:r>
              <w:rPr>
                <w:rFonts w:hint="eastAsia"/>
                <w:sz w:val="24"/>
              </w:rPr>
              <w:t>处，</w:t>
            </w:r>
            <w:r>
              <w:rPr>
                <w:rFonts w:hint="eastAsia"/>
                <w:sz w:val="24"/>
                <w:szCs w:val="22"/>
              </w:rPr>
              <w:t>风电场中心坐标</w:t>
            </w:r>
            <w:r>
              <w:rPr>
                <w:sz w:val="24"/>
                <w:szCs w:val="22"/>
              </w:rPr>
              <w:t>N</w:t>
            </w:r>
            <w:r>
              <w:rPr>
                <w:rFonts w:hint="eastAsia"/>
                <w:sz w:val="24"/>
                <w:szCs w:val="22"/>
              </w:rPr>
              <w:t>：</w:t>
            </w:r>
            <w:r>
              <w:rPr>
                <w:sz w:val="24"/>
                <w:szCs w:val="22"/>
              </w:rPr>
              <w:t>4</w:t>
            </w:r>
            <w:r>
              <w:rPr>
                <w:rFonts w:hint="eastAsia"/>
                <w:sz w:val="24"/>
                <w:szCs w:val="22"/>
              </w:rPr>
              <w:t>4</w:t>
            </w:r>
            <w:r>
              <w:rPr>
                <w:sz w:val="24"/>
                <w:szCs w:val="22"/>
              </w:rPr>
              <w:t>°</w:t>
            </w:r>
            <w:r>
              <w:rPr>
                <w:rFonts w:hint="eastAsia"/>
                <w:sz w:val="24"/>
                <w:szCs w:val="22"/>
              </w:rPr>
              <w:t>02</w:t>
            </w:r>
            <w:r>
              <w:rPr>
                <w:sz w:val="24"/>
                <w:szCs w:val="22"/>
              </w:rPr>
              <w:t>'</w:t>
            </w:r>
            <w:r>
              <w:rPr>
                <w:rFonts w:hint="eastAsia"/>
                <w:sz w:val="24"/>
                <w:szCs w:val="22"/>
              </w:rPr>
              <w:t>16.53</w:t>
            </w:r>
            <w:r>
              <w:rPr>
                <w:sz w:val="24"/>
                <w:szCs w:val="22"/>
              </w:rPr>
              <w:t>"</w:t>
            </w:r>
            <w:r>
              <w:rPr>
                <w:rFonts w:hint="eastAsia"/>
                <w:sz w:val="24"/>
                <w:szCs w:val="22"/>
              </w:rPr>
              <w:t>，</w:t>
            </w:r>
            <w:r>
              <w:rPr>
                <w:sz w:val="24"/>
                <w:szCs w:val="22"/>
              </w:rPr>
              <w:t>E</w:t>
            </w:r>
            <w:r>
              <w:rPr>
                <w:rFonts w:hint="eastAsia"/>
                <w:sz w:val="24"/>
                <w:szCs w:val="22"/>
              </w:rPr>
              <w:t>：</w:t>
            </w:r>
            <w:r>
              <w:rPr>
                <w:sz w:val="24"/>
                <w:szCs w:val="22"/>
              </w:rPr>
              <w:t>11</w:t>
            </w:r>
            <w:r>
              <w:rPr>
                <w:rFonts w:hint="eastAsia"/>
                <w:sz w:val="24"/>
                <w:szCs w:val="22"/>
              </w:rPr>
              <w:t>4</w:t>
            </w:r>
            <w:r>
              <w:rPr>
                <w:sz w:val="24"/>
                <w:szCs w:val="22"/>
              </w:rPr>
              <w:t>°</w:t>
            </w:r>
            <w:r>
              <w:rPr>
                <w:rFonts w:hint="eastAsia"/>
                <w:sz w:val="24"/>
                <w:szCs w:val="22"/>
              </w:rPr>
              <w:t>02</w:t>
            </w:r>
            <w:r>
              <w:rPr>
                <w:sz w:val="24"/>
                <w:szCs w:val="22"/>
              </w:rPr>
              <w:t>'</w:t>
            </w:r>
            <w:r>
              <w:rPr>
                <w:rFonts w:hint="eastAsia"/>
                <w:sz w:val="24"/>
                <w:szCs w:val="22"/>
              </w:rPr>
              <w:t>13.38</w:t>
            </w:r>
            <w:r>
              <w:rPr>
                <w:sz w:val="24"/>
                <w:szCs w:val="22"/>
              </w:rPr>
              <w:t>"</w:t>
            </w:r>
            <w:r>
              <w:rPr>
                <w:rFonts w:hint="eastAsia"/>
                <w:sz w:val="24"/>
                <w:szCs w:val="22"/>
              </w:rPr>
              <w:t>。</w:t>
            </w:r>
          </w:p>
          <w:p w14:paraId="381DCC73">
            <w:pPr>
              <w:ind w:firstLine="480" w:firstLineChars="200"/>
              <w:rPr>
                <w:rFonts w:hint="eastAsia"/>
                <w:color w:val="000000"/>
                <w:sz w:val="24"/>
              </w:rPr>
            </w:pPr>
            <w:r>
              <w:rPr>
                <w:color w:val="000000"/>
                <w:kern w:val="0"/>
                <w:sz w:val="24"/>
              </w:rPr>
              <w:t>2、地形</w:t>
            </w:r>
            <w:r>
              <w:rPr>
                <w:color w:val="000000"/>
                <w:sz w:val="24"/>
              </w:rPr>
              <w:t>地貌</w:t>
            </w:r>
          </w:p>
          <w:p w14:paraId="1177F120">
            <w:pPr>
              <w:ind w:firstLine="480" w:firstLineChars="200"/>
              <w:rPr>
                <w:rFonts w:hint="eastAsia" w:hAnsi="宋体"/>
                <w:bCs/>
                <w:sz w:val="24"/>
              </w:rPr>
            </w:pPr>
            <w:r>
              <w:rPr>
                <w:rFonts w:hint="eastAsia"/>
                <w:sz w:val="24"/>
              </w:rPr>
              <w:t>苏尼特左旗</w:t>
            </w:r>
            <w:r>
              <w:rPr>
                <w:color w:val="000000"/>
                <w:kern w:val="0"/>
                <w:sz w:val="24"/>
              </w:rPr>
              <w:t>地形</w:t>
            </w:r>
            <w:r>
              <w:rPr>
                <w:rFonts w:hint="eastAsia"/>
                <w:color w:val="000000"/>
                <w:kern w:val="0"/>
                <w:sz w:val="24"/>
              </w:rPr>
              <w:t>南高北低，西高东低，海拔约1000</w:t>
            </w:r>
            <w:r>
              <w:rPr>
                <w:sz w:val="24"/>
              </w:rPr>
              <w:t>～</w:t>
            </w:r>
            <w:r>
              <w:rPr>
                <w:rFonts w:hint="eastAsia"/>
                <w:sz w:val="24"/>
              </w:rPr>
              <w:t>1500m，相对高差约500m。全旗地形分为三大自然类，南部为丘陵山石区，中部为库布齐沙漠区，北部为黄河冲积平原。地貌类型有高平原、丘陵、沙地、湖盆低地四大地貌类型。其中高平原为主要地貌类型，占总土地面积的67.82%，按其形态可分为波状高平原和层状高平原两类，波状高平原在一定范围有明显的波状起伏或残丘散布，常有片麻岩、花岗岩、沙岩、砂砾岩和玄武岩等岩石裸露。层状高平原起伏较缓和，其上布满砂砾或覆沙。沙地分布于南部，属浑善达克沙地西北缘。沙地覆盖在由砂砾层和砂层组成的第三纪构造剥蚀高平原上，沙区地貌受西北风的影响十分明显，固定的沙垄多呈西南—东北方向排列。</w:t>
            </w:r>
          </w:p>
          <w:p w14:paraId="4197196E">
            <w:pPr>
              <w:ind w:firstLine="480" w:firstLineChars="200"/>
              <w:rPr>
                <w:rFonts w:hint="eastAsia"/>
                <w:sz w:val="24"/>
              </w:rPr>
            </w:pPr>
            <w:r>
              <w:rPr>
                <w:rFonts w:hint="eastAsia"/>
                <w:sz w:val="24"/>
              </w:rPr>
              <w:t>风电场所在区域地貌类型为低山丘陵，高差较大，山顶多成浑圆状，总体地势由东南向西北逐渐变低。</w:t>
            </w:r>
          </w:p>
          <w:p w14:paraId="11B0B758">
            <w:pPr>
              <w:ind w:firstLine="480" w:firstLineChars="200"/>
              <w:rPr>
                <w:bCs/>
                <w:sz w:val="24"/>
              </w:rPr>
            </w:pPr>
            <w:r>
              <w:rPr>
                <w:bCs/>
                <w:sz w:val="24"/>
              </w:rPr>
              <w:t>3、气象条件</w:t>
            </w:r>
          </w:p>
          <w:p w14:paraId="73C16671">
            <w:pPr>
              <w:ind w:firstLine="480" w:firstLineChars="200"/>
              <w:rPr>
                <w:rFonts w:hint="eastAsia" w:hAnsi="宋体"/>
                <w:bCs/>
                <w:sz w:val="24"/>
              </w:rPr>
            </w:pPr>
            <w:r>
              <w:rPr>
                <w:rFonts w:hint="eastAsia" w:hAnsi="宋体"/>
                <w:bCs/>
                <w:sz w:val="24"/>
              </w:rPr>
              <w:t>（1）区域气象条件</w:t>
            </w:r>
          </w:p>
          <w:p w14:paraId="11A5E85A">
            <w:pPr>
              <w:ind w:firstLine="480" w:firstLineChars="200"/>
              <w:rPr>
                <w:rFonts w:hint="eastAsia" w:hAnsi="宋体"/>
                <w:bCs/>
                <w:sz w:val="24"/>
              </w:rPr>
            </w:pPr>
            <w:r>
              <w:rPr>
                <w:rFonts w:hint="eastAsia"/>
                <w:sz w:val="24"/>
              </w:rPr>
              <w:t>苏尼特左旗属于典型的中温带大陆性干旱季风气候区，干燥多风，降水量少，蒸发量大。夏季短且炎热，冬季长而寒冷，气温的年较差和日较差均较大。该地区平均气温3.9</w:t>
            </w:r>
            <w:r>
              <w:rPr>
                <w:rFonts w:hint="eastAsia" w:hAnsi="宋体"/>
                <w:bCs/>
                <w:sz w:val="24"/>
              </w:rPr>
              <w:t>℃，极端最低气温出现在一月，其值为-39.6℃，极端最高气温出现在七月，其值为41.5℃。年平均降水量为185.2mm，年最大降水量为321.7mm，最小降水量为96.3mm，降水主要集中在6</w:t>
            </w:r>
            <w:r>
              <w:rPr>
                <w:sz w:val="24"/>
              </w:rPr>
              <w:t>～</w:t>
            </w:r>
            <w:r>
              <w:rPr>
                <w:rFonts w:hint="eastAsia" w:hAnsi="宋体"/>
                <w:bCs/>
                <w:sz w:val="24"/>
              </w:rPr>
              <w:t>9月份，占全年降水的76.1%左右，日最大降水量97.7mm，一次连续最大降水量116.9mm。年平均相对湿度50.5%，夏季和冬季相对湿度较大，平均分别为64.7%和50.0%，春季是相对湿度最小的季节，平均为38.0%。年平均蒸发量2433.7mm，年平均蒸发量是年平均降水量的13.1倍。年平均气压891.0hPa，年平均风速为3.9m/s。</w:t>
            </w:r>
          </w:p>
          <w:p w14:paraId="04425191">
            <w:pPr>
              <w:ind w:firstLine="480" w:firstLineChars="200"/>
              <w:rPr>
                <w:rFonts w:hint="eastAsia" w:hAnsi="宋体"/>
                <w:bCs/>
                <w:sz w:val="24"/>
              </w:rPr>
            </w:pPr>
            <w:r>
              <w:rPr>
                <w:rFonts w:hint="eastAsia" w:hAnsi="宋体"/>
                <w:bCs/>
                <w:sz w:val="24"/>
              </w:rPr>
              <w:t>苏尼特左旗气象站位于锡林郭勒盟</w:t>
            </w:r>
            <w:r>
              <w:rPr>
                <w:rFonts w:hint="eastAsia"/>
                <w:sz w:val="24"/>
              </w:rPr>
              <w:t>满都拉图镇，</w:t>
            </w:r>
            <w:r>
              <w:rPr>
                <w:rFonts w:hint="eastAsia" w:hAnsi="宋体"/>
                <w:bCs/>
                <w:sz w:val="24"/>
              </w:rPr>
              <w:t>地理坐标约为</w:t>
            </w:r>
            <w:r>
              <w:rPr>
                <w:bCs/>
                <w:sz w:val="24"/>
              </w:rPr>
              <w:t>东经</w:t>
            </w:r>
            <w:r>
              <w:rPr>
                <w:rFonts w:hint="eastAsia"/>
                <w:bCs/>
                <w:sz w:val="24"/>
              </w:rPr>
              <w:t>113</w:t>
            </w:r>
            <w:r>
              <w:rPr>
                <w:bCs/>
                <w:sz w:val="24"/>
              </w:rPr>
              <w:t>º</w:t>
            </w:r>
            <w:r>
              <w:rPr>
                <w:rFonts w:hint="eastAsia"/>
                <w:bCs/>
                <w:sz w:val="24"/>
              </w:rPr>
              <w:t>38</w:t>
            </w:r>
            <w:r>
              <w:rPr>
                <w:bCs/>
                <w:sz w:val="24"/>
              </w:rPr>
              <w:t>′，北纬</w:t>
            </w:r>
            <w:r>
              <w:rPr>
                <w:rFonts w:hint="eastAsia"/>
                <w:bCs/>
                <w:sz w:val="24"/>
              </w:rPr>
              <w:t>43</w:t>
            </w:r>
            <w:r>
              <w:rPr>
                <w:bCs/>
                <w:sz w:val="24"/>
              </w:rPr>
              <w:t>º</w:t>
            </w:r>
            <w:r>
              <w:rPr>
                <w:rFonts w:hint="eastAsia"/>
                <w:bCs/>
                <w:sz w:val="24"/>
              </w:rPr>
              <w:t>51</w:t>
            </w:r>
            <w:r>
              <w:rPr>
                <w:bCs/>
                <w:sz w:val="24"/>
              </w:rPr>
              <w:t>′，</w:t>
            </w:r>
            <w:r>
              <w:rPr>
                <w:rFonts w:hint="eastAsia"/>
                <w:bCs/>
                <w:sz w:val="24"/>
              </w:rPr>
              <w:t>观测场海拔高度为1036.7m</w:t>
            </w:r>
            <w:r>
              <w:rPr>
                <w:rFonts w:hint="eastAsia" w:hAnsi="宋体"/>
                <w:bCs/>
                <w:sz w:val="24"/>
              </w:rPr>
              <w:t>。苏尼特左旗主要气象要素特征见表9。</w:t>
            </w:r>
          </w:p>
          <w:p w14:paraId="11C74FCA">
            <w:pPr>
              <w:ind w:firstLine="480" w:firstLineChars="200"/>
              <w:rPr>
                <w:rFonts w:hint="eastAsia" w:ascii="黑体" w:hAnsi="黑体" w:eastAsia="黑体"/>
                <w:sz w:val="24"/>
              </w:rPr>
            </w:pPr>
            <w:r>
              <w:rPr>
                <w:rFonts w:hint="eastAsia" w:ascii="黑体" w:hAnsi="黑体" w:eastAsia="黑体"/>
                <w:sz w:val="24"/>
              </w:rPr>
              <w:t>表9                    主要气象特征一览表</w:t>
            </w:r>
          </w:p>
          <w:tbl>
            <w:tblPr>
              <w:tblStyle w:val="25"/>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621"/>
              <w:gridCol w:w="1906"/>
              <w:gridCol w:w="758"/>
              <w:gridCol w:w="1090"/>
              <w:gridCol w:w="577"/>
              <w:gridCol w:w="1954"/>
              <w:gridCol w:w="755"/>
              <w:gridCol w:w="1128"/>
            </w:tblGrid>
            <w:tr w14:paraId="11411DC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621" w:type="dxa"/>
                  <w:vAlign w:val="center"/>
                </w:tcPr>
                <w:p w14:paraId="315E1B73">
                  <w:pPr>
                    <w:pStyle w:val="111"/>
                    <w:spacing w:line="240" w:lineRule="auto"/>
                    <w:ind w:left="-105" w:leftChars="-50" w:right="-105" w:rightChars="-50" w:firstLine="0" w:firstLineChars="0"/>
                    <w:jc w:val="center"/>
                    <w:rPr>
                      <w:rFonts w:hint="eastAsia"/>
                      <w:bCs/>
                      <w:snapToGrid w:val="0"/>
                      <w:kern w:val="24"/>
                      <w:sz w:val="21"/>
                      <w:szCs w:val="21"/>
                    </w:rPr>
                  </w:pPr>
                  <w:r>
                    <w:rPr>
                      <w:rFonts w:hint="eastAsia"/>
                      <w:bCs/>
                      <w:snapToGrid w:val="0"/>
                      <w:kern w:val="24"/>
                      <w:sz w:val="21"/>
                      <w:szCs w:val="21"/>
                    </w:rPr>
                    <w:t>序号</w:t>
                  </w:r>
                </w:p>
              </w:tc>
              <w:tc>
                <w:tcPr>
                  <w:tcW w:w="1906" w:type="dxa"/>
                  <w:vAlign w:val="center"/>
                </w:tcPr>
                <w:p w14:paraId="60D1C590">
                  <w:pPr>
                    <w:pStyle w:val="111"/>
                    <w:spacing w:line="240" w:lineRule="auto"/>
                    <w:ind w:left="-105" w:leftChars="-50" w:right="-105" w:rightChars="-50" w:firstLine="0" w:firstLineChars="0"/>
                    <w:jc w:val="center"/>
                    <w:rPr>
                      <w:rFonts w:hint="eastAsia"/>
                      <w:bCs/>
                      <w:snapToGrid w:val="0"/>
                      <w:kern w:val="24"/>
                      <w:sz w:val="21"/>
                      <w:szCs w:val="21"/>
                    </w:rPr>
                  </w:pPr>
                  <w:r>
                    <w:rPr>
                      <w:rFonts w:hint="eastAsia"/>
                      <w:bCs/>
                      <w:snapToGrid w:val="0"/>
                      <w:kern w:val="24"/>
                      <w:sz w:val="21"/>
                      <w:szCs w:val="21"/>
                    </w:rPr>
                    <w:t>项目</w:t>
                  </w:r>
                </w:p>
              </w:tc>
              <w:tc>
                <w:tcPr>
                  <w:tcW w:w="758" w:type="dxa"/>
                  <w:vAlign w:val="center"/>
                </w:tcPr>
                <w:p w14:paraId="2D2DF496">
                  <w:pPr>
                    <w:pStyle w:val="111"/>
                    <w:spacing w:line="240" w:lineRule="auto"/>
                    <w:ind w:left="-25" w:right="-105" w:rightChars="-50" w:firstLine="0" w:firstLineChars="0"/>
                    <w:jc w:val="center"/>
                    <w:rPr>
                      <w:rFonts w:hint="eastAsia"/>
                      <w:bCs/>
                      <w:snapToGrid w:val="0"/>
                      <w:kern w:val="24"/>
                      <w:sz w:val="21"/>
                      <w:szCs w:val="21"/>
                    </w:rPr>
                  </w:pPr>
                  <w:r>
                    <w:rPr>
                      <w:rFonts w:hint="eastAsia"/>
                      <w:bCs/>
                      <w:snapToGrid w:val="0"/>
                      <w:kern w:val="24"/>
                      <w:sz w:val="21"/>
                      <w:szCs w:val="21"/>
                    </w:rPr>
                    <w:t>单位</w:t>
                  </w:r>
                </w:p>
              </w:tc>
              <w:tc>
                <w:tcPr>
                  <w:tcW w:w="1090" w:type="dxa"/>
                  <w:tcBorders>
                    <w:right w:val="double" w:color="auto" w:sz="4" w:space="0"/>
                  </w:tcBorders>
                  <w:vAlign w:val="center"/>
                </w:tcPr>
                <w:p w14:paraId="7309431E">
                  <w:pPr>
                    <w:pStyle w:val="111"/>
                    <w:spacing w:line="240" w:lineRule="auto"/>
                    <w:ind w:left="-105" w:leftChars="-50" w:right="-105" w:rightChars="-50" w:firstLine="0" w:firstLineChars="0"/>
                    <w:jc w:val="center"/>
                    <w:rPr>
                      <w:rFonts w:hint="eastAsia"/>
                      <w:bCs/>
                      <w:snapToGrid w:val="0"/>
                      <w:kern w:val="24"/>
                      <w:sz w:val="21"/>
                      <w:szCs w:val="21"/>
                    </w:rPr>
                  </w:pPr>
                  <w:r>
                    <w:rPr>
                      <w:rFonts w:hint="eastAsia"/>
                      <w:bCs/>
                      <w:snapToGrid w:val="0"/>
                      <w:kern w:val="24"/>
                      <w:sz w:val="21"/>
                      <w:szCs w:val="21"/>
                    </w:rPr>
                    <w:t>数据</w:t>
                  </w:r>
                </w:p>
              </w:tc>
              <w:tc>
                <w:tcPr>
                  <w:tcW w:w="577" w:type="dxa"/>
                  <w:tcBorders>
                    <w:top w:val="single" w:color="auto" w:sz="8" w:space="0"/>
                    <w:left w:val="double" w:color="auto" w:sz="4" w:space="0"/>
                    <w:bottom w:val="single" w:color="auto" w:sz="4" w:space="0"/>
                  </w:tcBorders>
                  <w:vAlign w:val="center"/>
                </w:tcPr>
                <w:p w14:paraId="35C03FFA">
                  <w:pPr>
                    <w:pStyle w:val="111"/>
                    <w:spacing w:line="240" w:lineRule="auto"/>
                    <w:ind w:left="-105" w:leftChars="-50" w:right="-105" w:rightChars="-50" w:firstLine="0" w:firstLineChars="0"/>
                    <w:jc w:val="center"/>
                    <w:rPr>
                      <w:rFonts w:hint="eastAsia"/>
                      <w:bCs/>
                      <w:snapToGrid w:val="0"/>
                      <w:kern w:val="24"/>
                      <w:sz w:val="21"/>
                      <w:szCs w:val="21"/>
                    </w:rPr>
                  </w:pPr>
                  <w:r>
                    <w:rPr>
                      <w:rFonts w:hint="eastAsia"/>
                      <w:bCs/>
                      <w:snapToGrid w:val="0"/>
                      <w:kern w:val="24"/>
                      <w:sz w:val="21"/>
                      <w:szCs w:val="21"/>
                    </w:rPr>
                    <w:t>序号</w:t>
                  </w:r>
                </w:p>
              </w:tc>
              <w:tc>
                <w:tcPr>
                  <w:tcW w:w="1954" w:type="dxa"/>
                  <w:tcBorders>
                    <w:top w:val="single" w:color="auto" w:sz="8" w:space="0"/>
                    <w:bottom w:val="single" w:color="auto" w:sz="4" w:space="0"/>
                  </w:tcBorders>
                  <w:tcMar>
                    <w:top w:w="28" w:type="dxa"/>
                    <w:left w:w="28" w:type="dxa"/>
                    <w:bottom w:w="28" w:type="dxa"/>
                    <w:right w:w="28" w:type="dxa"/>
                  </w:tcMar>
                  <w:vAlign w:val="center"/>
                </w:tcPr>
                <w:p w14:paraId="6429D0D8">
                  <w:pPr>
                    <w:pStyle w:val="111"/>
                    <w:spacing w:line="240" w:lineRule="auto"/>
                    <w:ind w:left="-105" w:leftChars="-50" w:right="-105" w:rightChars="-50" w:firstLine="0" w:firstLineChars="0"/>
                    <w:jc w:val="center"/>
                    <w:rPr>
                      <w:rFonts w:hint="eastAsia"/>
                      <w:bCs/>
                      <w:snapToGrid w:val="0"/>
                      <w:kern w:val="24"/>
                      <w:sz w:val="21"/>
                      <w:szCs w:val="21"/>
                    </w:rPr>
                  </w:pPr>
                  <w:r>
                    <w:rPr>
                      <w:rFonts w:hint="eastAsia"/>
                      <w:bCs/>
                      <w:snapToGrid w:val="0"/>
                      <w:kern w:val="24"/>
                      <w:sz w:val="21"/>
                      <w:szCs w:val="21"/>
                    </w:rPr>
                    <w:t>项目</w:t>
                  </w:r>
                </w:p>
              </w:tc>
              <w:tc>
                <w:tcPr>
                  <w:tcW w:w="755" w:type="dxa"/>
                  <w:tcBorders>
                    <w:top w:val="single" w:color="auto" w:sz="8" w:space="0"/>
                    <w:bottom w:val="single" w:color="auto" w:sz="4" w:space="0"/>
                  </w:tcBorders>
                  <w:vAlign w:val="center"/>
                </w:tcPr>
                <w:p w14:paraId="08DF3CB0">
                  <w:pPr>
                    <w:pStyle w:val="111"/>
                    <w:spacing w:line="240" w:lineRule="auto"/>
                    <w:ind w:left="-25" w:right="-105" w:rightChars="-50" w:firstLine="0" w:firstLineChars="0"/>
                    <w:jc w:val="center"/>
                    <w:rPr>
                      <w:rFonts w:hint="eastAsia"/>
                      <w:bCs/>
                      <w:snapToGrid w:val="0"/>
                      <w:kern w:val="24"/>
                      <w:sz w:val="21"/>
                      <w:szCs w:val="21"/>
                    </w:rPr>
                  </w:pPr>
                  <w:r>
                    <w:rPr>
                      <w:rFonts w:hint="eastAsia"/>
                      <w:bCs/>
                      <w:snapToGrid w:val="0"/>
                      <w:kern w:val="24"/>
                      <w:sz w:val="21"/>
                      <w:szCs w:val="21"/>
                    </w:rPr>
                    <w:t>单位</w:t>
                  </w:r>
                </w:p>
              </w:tc>
              <w:tc>
                <w:tcPr>
                  <w:tcW w:w="1128" w:type="dxa"/>
                  <w:tcBorders>
                    <w:top w:val="single" w:color="auto" w:sz="8" w:space="0"/>
                    <w:bottom w:val="single" w:color="auto" w:sz="4" w:space="0"/>
                  </w:tcBorders>
                  <w:tcMar>
                    <w:top w:w="28" w:type="dxa"/>
                    <w:left w:w="28" w:type="dxa"/>
                    <w:bottom w:w="28" w:type="dxa"/>
                    <w:right w:w="28" w:type="dxa"/>
                  </w:tcMar>
                  <w:vAlign w:val="center"/>
                </w:tcPr>
                <w:p w14:paraId="30C72185">
                  <w:pPr>
                    <w:pStyle w:val="111"/>
                    <w:spacing w:line="240" w:lineRule="auto"/>
                    <w:ind w:left="-105" w:leftChars="-50" w:right="-105" w:rightChars="-50" w:firstLine="0" w:firstLineChars="0"/>
                    <w:jc w:val="center"/>
                    <w:rPr>
                      <w:rFonts w:hint="eastAsia"/>
                      <w:bCs/>
                      <w:snapToGrid w:val="0"/>
                      <w:kern w:val="24"/>
                      <w:sz w:val="21"/>
                      <w:szCs w:val="21"/>
                    </w:rPr>
                  </w:pPr>
                  <w:r>
                    <w:rPr>
                      <w:rFonts w:hint="eastAsia"/>
                      <w:bCs/>
                      <w:snapToGrid w:val="0"/>
                      <w:kern w:val="24"/>
                      <w:sz w:val="21"/>
                      <w:szCs w:val="21"/>
                    </w:rPr>
                    <w:t>数据</w:t>
                  </w:r>
                </w:p>
              </w:tc>
            </w:tr>
            <w:tr w14:paraId="178F385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621" w:type="dxa"/>
                  <w:vAlign w:val="center"/>
                </w:tcPr>
                <w:p w14:paraId="1C5B89CB">
                  <w:pPr>
                    <w:pStyle w:val="111"/>
                    <w:spacing w:line="240" w:lineRule="auto"/>
                    <w:ind w:left="-105" w:leftChars="-50" w:right="-105" w:rightChars="-50" w:firstLine="0" w:firstLineChars="0"/>
                    <w:jc w:val="center"/>
                    <w:rPr>
                      <w:rFonts w:hint="eastAsia"/>
                      <w:bCs/>
                      <w:snapToGrid w:val="0"/>
                      <w:kern w:val="24"/>
                      <w:sz w:val="21"/>
                      <w:szCs w:val="21"/>
                    </w:rPr>
                  </w:pPr>
                  <w:r>
                    <w:rPr>
                      <w:rFonts w:hint="eastAsia"/>
                      <w:bCs/>
                      <w:snapToGrid w:val="0"/>
                      <w:kern w:val="24"/>
                      <w:sz w:val="21"/>
                      <w:szCs w:val="21"/>
                    </w:rPr>
                    <w:t>1</w:t>
                  </w:r>
                </w:p>
              </w:tc>
              <w:tc>
                <w:tcPr>
                  <w:tcW w:w="1906" w:type="dxa"/>
                  <w:vAlign w:val="bottom"/>
                </w:tcPr>
                <w:p w14:paraId="4FCC3004">
                  <w:pPr>
                    <w:pStyle w:val="111"/>
                    <w:spacing w:line="240" w:lineRule="auto"/>
                    <w:ind w:left="-105" w:leftChars="-50" w:right="-105" w:rightChars="-50" w:firstLine="0" w:firstLineChars="0"/>
                    <w:jc w:val="center"/>
                    <w:rPr>
                      <w:bCs/>
                      <w:snapToGrid w:val="0"/>
                      <w:kern w:val="24"/>
                      <w:sz w:val="21"/>
                      <w:szCs w:val="21"/>
                    </w:rPr>
                  </w:pPr>
                  <w:r>
                    <w:rPr>
                      <w:bCs/>
                      <w:snapToGrid w:val="0"/>
                      <w:kern w:val="24"/>
                      <w:sz w:val="21"/>
                      <w:szCs w:val="21"/>
                    </w:rPr>
                    <w:t>年平均气温</w:t>
                  </w:r>
                </w:p>
              </w:tc>
              <w:tc>
                <w:tcPr>
                  <w:tcW w:w="758" w:type="dxa"/>
                  <w:vAlign w:val="bottom"/>
                </w:tcPr>
                <w:p w14:paraId="0E5E9029">
                  <w:pPr>
                    <w:pStyle w:val="111"/>
                    <w:spacing w:line="240" w:lineRule="auto"/>
                    <w:ind w:left="-25" w:firstLine="0" w:firstLineChars="0"/>
                    <w:jc w:val="center"/>
                    <w:rPr>
                      <w:bCs/>
                      <w:snapToGrid w:val="0"/>
                      <w:kern w:val="24"/>
                      <w:sz w:val="21"/>
                      <w:szCs w:val="21"/>
                    </w:rPr>
                  </w:pPr>
                  <w:r>
                    <w:rPr>
                      <w:rFonts w:hint="eastAsia" w:ascii="宋体" w:hAnsi="宋体" w:cs="宋体"/>
                      <w:bCs/>
                      <w:snapToGrid w:val="0"/>
                      <w:kern w:val="24"/>
                      <w:sz w:val="21"/>
                      <w:szCs w:val="21"/>
                    </w:rPr>
                    <w:t>℃</w:t>
                  </w:r>
                </w:p>
              </w:tc>
              <w:tc>
                <w:tcPr>
                  <w:tcW w:w="1090" w:type="dxa"/>
                  <w:tcBorders>
                    <w:right w:val="double" w:color="auto" w:sz="4" w:space="0"/>
                  </w:tcBorders>
                  <w:vAlign w:val="bottom"/>
                </w:tcPr>
                <w:p w14:paraId="7912902C">
                  <w:pPr>
                    <w:pStyle w:val="111"/>
                    <w:spacing w:line="240" w:lineRule="auto"/>
                    <w:ind w:left="-105" w:leftChars="-50" w:right="-105" w:rightChars="-50" w:firstLine="0" w:firstLineChars="0"/>
                    <w:jc w:val="center"/>
                    <w:rPr>
                      <w:rFonts w:hint="eastAsia"/>
                      <w:bCs/>
                      <w:snapToGrid w:val="0"/>
                      <w:kern w:val="24"/>
                      <w:sz w:val="21"/>
                      <w:szCs w:val="21"/>
                    </w:rPr>
                  </w:pPr>
                  <w:r>
                    <w:rPr>
                      <w:rFonts w:hint="eastAsia"/>
                      <w:bCs/>
                      <w:snapToGrid w:val="0"/>
                      <w:kern w:val="24"/>
                      <w:sz w:val="21"/>
                      <w:szCs w:val="21"/>
                    </w:rPr>
                    <w:t>3.9</w:t>
                  </w:r>
                </w:p>
              </w:tc>
              <w:tc>
                <w:tcPr>
                  <w:tcW w:w="577" w:type="dxa"/>
                  <w:tcBorders>
                    <w:top w:val="single" w:color="auto" w:sz="4" w:space="0"/>
                    <w:left w:val="double" w:color="auto" w:sz="4" w:space="0"/>
                    <w:bottom w:val="single" w:color="auto" w:sz="4" w:space="0"/>
                  </w:tcBorders>
                  <w:vAlign w:val="center"/>
                </w:tcPr>
                <w:p w14:paraId="0CD8C13B">
                  <w:pPr>
                    <w:pStyle w:val="111"/>
                    <w:spacing w:line="240" w:lineRule="auto"/>
                    <w:ind w:left="-105" w:leftChars="-50" w:right="-105" w:rightChars="-50" w:firstLine="0" w:firstLineChars="0"/>
                    <w:jc w:val="center"/>
                    <w:rPr>
                      <w:rFonts w:hint="eastAsia"/>
                      <w:bCs/>
                      <w:snapToGrid w:val="0"/>
                      <w:kern w:val="24"/>
                      <w:sz w:val="21"/>
                      <w:szCs w:val="21"/>
                    </w:rPr>
                  </w:pPr>
                  <w:r>
                    <w:rPr>
                      <w:rFonts w:hint="eastAsia"/>
                      <w:bCs/>
                      <w:snapToGrid w:val="0"/>
                      <w:kern w:val="24"/>
                      <w:sz w:val="21"/>
                      <w:szCs w:val="21"/>
                    </w:rPr>
                    <w:t>6</w:t>
                  </w:r>
                </w:p>
              </w:tc>
              <w:tc>
                <w:tcPr>
                  <w:tcW w:w="1954" w:type="dxa"/>
                  <w:tcBorders>
                    <w:top w:val="single" w:color="auto" w:sz="4" w:space="0"/>
                    <w:bottom w:val="single" w:color="auto" w:sz="4" w:space="0"/>
                  </w:tcBorders>
                  <w:tcMar>
                    <w:top w:w="28" w:type="dxa"/>
                    <w:left w:w="28" w:type="dxa"/>
                    <w:bottom w:w="28" w:type="dxa"/>
                    <w:right w:w="28" w:type="dxa"/>
                  </w:tcMar>
                  <w:vAlign w:val="bottom"/>
                </w:tcPr>
                <w:p w14:paraId="43A35D1A">
                  <w:pPr>
                    <w:pStyle w:val="111"/>
                    <w:spacing w:line="240" w:lineRule="auto"/>
                    <w:ind w:left="-105" w:leftChars="-50" w:right="-105" w:rightChars="-50" w:firstLine="0" w:firstLineChars="0"/>
                    <w:jc w:val="center"/>
                    <w:rPr>
                      <w:bCs/>
                      <w:snapToGrid w:val="0"/>
                      <w:kern w:val="24"/>
                      <w:sz w:val="21"/>
                      <w:szCs w:val="21"/>
                    </w:rPr>
                  </w:pPr>
                  <w:r>
                    <w:rPr>
                      <w:bCs/>
                      <w:snapToGrid w:val="0"/>
                      <w:kern w:val="24"/>
                      <w:sz w:val="21"/>
                      <w:szCs w:val="21"/>
                    </w:rPr>
                    <w:t>年平均风速</w:t>
                  </w:r>
                </w:p>
              </w:tc>
              <w:tc>
                <w:tcPr>
                  <w:tcW w:w="755" w:type="dxa"/>
                  <w:tcBorders>
                    <w:top w:val="single" w:color="auto" w:sz="4" w:space="0"/>
                    <w:bottom w:val="single" w:color="auto" w:sz="4" w:space="0"/>
                  </w:tcBorders>
                  <w:vAlign w:val="bottom"/>
                </w:tcPr>
                <w:p w14:paraId="53DFF433">
                  <w:pPr>
                    <w:pStyle w:val="111"/>
                    <w:spacing w:line="240" w:lineRule="auto"/>
                    <w:ind w:left="-25" w:firstLine="0" w:firstLineChars="0"/>
                    <w:jc w:val="center"/>
                    <w:rPr>
                      <w:bCs/>
                      <w:snapToGrid w:val="0"/>
                      <w:kern w:val="24"/>
                      <w:sz w:val="21"/>
                      <w:szCs w:val="21"/>
                    </w:rPr>
                  </w:pPr>
                  <w:r>
                    <w:rPr>
                      <w:bCs/>
                      <w:snapToGrid w:val="0"/>
                      <w:kern w:val="24"/>
                      <w:sz w:val="21"/>
                      <w:szCs w:val="21"/>
                    </w:rPr>
                    <w:t>m/s</w:t>
                  </w:r>
                </w:p>
              </w:tc>
              <w:tc>
                <w:tcPr>
                  <w:tcW w:w="1128" w:type="dxa"/>
                  <w:tcBorders>
                    <w:top w:val="single" w:color="auto" w:sz="4" w:space="0"/>
                    <w:bottom w:val="single" w:color="auto" w:sz="4" w:space="0"/>
                  </w:tcBorders>
                  <w:tcMar>
                    <w:top w:w="28" w:type="dxa"/>
                    <w:left w:w="28" w:type="dxa"/>
                    <w:bottom w:w="28" w:type="dxa"/>
                    <w:right w:w="28" w:type="dxa"/>
                  </w:tcMar>
                  <w:vAlign w:val="bottom"/>
                </w:tcPr>
                <w:p w14:paraId="54A2F7F9">
                  <w:pPr>
                    <w:pStyle w:val="111"/>
                    <w:spacing w:line="240" w:lineRule="auto"/>
                    <w:ind w:left="-105" w:leftChars="-50" w:right="-105" w:rightChars="-50" w:firstLine="0" w:firstLineChars="0"/>
                    <w:jc w:val="center"/>
                    <w:rPr>
                      <w:rFonts w:hint="eastAsia"/>
                      <w:bCs/>
                      <w:snapToGrid w:val="0"/>
                      <w:kern w:val="24"/>
                      <w:sz w:val="21"/>
                      <w:szCs w:val="21"/>
                    </w:rPr>
                  </w:pPr>
                  <w:r>
                    <w:rPr>
                      <w:rFonts w:hint="eastAsia"/>
                      <w:bCs/>
                      <w:snapToGrid w:val="0"/>
                      <w:kern w:val="24"/>
                      <w:sz w:val="21"/>
                      <w:szCs w:val="21"/>
                    </w:rPr>
                    <w:t>3.9</w:t>
                  </w:r>
                </w:p>
              </w:tc>
            </w:tr>
            <w:tr w14:paraId="583CB2A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621" w:type="dxa"/>
                  <w:vAlign w:val="center"/>
                </w:tcPr>
                <w:p w14:paraId="34525932">
                  <w:pPr>
                    <w:pStyle w:val="111"/>
                    <w:spacing w:line="240" w:lineRule="auto"/>
                    <w:ind w:left="-105" w:leftChars="-50" w:right="-105" w:rightChars="-50" w:firstLine="0" w:firstLineChars="0"/>
                    <w:jc w:val="center"/>
                    <w:rPr>
                      <w:rFonts w:hint="eastAsia"/>
                      <w:bCs/>
                      <w:snapToGrid w:val="0"/>
                      <w:kern w:val="24"/>
                      <w:sz w:val="21"/>
                      <w:szCs w:val="21"/>
                    </w:rPr>
                  </w:pPr>
                  <w:r>
                    <w:rPr>
                      <w:rFonts w:hint="eastAsia"/>
                      <w:bCs/>
                      <w:snapToGrid w:val="0"/>
                      <w:kern w:val="24"/>
                      <w:sz w:val="21"/>
                      <w:szCs w:val="21"/>
                    </w:rPr>
                    <w:t>2</w:t>
                  </w:r>
                </w:p>
              </w:tc>
              <w:tc>
                <w:tcPr>
                  <w:tcW w:w="1906" w:type="dxa"/>
                  <w:vAlign w:val="bottom"/>
                </w:tcPr>
                <w:p w14:paraId="4A4D8ADF">
                  <w:pPr>
                    <w:pStyle w:val="111"/>
                    <w:spacing w:line="240" w:lineRule="auto"/>
                    <w:ind w:left="-105" w:leftChars="-50" w:right="-105" w:rightChars="-50" w:firstLine="0" w:firstLineChars="0"/>
                    <w:jc w:val="center"/>
                    <w:rPr>
                      <w:bCs/>
                      <w:snapToGrid w:val="0"/>
                      <w:kern w:val="24"/>
                      <w:sz w:val="21"/>
                      <w:szCs w:val="21"/>
                    </w:rPr>
                  </w:pPr>
                  <w:r>
                    <w:rPr>
                      <w:bCs/>
                      <w:snapToGrid w:val="0"/>
                      <w:kern w:val="24"/>
                      <w:sz w:val="21"/>
                      <w:szCs w:val="21"/>
                    </w:rPr>
                    <w:t>年极端最高气温</w:t>
                  </w:r>
                </w:p>
              </w:tc>
              <w:tc>
                <w:tcPr>
                  <w:tcW w:w="758" w:type="dxa"/>
                  <w:vAlign w:val="bottom"/>
                </w:tcPr>
                <w:p w14:paraId="7E15D134">
                  <w:pPr>
                    <w:pStyle w:val="111"/>
                    <w:spacing w:line="240" w:lineRule="auto"/>
                    <w:ind w:left="-25" w:firstLine="0" w:firstLineChars="0"/>
                    <w:jc w:val="center"/>
                    <w:rPr>
                      <w:bCs/>
                      <w:snapToGrid w:val="0"/>
                      <w:kern w:val="24"/>
                      <w:sz w:val="21"/>
                      <w:szCs w:val="21"/>
                    </w:rPr>
                  </w:pPr>
                  <w:r>
                    <w:rPr>
                      <w:rFonts w:hint="eastAsia" w:ascii="宋体" w:hAnsi="宋体" w:cs="宋体"/>
                      <w:bCs/>
                      <w:snapToGrid w:val="0"/>
                      <w:kern w:val="24"/>
                      <w:sz w:val="21"/>
                      <w:szCs w:val="21"/>
                    </w:rPr>
                    <w:t>℃</w:t>
                  </w:r>
                </w:p>
              </w:tc>
              <w:tc>
                <w:tcPr>
                  <w:tcW w:w="1090" w:type="dxa"/>
                  <w:tcBorders>
                    <w:right w:val="double" w:color="auto" w:sz="4" w:space="0"/>
                  </w:tcBorders>
                  <w:vAlign w:val="bottom"/>
                </w:tcPr>
                <w:p w14:paraId="30F9327A">
                  <w:pPr>
                    <w:pStyle w:val="111"/>
                    <w:spacing w:line="240" w:lineRule="auto"/>
                    <w:ind w:left="-105" w:leftChars="-50" w:right="-105" w:rightChars="-50" w:firstLine="0" w:firstLineChars="0"/>
                    <w:jc w:val="center"/>
                    <w:rPr>
                      <w:rFonts w:hint="eastAsia"/>
                      <w:bCs/>
                      <w:snapToGrid w:val="0"/>
                      <w:kern w:val="24"/>
                      <w:sz w:val="21"/>
                      <w:szCs w:val="21"/>
                    </w:rPr>
                  </w:pPr>
                  <w:r>
                    <w:rPr>
                      <w:rFonts w:hint="eastAsia"/>
                      <w:bCs/>
                      <w:snapToGrid w:val="0"/>
                      <w:kern w:val="24"/>
                      <w:sz w:val="21"/>
                      <w:szCs w:val="21"/>
                    </w:rPr>
                    <w:t>41.5</w:t>
                  </w:r>
                </w:p>
              </w:tc>
              <w:tc>
                <w:tcPr>
                  <w:tcW w:w="577" w:type="dxa"/>
                  <w:tcBorders>
                    <w:top w:val="single" w:color="auto" w:sz="4" w:space="0"/>
                    <w:left w:val="double" w:color="auto" w:sz="4" w:space="0"/>
                    <w:bottom w:val="single" w:color="auto" w:sz="4" w:space="0"/>
                  </w:tcBorders>
                  <w:vAlign w:val="center"/>
                </w:tcPr>
                <w:p w14:paraId="658C1E2E">
                  <w:pPr>
                    <w:pStyle w:val="111"/>
                    <w:spacing w:line="240" w:lineRule="auto"/>
                    <w:ind w:left="-25" w:firstLine="0" w:firstLineChars="0"/>
                    <w:jc w:val="center"/>
                    <w:rPr>
                      <w:rFonts w:hint="eastAsia"/>
                      <w:bCs/>
                      <w:snapToGrid w:val="0"/>
                      <w:kern w:val="24"/>
                      <w:sz w:val="21"/>
                      <w:szCs w:val="21"/>
                    </w:rPr>
                  </w:pPr>
                  <w:r>
                    <w:rPr>
                      <w:rFonts w:hint="eastAsia"/>
                      <w:bCs/>
                      <w:snapToGrid w:val="0"/>
                      <w:kern w:val="24"/>
                      <w:sz w:val="21"/>
                      <w:szCs w:val="21"/>
                    </w:rPr>
                    <w:t>7</w:t>
                  </w:r>
                </w:p>
              </w:tc>
              <w:tc>
                <w:tcPr>
                  <w:tcW w:w="1954" w:type="dxa"/>
                  <w:tcBorders>
                    <w:top w:val="single" w:color="auto" w:sz="4" w:space="0"/>
                    <w:bottom w:val="single" w:color="auto" w:sz="4" w:space="0"/>
                  </w:tcBorders>
                  <w:tcMar>
                    <w:top w:w="28" w:type="dxa"/>
                    <w:left w:w="28" w:type="dxa"/>
                    <w:bottom w:w="28" w:type="dxa"/>
                    <w:right w:w="28" w:type="dxa"/>
                  </w:tcMar>
                  <w:vAlign w:val="bottom"/>
                </w:tcPr>
                <w:p w14:paraId="6B4F61C1">
                  <w:pPr>
                    <w:pStyle w:val="111"/>
                    <w:spacing w:line="240" w:lineRule="auto"/>
                    <w:ind w:left="-105" w:leftChars="-50" w:right="-105" w:rightChars="-50" w:firstLine="0" w:firstLineChars="0"/>
                    <w:jc w:val="center"/>
                    <w:rPr>
                      <w:bCs/>
                      <w:snapToGrid w:val="0"/>
                      <w:kern w:val="24"/>
                      <w:sz w:val="21"/>
                      <w:szCs w:val="21"/>
                    </w:rPr>
                  </w:pPr>
                  <w:r>
                    <w:rPr>
                      <w:rFonts w:hint="eastAsia"/>
                      <w:bCs/>
                      <w:snapToGrid w:val="0"/>
                      <w:kern w:val="24"/>
                      <w:sz w:val="21"/>
                      <w:szCs w:val="21"/>
                    </w:rPr>
                    <w:t>年平均相对湿度</w:t>
                  </w:r>
                </w:p>
              </w:tc>
              <w:tc>
                <w:tcPr>
                  <w:tcW w:w="755" w:type="dxa"/>
                  <w:tcBorders>
                    <w:top w:val="single" w:color="auto" w:sz="4" w:space="0"/>
                    <w:bottom w:val="single" w:color="auto" w:sz="4" w:space="0"/>
                  </w:tcBorders>
                  <w:vAlign w:val="bottom"/>
                </w:tcPr>
                <w:p w14:paraId="47191DEF">
                  <w:pPr>
                    <w:pStyle w:val="111"/>
                    <w:spacing w:line="240" w:lineRule="auto"/>
                    <w:ind w:left="-25" w:firstLine="0" w:firstLineChars="0"/>
                    <w:jc w:val="center"/>
                    <w:rPr>
                      <w:rFonts w:hint="eastAsia"/>
                      <w:bCs/>
                      <w:snapToGrid w:val="0"/>
                      <w:kern w:val="24"/>
                      <w:sz w:val="21"/>
                      <w:szCs w:val="21"/>
                    </w:rPr>
                  </w:pPr>
                  <w:r>
                    <w:rPr>
                      <w:rFonts w:hint="eastAsia"/>
                      <w:bCs/>
                      <w:snapToGrid w:val="0"/>
                      <w:kern w:val="24"/>
                      <w:sz w:val="21"/>
                      <w:szCs w:val="21"/>
                    </w:rPr>
                    <w:t>%</w:t>
                  </w:r>
                </w:p>
              </w:tc>
              <w:tc>
                <w:tcPr>
                  <w:tcW w:w="1128" w:type="dxa"/>
                  <w:tcBorders>
                    <w:top w:val="single" w:color="auto" w:sz="4" w:space="0"/>
                    <w:bottom w:val="single" w:color="auto" w:sz="4" w:space="0"/>
                  </w:tcBorders>
                  <w:tcMar>
                    <w:top w:w="28" w:type="dxa"/>
                    <w:left w:w="28" w:type="dxa"/>
                    <w:bottom w:w="28" w:type="dxa"/>
                    <w:right w:w="28" w:type="dxa"/>
                  </w:tcMar>
                  <w:vAlign w:val="bottom"/>
                </w:tcPr>
                <w:p w14:paraId="664E9981">
                  <w:pPr>
                    <w:pStyle w:val="111"/>
                    <w:spacing w:line="240" w:lineRule="auto"/>
                    <w:ind w:left="-105" w:leftChars="-50" w:right="-105" w:rightChars="-50" w:firstLine="0" w:firstLineChars="0"/>
                    <w:jc w:val="center"/>
                    <w:rPr>
                      <w:rFonts w:hint="eastAsia"/>
                      <w:bCs/>
                      <w:snapToGrid w:val="0"/>
                      <w:kern w:val="24"/>
                      <w:sz w:val="21"/>
                      <w:szCs w:val="21"/>
                    </w:rPr>
                  </w:pPr>
                  <w:r>
                    <w:rPr>
                      <w:rFonts w:hint="eastAsia"/>
                      <w:bCs/>
                      <w:snapToGrid w:val="0"/>
                      <w:kern w:val="24"/>
                      <w:sz w:val="21"/>
                      <w:szCs w:val="21"/>
                    </w:rPr>
                    <w:t>50.5</w:t>
                  </w:r>
                </w:p>
              </w:tc>
            </w:tr>
            <w:tr w14:paraId="21AC860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621" w:type="dxa"/>
                  <w:vAlign w:val="center"/>
                </w:tcPr>
                <w:p w14:paraId="5010C416">
                  <w:pPr>
                    <w:pStyle w:val="111"/>
                    <w:spacing w:line="240" w:lineRule="auto"/>
                    <w:ind w:left="-105" w:leftChars="-50" w:right="-105" w:rightChars="-50" w:firstLine="0" w:firstLineChars="0"/>
                    <w:jc w:val="center"/>
                    <w:rPr>
                      <w:rFonts w:hint="eastAsia"/>
                      <w:bCs/>
                      <w:snapToGrid w:val="0"/>
                      <w:kern w:val="24"/>
                      <w:sz w:val="21"/>
                      <w:szCs w:val="21"/>
                    </w:rPr>
                  </w:pPr>
                  <w:r>
                    <w:rPr>
                      <w:rFonts w:hint="eastAsia"/>
                      <w:bCs/>
                      <w:snapToGrid w:val="0"/>
                      <w:kern w:val="24"/>
                      <w:sz w:val="21"/>
                      <w:szCs w:val="21"/>
                    </w:rPr>
                    <w:t>3</w:t>
                  </w:r>
                </w:p>
              </w:tc>
              <w:tc>
                <w:tcPr>
                  <w:tcW w:w="1906" w:type="dxa"/>
                  <w:vAlign w:val="bottom"/>
                </w:tcPr>
                <w:p w14:paraId="2FFADCF2">
                  <w:pPr>
                    <w:pStyle w:val="111"/>
                    <w:spacing w:line="240" w:lineRule="auto"/>
                    <w:ind w:left="-105" w:leftChars="-50" w:right="-105" w:rightChars="-50" w:firstLine="0" w:firstLineChars="0"/>
                    <w:jc w:val="center"/>
                    <w:rPr>
                      <w:bCs/>
                      <w:snapToGrid w:val="0"/>
                      <w:kern w:val="24"/>
                      <w:sz w:val="21"/>
                      <w:szCs w:val="21"/>
                    </w:rPr>
                  </w:pPr>
                  <w:r>
                    <w:rPr>
                      <w:bCs/>
                      <w:snapToGrid w:val="0"/>
                      <w:kern w:val="24"/>
                      <w:sz w:val="21"/>
                      <w:szCs w:val="21"/>
                    </w:rPr>
                    <w:t>年极端最低气温</w:t>
                  </w:r>
                </w:p>
              </w:tc>
              <w:tc>
                <w:tcPr>
                  <w:tcW w:w="758" w:type="dxa"/>
                  <w:vAlign w:val="bottom"/>
                </w:tcPr>
                <w:p w14:paraId="34445EDD">
                  <w:pPr>
                    <w:pStyle w:val="111"/>
                    <w:spacing w:line="240" w:lineRule="auto"/>
                    <w:ind w:left="-25" w:firstLine="0" w:firstLineChars="0"/>
                    <w:jc w:val="center"/>
                    <w:rPr>
                      <w:bCs/>
                      <w:snapToGrid w:val="0"/>
                      <w:kern w:val="24"/>
                      <w:sz w:val="21"/>
                      <w:szCs w:val="21"/>
                    </w:rPr>
                  </w:pPr>
                  <w:r>
                    <w:rPr>
                      <w:rFonts w:hint="eastAsia" w:ascii="宋体" w:hAnsi="宋体" w:cs="宋体"/>
                      <w:bCs/>
                      <w:snapToGrid w:val="0"/>
                      <w:kern w:val="24"/>
                      <w:sz w:val="21"/>
                      <w:szCs w:val="21"/>
                    </w:rPr>
                    <w:t>℃</w:t>
                  </w:r>
                </w:p>
              </w:tc>
              <w:tc>
                <w:tcPr>
                  <w:tcW w:w="1090" w:type="dxa"/>
                  <w:tcBorders>
                    <w:right w:val="double" w:color="auto" w:sz="4" w:space="0"/>
                  </w:tcBorders>
                  <w:vAlign w:val="bottom"/>
                </w:tcPr>
                <w:p w14:paraId="69CAF2A8">
                  <w:pPr>
                    <w:pStyle w:val="111"/>
                    <w:spacing w:line="240" w:lineRule="auto"/>
                    <w:ind w:left="-105" w:leftChars="-50" w:right="-105" w:rightChars="-50" w:firstLine="0" w:firstLineChars="0"/>
                    <w:jc w:val="center"/>
                    <w:rPr>
                      <w:rFonts w:hint="eastAsia"/>
                      <w:bCs/>
                      <w:snapToGrid w:val="0"/>
                      <w:kern w:val="24"/>
                      <w:sz w:val="21"/>
                      <w:szCs w:val="21"/>
                    </w:rPr>
                  </w:pPr>
                  <w:r>
                    <w:rPr>
                      <w:rFonts w:hint="eastAsia"/>
                      <w:bCs/>
                      <w:snapToGrid w:val="0"/>
                      <w:kern w:val="24"/>
                      <w:sz w:val="21"/>
                      <w:szCs w:val="21"/>
                    </w:rPr>
                    <w:t>-39.6</w:t>
                  </w:r>
                </w:p>
              </w:tc>
              <w:tc>
                <w:tcPr>
                  <w:tcW w:w="577" w:type="dxa"/>
                  <w:tcBorders>
                    <w:top w:val="single" w:color="auto" w:sz="4" w:space="0"/>
                    <w:left w:val="double" w:color="auto" w:sz="4" w:space="0"/>
                    <w:bottom w:val="single" w:color="auto" w:sz="4" w:space="0"/>
                  </w:tcBorders>
                  <w:vAlign w:val="center"/>
                </w:tcPr>
                <w:p w14:paraId="6BC4FEF6">
                  <w:pPr>
                    <w:pStyle w:val="111"/>
                    <w:spacing w:line="240" w:lineRule="auto"/>
                    <w:ind w:left="-25" w:firstLine="0" w:firstLineChars="0"/>
                    <w:jc w:val="center"/>
                    <w:rPr>
                      <w:rFonts w:hint="eastAsia"/>
                      <w:bCs/>
                      <w:snapToGrid w:val="0"/>
                      <w:kern w:val="24"/>
                      <w:sz w:val="21"/>
                      <w:szCs w:val="21"/>
                    </w:rPr>
                  </w:pPr>
                  <w:r>
                    <w:rPr>
                      <w:rFonts w:hint="eastAsia"/>
                      <w:bCs/>
                      <w:snapToGrid w:val="0"/>
                      <w:kern w:val="24"/>
                      <w:sz w:val="21"/>
                      <w:szCs w:val="21"/>
                    </w:rPr>
                    <w:t>8</w:t>
                  </w:r>
                </w:p>
              </w:tc>
              <w:tc>
                <w:tcPr>
                  <w:tcW w:w="1954" w:type="dxa"/>
                  <w:tcBorders>
                    <w:top w:val="single" w:color="auto" w:sz="4" w:space="0"/>
                    <w:bottom w:val="single" w:color="auto" w:sz="4" w:space="0"/>
                  </w:tcBorders>
                  <w:tcMar>
                    <w:top w:w="28" w:type="dxa"/>
                    <w:left w:w="28" w:type="dxa"/>
                    <w:bottom w:w="28" w:type="dxa"/>
                    <w:right w:w="28" w:type="dxa"/>
                  </w:tcMar>
                  <w:vAlign w:val="bottom"/>
                </w:tcPr>
                <w:p w14:paraId="462965DD">
                  <w:pPr>
                    <w:pStyle w:val="111"/>
                    <w:spacing w:line="240" w:lineRule="auto"/>
                    <w:ind w:left="-105" w:leftChars="-50" w:right="-105" w:rightChars="-50" w:firstLine="0" w:firstLineChars="0"/>
                    <w:jc w:val="center"/>
                    <w:rPr>
                      <w:bCs/>
                      <w:snapToGrid w:val="0"/>
                      <w:kern w:val="24"/>
                      <w:sz w:val="21"/>
                      <w:szCs w:val="21"/>
                    </w:rPr>
                  </w:pPr>
                  <w:r>
                    <w:rPr>
                      <w:rFonts w:hint="eastAsia"/>
                      <w:bCs/>
                      <w:snapToGrid w:val="0"/>
                      <w:kern w:val="24"/>
                      <w:sz w:val="21"/>
                      <w:szCs w:val="21"/>
                    </w:rPr>
                    <w:t>年平均气压</w:t>
                  </w:r>
                </w:p>
              </w:tc>
              <w:tc>
                <w:tcPr>
                  <w:tcW w:w="755" w:type="dxa"/>
                  <w:tcBorders>
                    <w:top w:val="single" w:color="auto" w:sz="4" w:space="0"/>
                    <w:bottom w:val="single" w:color="auto" w:sz="4" w:space="0"/>
                  </w:tcBorders>
                  <w:vAlign w:val="bottom"/>
                </w:tcPr>
                <w:p w14:paraId="05646B24">
                  <w:pPr>
                    <w:pStyle w:val="111"/>
                    <w:spacing w:line="240" w:lineRule="auto"/>
                    <w:ind w:left="-25" w:firstLine="0" w:firstLineChars="0"/>
                    <w:jc w:val="center"/>
                    <w:rPr>
                      <w:bCs/>
                      <w:snapToGrid w:val="0"/>
                      <w:kern w:val="24"/>
                      <w:sz w:val="21"/>
                      <w:szCs w:val="21"/>
                    </w:rPr>
                  </w:pPr>
                  <w:r>
                    <w:rPr>
                      <w:rFonts w:hint="eastAsia"/>
                      <w:bCs/>
                      <w:snapToGrid w:val="0"/>
                      <w:kern w:val="24"/>
                      <w:sz w:val="21"/>
                      <w:szCs w:val="21"/>
                    </w:rPr>
                    <w:t>hPa</w:t>
                  </w:r>
                </w:p>
              </w:tc>
              <w:tc>
                <w:tcPr>
                  <w:tcW w:w="1128" w:type="dxa"/>
                  <w:tcBorders>
                    <w:top w:val="single" w:color="auto" w:sz="4" w:space="0"/>
                    <w:bottom w:val="single" w:color="auto" w:sz="4" w:space="0"/>
                  </w:tcBorders>
                  <w:tcMar>
                    <w:top w:w="28" w:type="dxa"/>
                    <w:left w:w="28" w:type="dxa"/>
                    <w:bottom w:w="28" w:type="dxa"/>
                    <w:right w:w="28" w:type="dxa"/>
                  </w:tcMar>
                  <w:vAlign w:val="bottom"/>
                </w:tcPr>
                <w:p w14:paraId="59B23F51">
                  <w:pPr>
                    <w:pStyle w:val="111"/>
                    <w:spacing w:line="240" w:lineRule="auto"/>
                    <w:ind w:left="-105" w:leftChars="-50" w:right="-105" w:rightChars="-50" w:firstLine="0" w:firstLineChars="0"/>
                    <w:jc w:val="center"/>
                    <w:rPr>
                      <w:rFonts w:hint="eastAsia"/>
                      <w:bCs/>
                      <w:snapToGrid w:val="0"/>
                      <w:kern w:val="24"/>
                      <w:sz w:val="21"/>
                      <w:szCs w:val="21"/>
                    </w:rPr>
                  </w:pPr>
                  <w:r>
                    <w:rPr>
                      <w:rFonts w:hint="eastAsia"/>
                      <w:bCs/>
                      <w:snapToGrid w:val="0"/>
                      <w:kern w:val="24"/>
                      <w:sz w:val="21"/>
                      <w:szCs w:val="21"/>
                    </w:rPr>
                    <w:t>891.0</w:t>
                  </w:r>
                </w:p>
              </w:tc>
            </w:tr>
            <w:tr w14:paraId="6C658D1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621" w:type="dxa"/>
                  <w:vAlign w:val="center"/>
                </w:tcPr>
                <w:p w14:paraId="3456628D">
                  <w:pPr>
                    <w:pStyle w:val="111"/>
                    <w:spacing w:line="240" w:lineRule="auto"/>
                    <w:ind w:left="-105" w:leftChars="-50" w:right="-105" w:rightChars="-50" w:firstLine="0" w:firstLineChars="0"/>
                    <w:jc w:val="center"/>
                    <w:rPr>
                      <w:rFonts w:hint="eastAsia"/>
                      <w:bCs/>
                      <w:snapToGrid w:val="0"/>
                      <w:kern w:val="24"/>
                      <w:sz w:val="21"/>
                      <w:szCs w:val="21"/>
                    </w:rPr>
                  </w:pPr>
                  <w:r>
                    <w:rPr>
                      <w:rFonts w:hint="eastAsia"/>
                      <w:bCs/>
                      <w:snapToGrid w:val="0"/>
                      <w:kern w:val="24"/>
                      <w:sz w:val="21"/>
                      <w:szCs w:val="21"/>
                    </w:rPr>
                    <w:t>4</w:t>
                  </w:r>
                </w:p>
              </w:tc>
              <w:tc>
                <w:tcPr>
                  <w:tcW w:w="1906" w:type="dxa"/>
                  <w:vAlign w:val="bottom"/>
                </w:tcPr>
                <w:p w14:paraId="12AF70D6">
                  <w:pPr>
                    <w:pStyle w:val="111"/>
                    <w:spacing w:line="240" w:lineRule="auto"/>
                    <w:ind w:left="-105" w:leftChars="-50" w:right="-105" w:rightChars="-50" w:firstLine="0" w:firstLineChars="0"/>
                    <w:jc w:val="center"/>
                    <w:rPr>
                      <w:bCs/>
                      <w:snapToGrid w:val="0"/>
                      <w:kern w:val="24"/>
                      <w:sz w:val="21"/>
                      <w:szCs w:val="21"/>
                    </w:rPr>
                  </w:pPr>
                  <w:r>
                    <w:rPr>
                      <w:bCs/>
                      <w:snapToGrid w:val="0"/>
                      <w:kern w:val="24"/>
                      <w:sz w:val="21"/>
                      <w:szCs w:val="21"/>
                    </w:rPr>
                    <w:t>年最大冻土深度</w:t>
                  </w:r>
                </w:p>
              </w:tc>
              <w:tc>
                <w:tcPr>
                  <w:tcW w:w="758" w:type="dxa"/>
                  <w:vAlign w:val="bottom"/>
                </w:tcPr>
                <w:p w14:paraId="22CED09E">
                  <w:pPr>
                    <w:pStyle w:val="111"/>
                    <w:spacing w:line="240" w:lineRule="auto"/>
                    <w:ind w:left="-105" w:leftChars="-50" w:right="-105" w:rightChars="-50" w:firstLine="0" w:firstLineChars="0"/>
                    <w:jc w:val="center"/>
                    <w:rPr>
                      <w:bCs/>
                      <w:snapToGrid w:val="0"/>
                      <w:kern w:val="24"/>
                      <w:sz w:val="21"/>
                      <w:szCs w:val="21"/>
                    </w:rPr>
                  </w:pPr>
                  <w:r>
                    <w:rPr>
                      <w:szCs w:val="21"/>
                    </w:rPr>
                    <w:t>cm</w:t>
                  </w:r>
                </w:p>
              </w:tc>
              <w:tc>
                <w:tcPr>
                  <w:tcW w:w="1090" w:type="dxa"/>
                  <w:tcBorders>
                    <w:right w:val="double" w:color="auto" w:sz="4" w:space="0"/>
                  </w:tcBorders>
                  <w:vAlign w:val="bottom"/>
                </w:tcPr>
                <w:p w14:paraId="1B6C7DA6">
                  <w:pPr>
                    <w:pStyle w:val="111"/>
                    <w:spacing w:line="240" w:lineRule="auto"/>
                    <w:ind w:left="-105" w:leftChars="-50" w:right="-105" w:rightChars="-50" w:firstLine="0" w:firstLineChars="0"/>
                    <w:jc w:val="center"/>
                    <w:rPr>
                      <w:rFonts w:hint="eastAsia"/>
                      <w:bCs/>
                      <w:snapToGrid w:val="0"/>
                      <w:kern w:val="24"/>
                      <w:sz w:val="21"/>
                      <w:szCs w:val="21"/>
                    </w:rPr>
                  </w:pPr>
                  <w:r>
                    <w:rPr>
                      <w:rFonts w:hint="eastAsia"/>
                      <w:bCs/>
                      <w:snapToGrid w:val="0"/>
                      <w:kern w:val="24"/>
                      <w:sz w:val="21"/>
                      <w:szCs w:val="21"/>
                    </w:rPr>
                    <w:t>283</w:t>
                  </w:r>
                </w:p>
              </w:tc>
              <w:tc>
                <w:tcPr>
                  <w:tcW w:w="577" w:type="dxa"/>
                  <w:tcBorders>
                    <w:top w:val="single" w:color="auto" w:sz="4" w:space="0"/>
                    <w:left w:val="double" w:color="auto" w:sz="4" w:space="0"/>
                    <w:bottom w:val="single" w:color="auto" w:sz="4" w:space="0"/>
                  </w:tcBorders>
                  <w:vAlign w:val="center"/>
                </w:tcPr>
                <w:p w14:paraId="0E486E17">
                  <w:pPr>
                    <w:pStyle w:val="111"/>
                    <w:spacing w:line="240" w:lineRule="auto"/>
                    <w:ind w:left="-25" w:firstLine="0" w:firstLineChars="0"/>
                    <w:jc w:val="center"/>
                    <w:rPr>
                      <w:rFonts w:hint="eastAsia"/>
                      <w:bCs/>
                      <w:snapToGrid w:val="0"/>
                      <w:kern w:val="24"/>
                      <w:sz w:val="21"/>
                      <w:szCs w:val="21"/>
                    </w:rPr>
                  </w:pPr>
                  <w:r>
                    <w:rPr>
                      <w:rFonts w:hint="eastAsia"/>
                      <w:bCs/>
                      <w:snapToGrid w:val="0"/>
                      <w:kern w:val="24"/>
                      <w:sz w:val="21"/>
                      <w:szCs w:val="21"/>
                    </w:rPr>
                    <w:t>9</w:t>
                  </w:r>
                </w:p>
              </w:tc>
              <w:tc>
                <w:tcPr>
                  <w:tcW w:w="1954" w:type="dxa"/>
                  <w:tcBorders>
                    <w:top w:val="single" w:color="auto" w:sz="4" w:space="0"/>
                    <w:bottom w:val="single" w:color="auto" w:sz="4" w:space="0"/>
                  </w:tcBorders>
                  <w:tcMar>
                    <w:top w:w="28" w:type="dxa"/>
                    <w:left w:w="28" w:type="dxa"/>
                    <w:bottom w:w="28" w:type="dxa"/>
                    <w:right w:w="28" w:type="dxa"/>
                  </w:tcMar>
                  <w:vAlign w:val="bottom"/>
                </w:tcPr>
                <w:p w14:paraId="24488462">
                  <w:pPr>
                    <w:pStyle w:val="111"/>
                    <w:spacing w:line="240" w:lineRule="auto"/>
                    <w:ind w:left="-105" w:leftChars="-50" w:right="-105" w:rightChars="-50" w:firstLine="0" w:firstLineChars="0"/>
                    <w:jc w:val="center"/>
                    <w:rPr>
                      <w:bCs/>
                      <w:snapToGrid w:val="0"/>
                      <w:kern w:val="24"/>
                      <w:sz w:val="21"/>
                      <w:szCs w:val="21"/>
                    </w:rPr>
                  </w:pPr>
                  <w:r>
                    <w:rPr>
                      <w:bCs/>
                      <w:snapToGrid w:val="0"/>
                      <w:kern w:val="24"/>
                      <w:sz w:val="21"/>
                      <w:szCs w:val="21"/>
                    </w:rPr>
                    <w:t>年平均降水量</w:t>
                  </w:r>
                </w:p>
              </w:tc>
              <w:tc>
                <w:tcPr>
                  <w:tcW w:w="755" w:type="dxa"/>
                  <w:tcBorders>
                    <w:top w:val="single" w:color="auto" w:sz="4" w:space="0"/>
                    <w:bottom w:val="single" w:color="auto" w:sz="4" w:space="0"/>
                  </w:tcBorders>
                  <w:vAlign w:val="bottom"/>
                </w:tcPr>
                <w:p w14:paraId="4FC7EB31">
                  <w:pPr>
                    <w:pStyle w:val="111"/>
                    <w:spacing w:line="240" w:lineRule="auto"/>
                    <w:ind w:left="-105" w:leftChars="-50" w:right="-105" w:rightChars="-50" w:firstLine="0" w:firstLineChars="0"/>
                    <w:jc w:val="center"/>
                    <w:rPr>
                      <w:bCs/>
                      <w:snapToGrid w:val="0"/>
                      <w:kern w:val="24"/>
                      <w:sz w:val="21"/>
                      <w:szCs w:val="21"/>
                    </w:rPr>
                  </w:pPr>
                  <w:r>
                    <w:rPr>
                      <w:szCs w:val="21"/>
                    </w:rPr>
                    <w:t>mm</w:t>
                  </w:r>
                </w:p>
              </w:tc>
              <w:tc>
                <w:tcPr>
                  <w:tcW w:w="1128" w:type="dxa"/>
                  <w:tcBorders>
                    <w:top w:val="single" w:color="auto" w:sz="4" w:space="0"/>
                    <w:bottom w:val="single" w:color="auto" w:sz="4" w:space="0"/>
                  </w:tcBorders>
                  <w:tcMar>
                    <w:top w:w="28" w:type="dxa"/>
                    <w:left w:w="28" w:type="dxa"/>
                    <w:bottom w:w="28" w:type="dxa"/>
                    <w:right w:w="28" w:type="dxa"/>
                  </w:tcMar>
                  <w:vAlign w:val="bottom"/>
                </w:tcPr>
                <w:p w14:paraId="763A6D80">
                  <w:pPr>
                    <w:pStyle w:val="111"/>
                    <w:spacing w:line="240" w:lineRule="auto"/>
                    <w:ind w:left="-105" w:leftChars="-50" w:right="-105" w:rightChars="-50" w:firstLine="0" w:firstLineChars="0"/>
                    <w:jc w:val="center"/>
                    <w:rPr>
                      <w:rFonts w:hint="eastAsia"/>
                      <w:bCs/>
                      <w:snapToGrid w:val="0"/>
                      <w:kern w:val="24"/>
                      <w:sz w:val="21"/>
                      <w:szCs w:val="21"/>
                    </w:rPr>
                  </w:pPr>
                  <w:r>
                    <w:rPr>
                      <w:rFonts w:hint="eastAsia"/>
                      <w:bCs/>
                      <w:snapToGrid w:val="0"/>
                      <w:kern w:val="24"/>
                      <w:sz w:val="21"/>
                      <w:szCs w:val="21"/>
                    </w:rPr>
                    <w:t>185.2</w:t>
                  </w:r>
                </w:p>
              </w:tc>
            </w:tr>
            <w:tr w14:paraId="7F6D011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621" w:type="dxa"/>
                  <w:vAlign w:val="center"/>
                </w:tcPr>
                <w:p w14:paraId="325E1D8E">
                  <w:pPr>
                    <w:pStyle w:val="111"/>
                    <w:spacing w:line="240" w:lineRule="auto"/>
                    <w:ind w:left="-105" w:leftChars="-50" w:right="-105" w:rightChars="-50" w:firstLine="0" w:firstLineChars="0"/>
                    <w:jc w:val="center"/>
                    <w:rPr>
                      <w:rFonts w:hint="eastAsia"/>
                      <w:bCs/>
                      <w:snapToGrid w:val="0"/>
                      <w:kern w:val="24"/>
                      <w:sz w:val="21"/>
                      <w:szCs w:val="21"/>
                    </w:rPr>
                  </w:pPr>
                  <w:r>
                    <w:rPr>
                      <w:rFonts w:hint="eastAsia"/>
                      <w:bCs/>
                      <w:snapToGrid w:val="0"/>
                      <w:kern w:val="24"/>
                      <w:sz w:val="21"/>
                      <w:szCs w:val="21"/>
                    </w:rPr>
                    <w:t>5</w:t>
                  </w:r>
                </w:p>
              </w:tc>
              <w:tc>
                <w:tcPr>
                  <w:tcW w:w="1906" w:type="dxa"/>
                  <w:vAlign w:val="bottom"/>
                </w:tcPr>
                <w:p w14:paraId="2E356D57">
                  <w:pPr>
                    <w:pStyle w:val="111"/>
                    <w:spacing w:line="240" w:lineRule="auto"/>
                    <w:ind w:left="-105" w:leftChars="-50" w:right="-105" w:rightChars="-50" w:firstLine="0" w:firstLineChars="0"/>
                    <w:jc w:val="center"/>
                    <w:rPr>
                      <w:bCs/>
                      <w:snapToGrid w:val="0"/>
                      <w:kern w:val="24"/>
                      <w:sz w:val="21"/>
                      <w:szCs w:val="21"/>
                    </w:rPr>
                  </w:pPr>
                  <w:r>
                    <w:rPr>
                      <w:bCs/>
                      <w:snapToGrid w:val="0"/>
                      <w:kern w:val="24"/>
                      <w:sz w:val="21"/>
                      <w:szCs w:val="21"/>
                    </w:rPr>
                    <w:t>年平均蒸发量</w:t>
                  </w:r>
                </w:p>
              </w:tc>
              <w:tc>
                <w:tcPr>
                  <w:tcW w:w="758" w:type="dxa"/>
                  <w:vAlign w:val="bottom"/>
                </w:tcPr>
                <w:p w14:paraId="1CA175C1">
                  <w:pPr>
                    <w:pStyle w:val="111"/>
                    <w:spacing w:line="240" w:lineRule="auto"/>
                    <w:ind w:left="-25" w:firstLine="0" w:firstLineChars="0"/>
                    <w:jc w:val="center"/>
                    <w:rPr>
                      <w:bCs/>
                      <w:snapToGrid w:val="0"/>
                      <w:kern w:val="24"/>
                      <w:sz w:val="21"/>
                      <w:szCs w:val="21"/>
                    </w:rPr>
                  </w:pPr>
                  <w:r>
                    <w:rPr>
                      <w:bCs/>
                      <w:snapToGrid w:val="0"/>
                      <w:kern w:val="24"/>
                      <w:sz w:val="21"/>
                      <w:szCs w:val="21"/>
                    </w:rPr>
                    <w:t>mm</w:t>
                  </w:r>
                </w:p>
              </w:tc>
              <w:tc>
                <w:tcPr>
                  <w:tcW w:w="1090" w:type="dxa"/>
                  <w:tcBorders>
                    <w:right w:val="double" w:color="auto" w:sz="4" w:space="0"/>
                  </w:tcBorders>
                  <w:vAlign w:val="bottom"/>
                </w:tcPr>
                <w:p w14:paraId="50CCFAB6">
                  <w:pPr>
                    <w:pStyle w:val="111"/>
                    <w:spacing w:line="240" w:lineRule="auto"/>
                    <w:ind w:left="-105" w:leftChars="-50" w:right="-105" w:rightChars="-50" w:firstLine="0" w:firstLineChars="0"/>
                    <w:jc w:val="center"/>
                    <w:rPr>
                      <w:rFonts w:hint="eastAsia"/>
                      <w:bCs/>
                      <w:snapToGrid w:val="0"/>
                      <w:kern w:val="24"/>
                      <w:sz w:val="21"/>
                      <w:szCs w:val="21"/>
                    </w:rPr>
                  </w:pPr>
                  <w:r>
                    <w:rPr>
                      <w:rFonts w:hint="eastAsia"/>
                      <w:bCs/>
                      <w:snapToGrid w:val="0"/>
                      <w:kern w:val="24"/>
                      <w:sz w:val="21"/>
                      <w:szCs w:val="21"/>
                    </w:rPr>
                    <w:t>2433.7</w:t>
                  </w:r>
                </w:p>
              </w:tc>
              <w:tc>
                <w:tcPr>
                  <w:tcW w:w="577" w:type="dxa"/>
                  <w:tcBorders>
                    <w:top w:val="single" w:color="auto" w:sz="4" w:space="0"/>
                    <w:left w:val="double" w:color="auto" w:sz="4" w:space="0"/>
                    <w:bottom w:val="single" w:color="auto" w:sz="8" w:space="0"/>
                  </w:tcBorders>
                  <w:vAlign w:val="center"/>
                </w:tcPr>
                <w:p w14:paraId="496426B5">
                  <w:pPr>
                    <w:pStyle w:val="111"/>
                    <w:spacing w:line="240" w:lineRule="auto"/>
                    <w:ind w:left="-25" w:firstLine="0" w:firstLineChars="0"/>
                    <w:jc w:val="center"/>
                    <w:rPr>
                      <w:rFonts w:hint="eastAsia"/>
                      <w:bCs/>
                      <w:snapToGrid w:val="0"/>
                      <w:kern w:val="24"/>
                      <w:sz w:val="21"/>
                      <w:szCs w:val="21"/>
                    </w:rPr>
                  </w:pPr>
                  <w:r>
                    <w:rPr>
                      <w:rFonts w:hint="eastAsia"/>
                      <w:bCs/>
                      <w:snapToGrid w:val="0"/>
                      <w:kern w:val="24"/>
                      <w:sz w:val="21"/>
                      <w:szCs w:val="21"/>
                    </w:rPr>
                    <w:t>10</w:t>
                  </w:r>
                </w:p>
              </w:tc>
              <w:tc>
                <w:tcPr>
                  <w:tcW w:w="1954" w:type="dxa"/>
                  <w:tcBorders>
                    <w:top w:val="single" w:color="auto" w:sz="4" w:space="0"/>
                    <w:bottom w:val="single" w:color="auto" w:sz="8" w:space="0"/>
                  </w:tcBorders>
                  <w:tcMar>
                    <w:top w:w="28" w:type="dxa"/>
                    <w:left w:w="28" w:type="dxa"/>
                    <w:bottom w:w="28" w:type="dxa"/>
                    <w:right w:w="28" w:type="dxa"/>
                  </w:tcMar>
                  <w:vAlign w:val="bottom"/>
                </w:tcPr>
                <w:p w14:paraId="68EF9EE6">
                  <w:pPr>
                    <w:pStyle w:val="111"/>
                    <w:spacing w:line="240" w:lineRule="auto"/>
                    <w:ind w:left="-105" w:leftChars="-50" w:right="-105" w:rightChars="-50" w:firstLine="0" w:firstLineChars="0"/>
                    <w:jc w:val="center"/>
                    <w:rPr>
                      <w:rFonts w:hint="eastAsia"/>
                      <w:bCs/>
                      <w:snapToGrid w:val="0"/>
                      <w:kern w:val="24"/>
                      <w:sz w:val="21"/>
                      <w:szCs w:val="21"/>
                    </w:rPr>
                  </w:pPr>
                  <w:r>
                    <w:rPr>
                      <w:bCs/>
                      <w:snapToGrid w:val="0"/>
                      <w:kern w:val="24"/>
                      <w:sz w:val="21"/>
                      <w:szCs w:val="21"/>
                    </w:rPr>
                    <w:t>年</w:t>
                  </w:r>
                  <w:r>
                    <w:rPr>
                      <w:rFonts w:hint="eastAsia"/>
                      <w:bCs/>
                      <w:snapToGrid w:val="0"/>
                      <w:kern w:val="24"/>
                      <w:sz w:val="21"/>
                      <w:szCs w:val="21"/>
                    </w:rPr>
                    <w:t>最大积雪深度</w:t>
                  </w:r>
                </w:p>
              </w:tc>
              <w:tc>
                <w:tcPr>
                  <w:tcW w:w="755" w:type="dxa"/>
                  <w:tcBorders>
                    <w:top w:val="single" w:color="auto" w:sz="4" w:space="0"/>
                    <w:bottom w:val="single" w:color="auto" w:sz="8" w:space="0"/>
                  </w:tcBorders>
                  <w:vAlign w:val="bottom"/>
                </w:tcPr>
                <w:p w14:paraId="0C9802F9">
                  <w:pPr>
                    <w:pStyle w:val="111"/>
                    <w:spacing w:line="240" w:lineRule="auto"/>
                    <w:ind w:left="-105" w:leftChars="-50" w:right="-105" w:rightChars="-50" w:firstLine="0" w:firstLineChars="0"/>
                    <w:jc w:val="center"/>
                    <w:rPr>
                      <w:rFonts w:hint="eastAsia"/>
                      <w:bCs/>
                      <w:snapToGrid w:val="0"/>
                      <w:kern w:val="24"/>
                      <w:sz w:val="21"/>
                      <w:szCs w:val="21"/>
                    </w:rPr>
                  </w:pPr>
                  <w:r>
                    <w:rPr>
                      <w:rFonts w:hint="eastAsia"/>
                      <w:bCs/>
                      <w:snapToGrid w:val="0"/>
                      <w:kern w:val="24"/>
                      <w:sz w:val="21"/>
                      <w:szCs w:val="21"/>
                    </w:rPr>
                    <w:t>cm</w:t>
                  </w:r>
                </w:p>
              </w:tc>
              <w:tc>
                <w:tcPr>
                  <w:tcW w:w="1128" w:type="dxa"/>
                  <w:tcBorders>
                    <w:top w:val="single" w:color="auto" w:sz="4" w:space="0"/>
                    <w:bottom w:val="single" w:color="auto" w:sz="8" w:space="0"/>
                  </w:tcBorders>
                  <w:tcMar>
                    <w:top w:w="28" w:type="dxa"/>
                    <w:left w:w="28" w:type="dxa"/>
                    <w:bottom w:w="28" w:type="dxa"/>
                    <w:right w:w="28" w:type="dxa"/>
                  </w:tcMar>
                  <w:vAlign w:val="bottom"/>
                </w:tcPr>
                <w:p w14:paraId="0B84CD41">
                  <w:pPr>
                    <w:pStyle w:val="111"/>
                    <w:spacing w:line="240" w:lineRule="auto"/>
                    <w:ind w:left="-105" w:leftChars="-50" w:right="-105" w:rightChars="-50" w:firstLine="0" w:firstLineChars="0"/>
                    <w:jc w:val="center"/>
                    <w:rPr>
                      <w:rFonts w:hint="eastAsia"/>
                      <w:bCs/>
                      <w:snapToGrid w:val="0"/>
                      <w:kern w:val="24"/>
                      <w:sz w:val="21"/>
                      <w:szCs w:val="21"/>
                    </w:rPr>
                  </w:pPr>
                  <w:r>
                    <w:rPr>
                      <w:rFonts w:hint="eastAsia"/>
                      <w:bCs/>
                      <w:snapToGrid w:val="0"/>
                      <w:kern w:val="24"/>
                      <w:sz w:val="21"/>
                      <w:szCs w:val="21"/>
                    </w:rPr>
                    <w:t>25</w:t>
                  </w:r>
                </w:p>
              </w:tc>
            </w:tr>
          </w:tbl>
          <w:p w14:paraId="43F95B16">
            <w:pPr>
              <w:spacing w:beforeLines="50"/>
              <w:ind w:firstLine="480" w:firstLineChars="200"/>
              <w:rPr>
                <w:rFonts w:hint="eastAsia" w:hAnsi="宋体"/>
                <w:bCs/>
                <w:sz w:val="24"/>
              </w:rPr>
            </w:pPr>
            <w:r>
              <w:rPr>
                <w:rFonts w:hint="eastAsia" w:hAnsi="宋体"/>
                <w:bCs/>
                <w:sz w:val="24"/>
              </w:rPr>
              <w:t>（2）区域风能资源概述</w:t>
            </w:r>
          </w:p>
          <w:p w14:paraId="7211B697">
            <w:pPr>
              <w:ind w:firstLine="480" w:firstLineChars="200"/>
              <w:rPr>
                <w:rFonts w:hint="eastAsia" w:hAnsi="宋体"/>
                <w:bCs/>
                <w:sz w:val="24"/>
              </w:rPr>
            </w:pPr>
            <w:r>
              <w:rPr>
                <w:rFonts w:hint="eastAsia" w:hAnsi="宋体"/>
                <w:bCs/>
                <w:sz w:val="24"/>
              </w:rPr>
              <w:t>① 风速统计</w:t>
            </w:r>
          </w:p>
          <w:p w14:paraId="05FB3C09">
            <w:pPr>
              <w:ind w:firstLine="480" w:firstLineChars="200"/>
              <w:rPr>
                <w:rFonts w:hint="eastAsia" w:hAnsi="宋体"/>
                <w:bCs/>
                <w:sz w:val="24"/>
              </w:rPr>
            </w:pPr>
            <w:r>
              <w:rPr>
                <w:rFonts w:hint="eastAsia" w:ascii="宋体" w:hAnsi="宋体" w:cs="宋体"/>
                <w:bCs/>
                <w:sz w:val="24"/>
              </w:rPr>
              <w:t>苏尼特左旗</w:t>
            </w:r>
            <w:r>
              <w:rPr>
                <w:rFonts w:hint="eastAsia" w:hAnsi="宋体"/>
                <w:bCs/>
                <w:sz w:val="24"/>
              </w:rPr>
              <w:t>气象站长系列（2011年～2015年）和测风年（2010年）逐月平均风速变化见表3.3-2及图3.3-1。该地区常年有风，3月～5月风速最大，其它月份风速相对较小，具有较明显的季节性变化特点。测风年风速月变化趋势与多年逐月平均风速变化基本一致。</w:t>
            </w:r>
          </w:p>
          <w:p w14:paraId="393D73DE">
            <w:pPr>
              <w:ind w:firstLine="480" w:firstLineChars="200"/>
              <w:rPr>
                <w:rFonts w:hint="eastAsia" w:ascii="黑体" w:hAnsi="黑体" w:eastAsia="黑体"/>
                <w:color w:val="000000"/>
                <w:sz w:val="24"/>
              </w:rPr>
            </w:pPr>
            <w:r>
              <w:rPr>
                <w:rFonts w:hint="eastAsia" w:ascii="黑体" w:hAnsi="黑体" w:eastAsia="黑体"/>
                <w:color w:val="000000"/>
                <w:sz w:val="24"/>
              </w:rPr>
              <w:t>表10         苏尼特左旗气象站多年与测风年逐月平均风速（m/s）</w:t>
            </w:r>
          </w:p>
          <w:tbl>
            <w:tblPr>
              <w:tblStyle w:val="25"/>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28" w:type="dxa"/>
                <w:bottom w:w="0" w:type="dxa"/>
                <w:right w:w="28" w:type="dxa"/>
              </w:tblCellMar>
            </w:tblPr>
            <w:tblGrid>
              <w:gridCol w:w="3068"/>
              <w:gridCol w:w="441"/>
              <w:gridCol w:w="440"/>
              <w:gridCol w:w="440"/>
              <w:gridCol w:w="440"/>
              <w:gridCol w:w="440"/>
              <w:gridCol w:w="440"/>
              <w:gridCol w:w="440"/>
              <w:gridCol w:w="440"/>
              <w:gridCol w:w="440"/>
              <w:gridCol w:w="440"/>
              <w:gridCol w:w="440"/>
              <w:gridCol w:w="440"/>
              <w:gridCol w:w="440"/>
            </w:tblGrid>
            <w:tr w14:paraId="5CB37D8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3068" w:type="dxa"/>
                  <w:vAlign w:val="center"/>
                </w:tcPr>
                <w:p w14:paraId="49C39AA0">
                  <w:pPr>
                    <w:spacing w:line="0" w:lineRule="atLeast"/>
                    <w:jc w:val="center"/>
                    <w:rPr>
                      <w:rFonts w:hint="eastAsia"/>
                    </w:rPr>
                  </w:pPr>
                  <w:r>
                    <w:rPr>
                      <w:rFonts w:hint="eastAsia"/>
                    </w:rPr>
                    <w:t>月 份</w:t>
                  </w:r>
                </w:p>
              </w:tc>
              <w:tc>
                <w:tcPr>
                  <w:tcW w:w="441" w:type="dxa"/>
                  <w:vAlign w:val="center"/>
                </w:tcPr>
                <w:p w14:paraId="5A799EA5">
                  <w:pPr>
                    <w:spacing w:line="0" w:lineRule="atLeast"/>
                    <w:jc w:val="center"/>
                    <w:rPr>
                      <w:rFonts w:hint="eastAsia"/>
                      <w:color w:val="000000"/>
                      <w:szCs w:val="21"/>
                    </w:rPr>
                  </w:pPr>
                  <w:r>
                    <w:rPr>
                      <w:rFonts w:hint="eastAsia"/>
                      <w:color w:val="000000"/>
                      <w:szCs w:val="21"/>
                    </w:rPr>
                    <w:t>1</w:t>
                  </w:r>
                </w:p>
              </w:tc>
              <w:tc>
                <w:tcPr>
                  <w:tcW w:w="440" w:type="dxa"/>
                  <w:vAlign w:val="center"/>
                </w:tcPr>
                <w:p w14:paraId="333363A5">
                  <w:pPr>
                    <w:spacing w:line="0" w:lineRule="atLeast"/>
                    <w:jc w:val="center"/>
                    <w:rPr>
                      <w:rFonts w:hint="eastAsia"/>
                      <w:color w:val="000000"/>
                      <w:szCs w:val="21"/>
                    </w:rPr>
                  </w:pPr>
                  <w:r>
                    <w:rPr>
                      <w:rFonts w:hint="eastAsia"/>
                      <w:color w:val="000000"/>
                      <w:szCs w:val="21"/>
                    </w:rPr>
                    <w:t>2</w:t>
                  </w:r>
                </w:p>
              </w:tc>
              <w:tc>
                <w:tcPr>
                  <w:tcW w:w="440" w:type="dxa"/>
                  <w:vAlign w:val="center"/>
                </w:tcPr>
                <w:p w14:paraId="52CD116C">
                  <w:pPr>
                    <w:spacing w:line="0" w:lineRule="atLeast"/>
                    <w:jc w:val="center"/>
                    <w:rPr>
                      <w:rFonts w:hint="eastAsia"/>
                      <w:color w:val="000000"/>
                      <w:szCs w:val="21"/>
                    </w:rPr>
                  </w:pPr>
                  <w:r>
                    <w:rPr>
                      <w:rFonts w:hint="eastAsia"/>
                      <w:color w:val="000000"/>
                      <w:szCs w:val="21"/>
                    </w:rPr>
                    <w:t>3</w:t>
                  </w:r>
                </w:p>
              </w:tc>
              <w:tc>
                <w:tcPr>
                  <w:tcW w:w="440" w:type="dxa"/>
                  <w:vAlign w:val="center"/>
                </w:tcPr>
                <w:p w14:paraId="1206DDF6">
                  <w:pPr>
                    <w:spacing w:line="0" w:lineRule="atLeast"/>
                    <w:jc w:val="center"/>
                    <w:rPr>
                      <w:rFonts w:hint="eastAsia"/>
                      <w:color w:val="000000"/>
                      <w:szCs w:val="21"/>
                    </w:rPr>
                  </w:pPr>
                  <w:r>
                    <w:rPr>
                      <w:rFonts w:hint="eastAsia"/>
                      <w:color w:val="000000"/>
                      <w:szCs w:val="21"/>
                    </w:rPr>
                    <w:t>4</w:t>
                  </w:r>
                </w:p>
              </w:tc>
              <w:tc>
                <w:tcPr>
                  <w:tcW w:w="440" w:type="dxa"/>
                  <w:vAlign w:val="center"/>
                </w:tcPr>
                <w:p w14:paraId="49DDC496">
                  <w:pPr>
                    <w:spacing w:line="0" w:lineRule="atLeast"/>
                    <w:jc w:val="center"/>
                    <w:rPr>
                      <w:rFonts w:hint="eastAsia"/>
                      <w:color w:val="000000"/>
                      <w:szCs w:val="21"/>
                    </w:rPr>
                  </w:pPr>
                  <w:r>
                    <w:rPr>
                      <w:rFonts w:hint="eastAsia"/>
                      <w:color w:val="000000"/>
                      <w:szCs w:val="21"/>
                    </w:rPr>
                    <w:t>5</w:t>
                  </w:r>
                </w:p>
              </w:tc>
              <w:tc>
                <w:tcPr>
                  <w:tcW w:w="440" w:type="dxa"/>
                  <w:vAlign w:val="center"/>
                </w:tcPr>
                <w:p w14:paraId="04974EAA">
                  <w:pPr>
                    <w:spacing w:line="0" w:lineRule="atLeast"/>
                    <w:jc w:val="center"/>
                    <w:rPr>
                      <w:rFonts w:hint="eastAsia"/>
                      <w:color w:val="000000"/>
                      <w:szCs w:val="21"/>
                    </w:rPr>
                  </w:pPr>
                  <w:r>
                    <w:rPr>
                      <w:rFonts w:hint="eastAsia"/>
                      <w:color w:val="000000"/>
                      <w:szCs w:val="21"/>
                    </w:rPr>
                    <w:t>6</w:t>
                  </w:r>
                </w:p>
              </w:tc>
              <w:tc>
                <w:tcPr>
                  <w:tcW w:w="440" w:type="dxa"/>
                  <w:vAlign w:val="center"/>
                </w:tcPr>
                <w:p w14:paraId="2B1D1DD2">
                  <w:pPr>
                    <w:spacing w:line="0" w:lineRule="atLeast"/>
                    <w:jc w:val="center"/>
                    <w:rPr>
                      <w:rFonts w:hint="eastAsia"/>
                      <w:color w:val="000000"/>
                      <w:szCs w:val="21"/>
                    </w:rPr>
                  </w:pPr>
                  <w:r>
                    <w:rPr>
                      <w:rFonts w:hint="eastAsia"/>
                      <w:color w:val="000000"/>
                      <w:szCs w:val="21"/>
                    </w:rPr>
                    <w:t>7</w:t>
                  </w:r>
                </w:p>
              </w:tc>
              <w:tc>
                <w:tcPr>
                  <w:tcW w:w="440" w:type="dxa"/>
                  <w:vAlign w:val="center"/>
                </w:tcPr>
                <w:p w14:paraId="741E2241">
                  <w:pPr>
                    <w:spacing w:line="0" w:lineRule="atLeast"/>
                    <w:ind w:left="-105" w:leftChars="-50" w:right="-105" w:rightChars="-50"/>
                    <w:jc w:val="center"/>
                    <w:rPr>
                      <w:rFonts w:hint="eastAsia"/>
                      <w:color w:val="000000"/>
                      <w:szCs w:val="21"/>
                    </w:rPr>
                  </w:pPr>
                  <w:r>
                    <w:rPr>
                      <w:rFonts w:hint="eastAsia"/>
                      <w:color w:val="000000"/>
                      <w:szCs w:val="21"/>
                    </w:rPr>
                    <w:t>8</w:t>
                  </w:r>
                </w:p>
              </w:tc>
              <w:tc>
                <w:tcPr>
                  <w:tcW w:w="440" w:type="dxa"/>
                  <w:vAlign w:val="center"/>
                </w:tcPr>
                <w:p w14:paraId="26D8BA33">
                  <w:pPr>
                    <w:spacing w:line="0" w:lineRule="atLeast"/>
                    <w:jc w:val="center"/>
                    <w:rPr>
                      <w:rFonts w:hint="eastAsia"/>
                      <w:color w:val="000000"/>
                      <w:szCs w:val="21"/>
                    </w:rPr>
                  </w:pPr>
                  <w:r>
                    <w:rPr>
                      <w:rFonts w:hint="eastAsia"/>
                      <w:color w:val="000000"/>
                      <w:szCs w:val="21"/>
                    </w:rPr>
                    <w:t>9</w:t>
                  </w:r>
                </w:p>
              </w:tc>
              <w:tc>
                <w:tcPr>
                  <w:tcW w:w="440" w:type="dxa"/>
                  <w:vAlign w:val="center"/>
                </w:tcPr>
                <w:p w14:paraId="3875ABCD">
                  <w:pPr>
                    <w:spacing w:line="0" w:lineRule="atLeast"/>
                    <w:jc w:val="center"/>
                    <w:rPr>
                      <w:rFonts w:hint="eastAsia"/>
                      <w:color w:val="000000"/>
                      <w:szCs w:val="21"/>
                    </w:rPr>
                  </w:pPr>
                  <w:r>
                    <w:rPr>
                      <w:rFonts w:hint="eastAsia"/>
                      <w:color w:val="000000"/>
                      <w:szCs w:val="21"/>
                    </w:rPr>
                    <w:t>10</w:t>
                  </w:r>
                </w:p>
              </w:tc>
              <w:tc>
                <w:tcPr>
                  <w:tcW w:w="440" w:type="dxa"/>
                  <w:vAlign w:val="center"/>
                </w:tcPr>
                <w:p w14:paraId="15D92428">
                  <w:pPr>
                    <w:spacing w:line="0" w:lineRule="atLeast"/>
                    <w:jc w:val="center"/>
                    <w:rPr>
                      <w:rFonts w:hint="eastAsia"/>
                      <w:color w:val="000000"/>
                      <w:szCs w:val="21"/>
                    </w:rPr>
                  </w:pPr>
                  <w:r>
                    <w:rPr>
                      <w:rFonts w:hint="eastAsia"/>
                      <w:color w:val="000000"/>
                      <w:szCs w:val="21"/>
                    </w:rPr>
                    <w:t>11</w:t>
                  </w:r>
                </w:p>
              </w:tc>
              <w:tc>
                <w:tcPr>
                  <w:tcW w:w="440" w:type="dxa"/>
                  <w:vAlign w:val="center"/>
                </w:tcPr>
                <w:p w14:paraId="0CBD2FE5">
                  <w:pPr>
                    <w:spacing w:line="0" w:lineRule="atLeast"/>
                    <w:jc w:val="center"/>
                    <w:rPr>
                      <w:rFonts w:hint="eastAsia"/>
                      <w:color w:val="000000"/>
                      <w:szCs w:val="21"/>
                    </w:rPr>
                  </w:pPr>
                  <w:r>
                    <w:rPr>
                      <w:rFonts w:hint="eastAsia"/>
                      <w:color w:val="000000"/>
                      <w:szCs w:val="21"/>
                    </w:rPr>
                    <w:t>12</w:t>
                  </w:r>
                </w:p>
              </w:tc>
              <w:tc>
                <w:tcPr>
                  <w:tcW w:w="440" w:type="dxa"/>
                  <w:vAlign w:val="center"/>
                </w:tcPr>
                <w:p w14:paraId="24633C64">
                  <w:pPr>
                    <w:spacing w:line="0" w:lineRule="atLeast"/>
                    <w:ind w:left="-105" w:leftChars="-50" w:right="-105" w:rightChars="-50"/>
                    <w:jc w:val="center"/>
                    <w:rPr>
                      <w:rFonts w:hint="eastAsia"/>
                      <w:color w:val="000000"/>
                      <w:szCs w:val="21"/>
                    </w:rPr>
                  </w:pPr>
                  <w:r>
                    <w:rPr>
                      <w:rFonts w:hint="eastAsia"/>
                      <w:color w:val="000000"/>
                      <w:szCs w:val="21"/>
                    </w:rPr>
                    <w:t>全年</w:t>
                  </w:r>
                </w:p>
              </w:tc>
            </w:tr>
            <w:tr w14:paraId="48E237B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3068" w:type="dxa"/>
                  <w:vAlign w:val="center"/>
                </w:tcPr>
                <w:p w14:paraId="15020A02">
                  <w:pPr>
                    <w:spacing w:line="0" w:lineRule="atLeast"/>
                    <w:jc w:val="center"/>
                    <w:rPr>
                      <w:color w:val="000000"/>
                      <w:szCs w:val="21"/>
                    </w:rPr>
                  </w:pPr>
                  <w:r>
                    <w:rPr>
                      <w:rFonts w:hint="eastAsia"/>
                      <w:color w:val="000000"/>
                      <w:szCs w:val="21"/>
                    </w:rPr>
                    <w:t>测风年</w:t>
                  </w:r>
                </w:p>
              </w:tc>
              <w:tc>
                <w:tcPr>
                  <w:tcW w:w="441" w:type="dxa"/>
                  <w:vAlign w:val="center"/>
                </w:tcPr>
                <w:p w14:paraId="6C045249">
                  <w:pPr>
                    <w:spacing w:line="0" w:lineRule="atLeast"/>
                    <w:jc w:val="center"/>
                    <w:rPr>
                      <w:rFonts w:hint="eastAsia"/>
                      <w:color w:val="000000"/>
                      <w:szCs w:val="21"/>
                    </w:rPr>
                  </w:pPr>
                  <w:r>
                    <w:rPr>
                      <w:rFonts w:hint="eastAsia"/>
                      <w:color w:val="000000"/>
                      <w:szCs w:val="21"/>
                    </w:rPr>
                    <w:t>3.4</w:t>
                  </w:r>
                </w:p>
              </w:tc>
              <w:tc>
                <w:tcPr>
                  <w:tcW w:w="440" w:type="dxa"/>
                  <w:vAlign w:val="center"/>
                </w:tcPr>
                <w:p w14:paraId="613DEC9A">
                  <w:pPr>
                    <w:spacing w:line="0" w:lineRule="atLeast"/>
                    <w:jc w:val="center"/>
                    <w:rPr>
                      <w:rFonts w:hint="eastAsia"/>
                      <w:color w:val="000000"/>
                      <w:szCs w:val="21"/>
                    </w:rPr>
                  </w:pPr>
                  <w:r>
                    <w:rPr>
                      <w:rFonts w:hint="eastAsia"/>
                      <w:color w:val="000000"/>
                      <w:szCs w:val="21"/>
                    </w:rPr>
                    <w:t>2.9</w:t>
                  </w:r>
                </w:p>
              </w:tc>
              <w:tc>
                <w:tcPr>
                  <w:tcW w:w="440" w:type="dxa"/>
                  <w:vAlign w:val="center"/>
                </w:tcPr>
                <w:p w14:paraId="65DC7B12">
                  <w:pPr>
                    <w:spacing w:line="0" w:lineRule="atLeast"/>
                    <w:jc w:val="center"/>
                    <w:rPr>
                      <w:rFonts w:hint="eastAsia"/>
                      <w:color w:val="000000"/>
                      <w:szCs w:val="21"/>
                    </w:rPr>
                  </w:pPr>
                  <w:r>
                    <w:rPr>
                      <w:rFonts w:hint="eastAsia"/>
                      <w:color w:val="000000"/>
                      <w:szCs w:val="21"/>
                    </w:rPr>
                    <w:t>4.2</w:t>
                  </w:r>
                </w:p>
              </w:tc>
              <w:tc>
                <w:tcPr>
                  <w:tcW w:w="440" w:type="dxa"/>
                  <w:vAlign w:val="center"/>
                </w:tcPr>
                <w:p w14:paraId="5D89304C">
                  <w:pPr>
                    <w:spacing w:line="0" w:lineRule="atLeast"/>
                    <w:jc w:val="center"/>
                    <w:rPr>
                      <w:rFonts w:hint="eastAsia"/>
                      <w:color w:val="000000"/>
                      <w:szCs w:val="21"/>
                    </w:rPr>
                  </w:pPr>
                  <w:r>
                    <w:rPr>
                      <w:rFonts w:hint="eastAsia"/>
                      <w:color w:val="000000"/>
                      <w:szCs w:val="21"/>
                    </w:rPr>
                    <w:t>4.1</w:t>
                  </w:r>
                </w:p>
              </w:tc>
              <w:tc>
                <w:tcPr>
                  <w:tcW w:w="440" w:type="dxa"/>
                  <w:vAlign w:val="center"/>
                </w:tcPr>
                <w:p w14:paraId="462D545E">
                  <w:pPr>
                    <w:spacing w:line="0" w:lineRule="atLeast"/>
                    <w:jc w:val="center"/>
                    <w:rPr>
                      <w:rFonts w:hint="eastAsia"/>
                      <w:color w:val="000000"/>
                      <w:szCs w:val="21"/>
                    </w:rPr>
                  </w:pPr>
                  <w:r>
                    <w:rPr>
                      <w:rFonts w:hint="eastAsia"/>
                      <w:color w:val="000000"/>
                      <w:szCs w:val="21"/>
                    </w:rPr>
                    <w:t>4.9</w:t>
                  </w:r>
                </w:p>
              </w:tc>
              <w:tc>
                <w:tcPr>
                  <w:tcW w:w="440" w:type="dxa"/>
                  <w:vAlign w:val="center"/>
                </w:tcPr>
                <w:p w14:paraId="7CDBE63C">
                  <w:pPr>
                    <w:spacing w:line="0" w:lineRule="atLeast"/>
                    <w:jc w:val="center"/>
                    <w:rPr>
                      <w:rFonts w:hint="eastAsia"/>
                      <w:color w:val="000000"/>
                      <w:szCs w:val="21"/>
                    </w:rPr>
                  </w:pPr>
                  <w:r>
                    <w:rPr>
                      <w:rFonts w:hint="eastAsia"/>
                      <w:color w:val="000000"/>
                      <w:szCs w:val="21"/>
                    </w:rPr>
                    <w:t>3.4</w:t>
                  </w:r>
                </w:p>
              </w:tc>
              <w:tc>
                <w:tcPr>
                  <w:tcW w:w="440" w:type="dxa"/>
                  <w:vAlign w:val="center"/>
                </w:tcPr>
                <w:p w14:paraId="531FFC2C">
                  <w:pPr>
                    <w:spacing w:line="0" w:lineRule="atLeast"/>
                    <w:jc w:val="center"/>
                    <w:rPr>
                      <w:rFonts w:hint="eastAsia"/>
                      <w:color w:val="000000"/>
                      <w:szCs w:val="21"/>
                    </w:rPr>
                  </w:pPr>
                  <w:r>
                    <w:rPr>
                      <w:rFonts w:hint="eastAsia"/>
                      <w:color w:val="000000"/>
                      <w:szCs w:val="21"/>
                    </w:rPr>
                    <w:t>3.4</w:t>
                  </w:r>
                </w:p>
              </w:tc>
              <w:tc>
                <w:tcPr>
                  <w:tcW w:w="440" w:type="dxa"/>
                  <w:vAlign w:val="center"/>
                </w:tcPr>
                <w:p w14:paraId="0068124B">
                  <w:pPr>
                    <w:spacing w:line="0" w:lineRule="atLeast"/>
                    <w:jc w:val="center"/>
                    <w:rPr>
                      <w:rFonts w:hint="eastAsia"/>
                      <w:color w:val="000000"/>
                      <w:szCs w:val="21"/>
                    </w:rPr>
                  </w:pPr>
                  <w:r>
                    <w:rPr>
                      <w:rFonts w:hint="eastAsia"/>
                      <w:color w:val="000000"/>
                      <w:szCs w:val="21"/>
                    </w:rPr>
                    <w:t>3.9</w:t>
                  </w:r>
                </w:p>
              </w:tc>
              <w:tc>
                <w:tcPr>
                  <w:tcW w:w="440" w:type="dxa"/>
                  <w:vAlign w:val="center"/>
                </w:tcPr>
                <w:p w14:paraId="05F05ACB">
                  <w:pPr>
                    <w:spacing w:line="0" w:lineRule="atLeast"/>
                    <w:jc w:val="center"/>
                    <w:rPr>
                      <w:rFonts w:hint="eastAsia"/>
                      <w:color w:val="000000"/>
                      <w:szCs w:val="21"/>
                    </w:rPr>
                  </w:pPr>
                  <w:r>
                    <w:rPr>
                      <w:rFonts w:hint="eastAsia"/>
                      <w:color w:val="000000"/>
                      <w:szCs w:val="21"/>
                    </w:rPr>
                    <w:t>3.5</w:t>
                  </w:r>
                </w:p>
              </w:tc>
              <w:tc>
                <w:tcPr>
                  <w:tcW w:w="440" w:type="dxa"/>
                  <w:vAlign w:val="center"/>
                </w:tcPr>
                <w:p w14:paraId="722D1548">
                  <w:pPr>
                    <w:spacing w:line="0" w:lineRule="atLeast"/>
                    <w:jc w:val="center"/>
                    <w:rPr>
                      <w:rFonts w:hint="eastAsia"/>
                      <w:color w:val="000000"/>
                      <w:szCs w:val="21"/>
                    </w:rPr>
                  </w:pPr>
                  <w:r>
                    <w:rPr>
                      <w:rFonts w:hint="eastAsia"/>
                      <w:color w:val="000000"/>
                      <w:szCs w:val="21"/>
                    </w:rPr>
                    <w:t>3.6</w:t>
                  </w:r>
                </w:p>
              </w:tc>
              <w:tc>
                <w:tcPr>
                  <w:tcW w:w="440" w:type="dxa"/>
                  <w:vAlign w:val="center"/>
                </w:tcPr>
                <w:p w14:paraId="775BACD5">
                  <w:pPr>
                    <w:spacing w:line="0" w:lineRule="atLeast"/>
                    <w:jc w:val="center"/>
                    <w:rPr>
                      <w:rFonts w:hint="eastAsia"/>
                      <w:color w:val="000000"/>
                      <w:szCs w:val="21"/>
                    </w:rPr>
                  </w:pPr>
                  <w:r>
                    <w:rPr>
                      <w:rFonts w:hint="eastAsia"/>
                      <w:color w:val="000000"/>
                      <w:szCs w:val="21"/>
                    </w:rPr>
                    <w:t>3.8</w:t>
                  </w:r>
                </w:p>
              </w:tc>
              <w:tc>
                <w:tcPr>
                  <w:tcW w:w="440" w:type="dxa"/>
                  <w:vAlign w:val="center"/>
                </w:tcPr>
                <w:p w14:paraId="53DA9A48">
                  <w:pPr>
                    <w:spacing w:line="0" w:lineRule="atLeast"/>
                    <w:jc w:val="center"/>
                    <w:rPr>
                      <w:rFonts w:hint="eastAsia"/>
                      <w:color w:val="000000"/>
                      <w:szCs w:val="21"/>
                    </w:rPr>
                  </w:pPr>
                  <w:r>
                    <w:rPr>
                      <w:rFonts w:hint="eastAsia"/>
                      <w:color w:val="000000"/>
                      <w:szCs w:val="21"/>
                    </w:rPr>
                    <w:t>3.7</w:t>
                  </w:r>
                </w:p>
              </w:tc>
              <w:tc>
                <w:tcPr>
                  <w:tcW w:w="440" w:type="dxa"/>
                  <w:vAlign w:val="center"/>
                </w:tcPr>
                <w:p w14:paraId="7261D158">
                  <w:pPr>
                    <w:spacing w:line="0" w:lineRule="atLeast"/>
                    <w:jc w:val="center"/>
                    <w:rPr>
                      <w:rFonts w:hint="eastAsia"/>
                      <w:color w:val="000000"/>
                      <w:szCs w:val="21"/>
                    </w:rPr>
                  </w:pPr>
                  <w:r>
                    <w:rPr>
                      <w:rFonts w:hint="eastAsia"/>
                      <w:color w:val="000000"/>
                      <w:szCs w:val="21"/>
                    </w:rPr>
                    <w:t>3.73</w:t>
                  </w:r>
                </w:p>
              </w:tc>
            </w:tr>
            <w:tr w14:paraId="74DF929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3068" w:type="dxa"/>
                  <w:vAlign w:val="center"/>
                </w:tcPr>
                <w:p w14:paraId="40CE304A">
                  <w:pPr>
                    <w:spacing w:line="0" w:lineRule="atLeast"/>
                    <w:jc w:val="center"/>
                    <w:rPr>
                      <w:color w:val="000000"/>
                      <w:szCs w:val="21"/>
                    </w:rPr>
                  </w:pPr>
                  <w:r>
                    <w:rPr>
                      <w:rFonts w:hint="eastAsia"/>
                      <w:color w:val="000000"/>
                      <w:szCs w:val="21"/>
                    </w:rPr>
                    <w:t>长系列（2011</w:t>
                  </w:r>
                  <w:r>
                    <w:rPr>
                      <w:rFonts w:hint="eastAsia" w:ascii="宋体" w:hAnsi="宋体"/>
                      <w:color w:val="000000"/>
                      <w:szCs w:val="21"/>
                    </w:rPr>
                    <w:t>～</w:t>
                  </w:r>
                  <w:r>
                    <w:rPr>
                      <w:rFonts w:hint="eastAsia"/>
                      <w:color w:val="000000"/>
                      <w:szCs w:val="21"/>
                    </w:rPr>
                    <w:t>2015年）</w:t>
                  </w:r>
                </w:p>
              </w:tc>
              <w:tc>
                <w:tcPr>
                  <w:tcW w:w="441" w:type="dxa"/>
                  <w:vAlign w:val="center"/>
                </w:tcPr>
                <w:p w14:paraId="3B127CA8">
                  <w:pPr>
                    <w:spacing w:line="0" w:lineRule="atLeast"/>
                    <w:jc w:val="center"/>
                    <w:rPr>
                      <w:rFonts w:hint="eastAsia"/>
                      <w:color w:val="000000"/>
                      <w:szCs w:val="21"/>
                    </w:rPr>
                  </w:pPr>
                  <w:r>
                    <w:rPr>
                      <w:rFonts w:hint="eastAsia"/>
                      <w:color w:val="000000"/>
                      <w:szCs w:val="21"/>
                    </w:rPr>
                    <w:t>2.74</w:t>
                  </w:r>
                </w:p>
              </w:tc>
              <w:tc>
                <w:tcPr>
                  <w:tcW w:w="440" w:type="dxa"/>
                  <w:vAlign w:val="center"/>
                </w:tcPr>
                <w:p w14:paraId="1FF5B6D4">
                  <w:pPr>
                    <w:spacing w:line="0" w:lineRule="atLeast"/>
                    <w:jc w:val="center"/>
                    <w:rPr>
                      <w:rFonts w:hint="eastAsia"/>
                      <w:color w:val="000000"/>
                      <w:szCs w:val="21"/>
                    </w:rPr>
                  </w:pPr>
                  <w:r>
                    <w:rPr>
                      <w:rFonts w:hint="eastAsia"/>
                      <w:color w:val="000000"/>
                      <w:szCs w:val="21"/>
                    </w:rPr>
                    <w:t>3.06</w:t>
                  </w:r>
                </w:p>
              </w:tc>
              <w:tc>
                <w:tcPr>
                  <w:tcW w:w="440" w:type="dxa"/>
                  <w:vAlign w:val="center"/>
                </w:tcPr>
                <w:p w14:paraId="65D243A4">
                  <w:pPr>
                    <w:spacing w:line="0" w:lineRule="atLeast"/>
                    <w:jc w:val="center"/>
                    <w:rPr>
                      <w:rFonts w:hint="eastAsia"/>
                      <w:color w:val="000000"/>
                      <w:szCs w:val="21"/>
                    </w:rPr>
                  </w:pPr>
                  <w:r>
                    <w:rPr>
                      <w:rFonts w:hint="eastAsia"/>
                      <w:color w:val="000000"/>
                      <w:szCs w:val="21"/>
                    </w:rPr>
                    <w:t>3.93</w:t>
                  </w:r>
                </w:p>
              </w:tc>
              <w:tc>
                <w:tcPr>
                  <w:tcW w:w="440" w:type="dxa"/>
                  <w:vAlign w:val="center"/>
                </w:tcPr>
                <w:p w14:paraId="0623F65D">
                  <w:pPr>
                    <w:spacing w:line="0" w:lineRule="atLeast"/>
                    <w:jc w:val="center"/>
                    <w:rPr>
                      <w:rFonts w:hint="eastAsia"/>
                      <w:color w:val="000000"/>
                      <w:szCs w:val="21"/>
                    </w:rPr>
                  </w:pPr>
                  <w:r>
                    <w:rPr>
                      <w:rFonts w:hint="eastAsia"/>
                      <w:color w:val="000000"/>
                      <w:szCs w:val="21"/>
                    </w:rPr>
                    <w:t>4.94</w:t>
                  </w:r>
                </w:p>
              </w:tc>
              <w:tc>
                <w:tcPr>
                  <w:tcW w:w="440" w:type="dxa"/>
                  <w:vAlign w:val="center"/>
                </w:tcPr>
                <w:p w14:paraId="0394382A">
                  <w:pPr>
                    <w:spacing w:line="0" w:lineRule="atLeast"/>
                    <w:jc w:val="center"/>
                    <w:rPr>
                      <w:rFonts w:hint="eastAsia"/>
                      <w:color w:val="000000"/>
                      <w:szCs w:val="21"/>
                    </w:rPr>
                  </w:pPr>
                  <w:r>
                    <w:rPr>
                      <w:rFonts w:hint="eastAsia"/>
                      <w:color w:val="000000"/>
                      <w:szCs w:val="21"/>
                    </w:rPr>
                    <w:t>4.99</w:t>
                  </w:r>
                </w:p>
              </w:tc>
              <w:tc>
                <w:tcPr>
                  <w:tcW w:w="440" w:type="dxa"/>
                  <w:vAlign w:val="center"/>
                </w:tcPr>
                <w:p w14:paraId="530563AB">
                  <w:pPr>
                    <w:spacing w:line="0" w:lineRule="atLeast"/>
                    <w:jc w:val="center"/>
                    <w:rPr>
                      <w:rFonts w:hint="eastAsia"/>
                      <w:color w:val="000000"/>
                      <w:szCs w:val="21"/>
                    </w:rPr>
                  </w:pPr>
                  <w:r>
                    <w:rPr>
                      <w:rFonts w:hint="eastAsia"/>
                      <w:color w:val="000000"/>
                      <w:szCs w:val="21"/>
                    </w:rPr>
                    <w:t>4.18</w:t>
                  </w:r>
                </w:p>
              </w:tc>
              <w:tc>
                <w:tcPr>
                  <w:tcW w:w="440" w:type="dxa"/>
                  <w:vAlign w:val="center"/>
                </w:tcPr>
                <w:p w14:paraId="7C4DAAF0">
                  <w:pPr>
                    <w:spacing w:line="0" w:lineRule="atLeast"/>
                    <w:jc w:val="center"/>
                    <w:rPr>
                      <w:rFonts w:hint="eastAsia"/>
                      <w:color w:val="000000"/>
                      <w:szCs w:val="21"/>
                    </w:rPr>
                  </w:pPr>
                  <w:r>
                    <w:rPr>
                      <w:rFonts w:hint="eastAsia"/>
                      <w:color w:val="000000"/>
                      <w:szCs w:val="21"/>
                    </w:rPr>
                    <w:t>3.74</w:t>
                  </w:r>
                </w:p>
              </w:tc>
              <w:tc>
                <w:tcPr>
                  <w:tcW w:w="440" w:type="dxa"/>
                  <w:vAlign w:val="center"/>
                </w:tcPr>
                <w:p w14:paraId="298D5D44">
                  <w:pPr>
                    <w:spacing w:line="0" w:lineRule="atLeast"/>
                    <w:jc w:val="center"/>
                    <w:rPr>
                      <w:rFonts w:hint="eastAsia"/>
                      <w:color w:val="000000"/>
                      <w:szCs w:val="21"/>
                    </w:rPr>
                  </w:pPr>
                  <w:r>
                    <w:rPr>
                      <w:rFonts w:hint="eastAsia"/>
                      <w:color w:val="000000"/>
                      <w:szCs w:val="21"/>
                    </w:rPr>
                    <w:t>3.47</w:t>
                  </w:r>
                </w:p>
              </w:tc>
              <w:tc>
                <w:tcPr>
                  <w:tcW w:w="440" w:type="dxa"/>
                  <w:vAlign w:val="center"/>
                </w:tcPr>
                <w:p w14:paraId="4761D0E6">
                  <w:pPr>
                    <w:spacing w:line="0" w:lineRule="atLeast"/>
                    <w:jc w:val="center"/>
                    <w:rPr>
                      <w:rFonts w:hint="eastAsia"/>
                      <w:color w:val="000000"/>
                      <w:szCs w:val="21"/>
                    </w:rPr>
                  </w:pPr>
                  <w:r>
                    <w:rPr>
                      <w:rFonts w:hint="eastAsia"/>
                      <w:color w:val="000000"/>
                      <w:szCs w:val="21"/>
                    </w:rPr>
                    <w:t>3.67</w:t>
                  </w:r>
                </w:p>
              </w:tc>
              <w:tc>
                <w:tcPr>
                  <w:tcW w:w="440" w:type="dxa"/>
                  <w:vAlign w:val="center"/>
                </w:tcPr>
                <w:p w14:paraId="6071C1AD">
                  <w:pPr>
                    <w:spacing w:line="0" w:lineRule="atLeast"/>
                    <w:jc w:val="center"/>
                    <w:rPr>
                      <w:rFonts w:hint="eastAsia"/>
                      <w:color w:val="000000"/>
                      <w:szCs w:val="21"/>
                    </w:rPr>
                  </w:pPr>
                  <w:r>
                    <w:rPr>
                      <w:rFonts w:hint="eastAsia"/>
                      <w:color w:val="000000"/>
                      <w:szCs w:val="21"/>
                    </w:rPr>
                    <w:t>3.65</w:t>
                  </w:r>
                </w:p>
              </w:tc>
              <w:tc>
                <w:tcPr>
                  <w:tcW w:w="440" w:type="dxa"/>
                  <w:vAlign w:val="center"/>
                </w:tcPr>
                <w:p w14:paraId="4F6BAAE2">
                  <w:pPr>
                    <w:spacing w:line="0" w:lineRule="atLeast"/>
                    <w:jc w:val="center"/>
                    <w:rPr>
                      <w:rFonts w:hint="eastAsia"/>
                      <w:color w:val="000000"/>
                      <w:szCs w:val="21"/>
                    </w:rPr>
                  </w:pPr>
                  <w:r>
                    <w:rPr>
                      <w:rFonts w:hint="eastAsia"/>
                      <w:color w:val="000000"/>
                      <w:szCs w:val="21"/>
                    </w:rPr>
                    <w:t>3.60</w:t>
                  </w:r>
                </w:p>
              </w:tc>
              <w:tc>
                <w:tcPr>
                  <w:tcW w:w="440" w:type="dxa"/>
                  <w:vAlign w:val="center"/>
                </w:tcPr>
                <w:p w14:paraId="37BE3990">
                  <w:pPr>
                    <w:spacing w:line="0" w:lineRule="atLeast"/>
                    <w:jc w:val="center"/>
                    <w:rPr>
                      <w:rFonts w:hint="eastAsia"/>
                      <w:color w:val="000000"/>
                      <w:szCs w:val="21"/>
                    </w:rPr>
                  </w:pPr>
                  <w:r>
                    <w:rPr>
                      <w:rFonts w:hint="eastAsia"/>
                      <w:color w:val="000000"/>
                      <w:szCs w:val="21"/>
                    </w:rPr>
                    <w:t>3.03</w:t>
                  </w:r>
                </w:p>
              </w:tc>
              <w:tc>
                <w:tcPr>
                  <w:tcW w:w="440" w:type="dxa"/>
                  <w:vAlign w:val="center"/>
                </w:tcPr>
                <w:p w14:paraId="40DB2DEB">
                  <w:pPr>
                    <w:spacing w:line="0" w:lineRule="atLeast"/>
                    <w:jc w:val="center"/>
                    <w:rPr>
                      <w:rFonts w:hint="eastAsia"/>
                      <w:color w:val="000000"/>
                      <w:szCs w:val="21"/>
                    </w:rPr>
                  </w:pPr>
                  <w:r>
                    <w:rPr>
                      <w:rFonts w:hint="eastAsia"/>
                      <w:color w:val="000000"/>
                      <w:szCs w:val="21"/>
                    </w:rPr>
                    <w:t>3.75</w:t>
                  </w:r>
                </w:p>
              </w:tc>
            </w:tr>
          </w:tbl>
          <w:p w14:paraId="504EEA1A">
            <w:pPr>
              <w:ind w:firstLine="480" w:firstLineChars="200"/>
              <w:rPr>
                <w:rFonts w:hint="eastAsia" w:hAnsi="宋体"/>
                <w:bCs/>
                <w:sz w:val="24"/>
              </w:rPr>
            </w:pPr>
          </w:p>
          <w:p w14:paraId="22C87852">
            <w:pPr>
              <w:ind w:firstLine="480" w:firstLineChars="200"/>
              <w:rPr>
                <w:rFonts w:hint="eastAsia" w:hAnsi="宋体"/>
                <w:bCs/>
                <w:sz w:val="24"/>
              </w:rPr>
            </w:pPr>
          </w:p>
          <w:p w14:paraId="5C4DD71E">
            <w:pPr>
              <w:ind w:firstLine="480" w:firstLineChars="200"/>
              <w:rPr>
                <w:rFonts w:hint="eastAsia" w:hAnsi="宋体"/>
                <w:bCs/>
                <w:sz w:val="24"/>
              </w:rPr>
            </w:pPr>
          </w:p>
          <w:p w14:paraId="7B3DD12A">
            <w:pPr>
              <w:ind w:firstLine="480" w:firstLineChars="200"/>
              <w:rPr>
                <w:rFonts w:hint="eastAsia" w:hAnsi="宋体"/>
                <w:bCs/>
                <w:sz w:val="24"/>
              </w:rPr>
            </w:pPr>
          </w:p>
          <w:p w14:paraId="29BC6F59">
            <w:pPr>
              <w:ind w:firstLine="480" w:firstLineChars="200"/>
              <w:rPr>
                <w:rFonts w:hint="eastAsia" w:hAnsi="宋体"/>
                <w:bCs/>
                <w:sz w:val="24"/>
              </w:rPr>
            </w:pPr>
          </w:p>
          <w:p w14:paraId="65799102">
            <w:pPr>
              <w:ind w:firstLine="480" w:firstLineChars="200"/>
              <w:rPr>
                <w:rFonts w:hint="eastAsia" w:hAnsi="宋体"/>
                <w:bCs/>
                <w:sz w:val="24"/>
              </w:rPr>
            </w:pPr>
          </w:p>
          <w:p w14:paraId="349B2270">
            <w:pPr>
              <w:ind w:firstLine="482" w:firstLineChars="200"/>
              <w:rPr>
                <w:rFonts w:hint="eastAsia" w:hAnsi="宋体"/>
                <w:bCs/>
                <w:sz w:val="24"/>
              </w:rPr>
            </w:pPr>
            <w:r>
              <w:rPr>
                <w:b/>
                <w:color w:val="000000"/>
                <w:sz w:val="24"/>
              </w:rPr>
              <w:drawing>
                <wp:anchor distT="0" distB="0" distL="114300" distR="114300" simplePos="0" relativeHeight="251663360" behindDoc="0" locked="0" layoutInCell="1" allowOverlap="1">
                  <wp:simplePos x="0" y="0"/>
                  <wp:positionH relativeFrom="column">
                    <wp:posOffset>492125</wp:posOffset>
                  </wp:positionH>
                  <wp:positionV relativeFrom="paragraph">
                    <wp:posOffset>69215</wp:posOffset>
                  </wp:positionV>
                  <wp:extent cx="4639945" cy="2566035"/>
                  <wp:effectExtent l="19050" t="0" r="8255" b="0"/>
                  <wp:wrapNone/>
                  <wp:docPr id="14" name="图片 7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735"/>
                          <pic:cNvPicPr>
                            <a:picLocks noChangeAspect="1" noChangeArrowheads="1"/>
                          </pic:cNvPicPr>
                        </pic:nvPicPr>
                        <pic:blipFill>
                          <a:blip r:embed="rId6"/>
                          <a:srcRect l="554" t="2100" r="351" b="1176"/>
                          <a:stretch>
                            <a:fillRect/>
                          </a:stretch>
                        </pic:blipFill>
                        <pic:spPr>
                          <a:xfrm>
                            <a:off x="0" y="0"/>
                            <a:ext cx="4639945" cy="2566035"/>
                          </a:xfrm>
                          <a:prstGeom prst="rect">
                            <a:avLst/>
                          </a:prstGeom>
                          <a:noFill/>
                          <a:ln w="12700">
                            <a:noFill/>
                            <a:miter lim="800000"/>
                            <a:headEnd/>
                            <a:tailEnd/>
                          </a:ln>
                        </pic:spPr>
                      </pic:pic>
                    </a:graphicData>
                  </a:graphic>
                </wp:anchor>
              </w:drawing>
            </w:r>
          </w:p>
          <w:p w14:paraId="3D36B933">
            <w:pPr>
              <w:ind w:firstLine="480" w:firstLineChars="200"/>
              <w:rPr>
                <w:rFonts w:hint="eastAsia" w:hAnsi="宋体"/>
                <w:bCs/>
                <w:sz w:val="24"/>
              </w:rPr>
            </w:pPr>
          </w:p>
          <w:p w14:paraId="3A18F803">
            <w:pPr>
              <w:ind w:firstLine="480" w:firstLineChars="200"/>
              <w:rPr>
                <w:rFonts w:hint="eastAsia" w:hAnsi="宋体"/>
                <w:bCs/>
                <w:sz w:val="24"/>
              </w:rPr>
            </w:pPr>
          </w:p>
          <w:p w14:paraId="3CA52F56">
            <w:pPr>
              <w:ind w:firstLine="480" w:firstLineChars="200"/>
              <w:rPr>
                <w:rFonts w:hint="eastAsia" w:hAnsi="宋体"/>
                <w:bCs/>
                <w:sz w:val="24"/>
              </w:rPr>
            </w:pPr>
          </w:p>
          <w:p w14:paraId="7C6EA938">
            <w:pPr>
              <w:ind w:firstLine="480" w:firstLineChars="200"/>
              <w:rPr>
                <w:rFonts w:hint="eastAsia" w:hAnsi="宋体"/>
                <w:bCs/>
                <w:sz w:val="24"/>
              </w:rPr>
            </w:pPr>
          </w:p>
          <w:p w14:paraId="323211ED">
            <w:pPr>
              <w:ind w:firstLine="480" w:firstLineChars="200"/>
              <w:rPr>
                <w:rFonts w:hint="eastAsia" w:hAnsi="宋体"/>
                <w:bCs/>
                <w:sz w:val="24"/>
              </w:rPr>
            </w:pPr>
          </w:p>
          <w:p w14:paraId="51B02A8C">
            <w:pPr>
              <w:ind w:firstLine="480" w:firstLineChars="200"/>
              <w:rPr>
                <w:rFonts w:hint="eastAsia" w:hAnsi="宋体"/>
                <w:bCs/>
                <w:sz w:val="24"/>
              </w:rPr>
            </w:pPr>
          </w:p>
          <w:p w14:paraId="746ABE41">
            <w:pPr>
              <w:ind w:firstLine="480" w:firstLineChars="200"/>
              <w:rPr>
                <w:rFonts w:hint="eastAsia" w:hAnsi="宋体"/>
                <w:bCs/>
                <w:sz w:val="24"/>
              </w:rPr>
            </w:pPr>
          </w:p>
          <w:p w14:paraId="09FF69DC">
            <w:pPr>
              <w:ind w:firstLine="480" w:firstLineChars="200"/>
              <w:rPr>
                <w:rFonts w:hint="eastAsia" w:hAnsi="宋体"/>
                <w:bCs/>
                <w:sz w:val="24"/>
              </w:rPr>
            </w:pPr>
          </w:p>
          <w:p w14:paraId="18C5E54A">
            <w:pPr>
              <w:jc w:val="center"/>
              <w:rPr>
                <w:rFonts w:hint="eastAsia" w:ascii="黑体" w:hAnsi="黑体" w:eastAsia="黑体"/>
                <w:color w:val="000000"/>
                <w:sz w:val="24"/>
              </w:rPr>
            </w:pPr>
            <w:r>
              <w:rPr>
                <w:rFonts w:hint="eastAsia" w:ascii="黑体" w:hAnsi="黑体" w:eastAsia="黑体"/>
                <w:color w:val="000000"/>
                <w:sz w:val="24"/>
              </w:rPr>
              <w:t>图5  苏尼特左旗气象站长系列与测风年风速年变化直方图</w:t>
            </w:r>
          </w:p>
          <w:p w14:paraId="749AA84F">
            <w:pPr>
              <w:ind w:firstLine="480" w:firstLineChars="200"/>
              <w:rPr>
                <w:rFonts w:hint="eastAsia" w:hAnsi="宋体"/>
                <w:bCs/>
                <w:sz w:val="24"/>
              </w:rPr>
            </w:pPr>
            <w:r>
              <w:rPr>
                <w:rFonts w:hint="eastAsia" w:hAnsi="宋体"/>
                <w:bCs/>
                <w:sz w:val="24"/>
              </w:rPr>
              <w:t>② 风频统计</w:t>
            </w:r>
          </w:p>
          <w:p w14:paraId="1355222A">
            <w:pPr>
              <w:ind w:firstLine="480" w:firstLineChars="200"/>
              <w:rPr>
                <w:rFonts w:hint="eastAsia" w:hAnsi="宋体"/>
                <w:bCs/>
                <w:sz w:val="24"/>
              </w:rPr>
            </w:pPr>
            <w:r>
              <w:rPr>
                <w:rFonts w:hint="eastAsia" w:hAnsi="宋体"/>
                <w:bCs/>
                <w:sz w:val="24"/>
              </w:rPr>
              <w:t>由苏尼特左旗气象站多年实测资料统计，该地区多年平均和测风年的各风向频率见表11及图6。根据该统计结果，气象站1987年至2016年风向主要集中在WNW～S和E～SE，所占风向频率为67%。</w:t>
            </w:r>
          </w:p>
          <w:p w14:paraId="25304819">
            <w:pPr>
              <w:ind w:firstLine="480" w:firstLineChars="200"/>
              <w:rPr>
                <w:rFonts w:hint="eastAsia" w:ascii="黑体" w:hAnsi="黑体" w:eastAsia="黑体"/>
                <w:color w:val="000000"/>
                <w:sz w:val="24"/>
              </w:rPr>
            </w:pPr>
            <w:r>
              <w:rPr>
                <w:rFonts w:hint="eastAsia" w:ascii="黑体" w:hAnsi="黑体" w:eastAsia="黑体"/>
                <w:color w:val="000000"/>
                <w:sz w:val="24"/>
              </w:rPr>
              <w:t xml:space="preserve">表11                  气象站多年风向统计结果 </w:t>
            </w:r>
          </w:p>
          <w:tbl>
            <w:tblPr>
              <w:tblStyle w:val="25"/>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28" w:type="dxa"/>
                <w:bottom w:w="0" w:type="dxa"/>
                <w:right w:w="28" w:type="dxa"/>
              </w:tblCellMar>
            </w:tblPr>
            <w:tblGrid>
              <w:gridCol w:w="1689"/>
              <w:gridCol w:w="417"/>
              <w:gridCol w:w="417"/>
              <w:gridCol w:w="417"/>
              <w:gridCol w:w="417"/>
              <w:gridCol w:w="417"/>
              <w:gridCol w:w="417"/>
              <w:gridCol w:w="418"/>
              <w:gridCol w:w="418"/>
              <w:gridCol w:w="418"/>
              <w:gridCol w:w="418"/>
              <w:gridCol w:w="418"/>
              <w:gridCol w:w="418"/>
              <w:gridCol w:w="418"/>
              <w:gridCol w:w="418"/>
              <w:gridCol w:w="418"/>
              <w:gridCol w:w="418"/>
              <w:gridCol w:w="418"/>
            </w:tblGrid>
            <w:tr w14:paraId="4FCCF19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1689" w:type="dxa"/>
                  <w:vAlign w:val="center"/>
                </w:tcPr>
                <w:p w14:paraId="3D8325A4">
                  <w:pPr>
                    <w:spacing w:line="0" w:lineRule="atLeast"/>
                    <w:jc w:val="center"/>
                    <w:rPr>
                      <w:rFonts w:hint="eastAsia"/>
                    </w:rPr>
                  </w:pPr>
                  <w:r>
                    <w:rPr>
                      <w:rFonts w:hint="eastAsia"/>
                    </w:rPr>
                    <w:t>风 向</w:t>
                  </w:r>
                </w:p>
              </w:tc>
              <w:tc>
                <w:tcPr>
                  <w:tcW w:w="417" w:type="dxa"/>
                  <w:vAlign w:val="center"/>
                </w:tcPr>
                <w:p w14:paraId="0C2E1AE7">
                  <w:pPr>
                    <w:spacing w:line="0" w:lineRule="atLeast"/>
                    <w:ind w:left="-105" w:leftChars="-50" w:right="-105" w:rightChars="-50"/>
                    <w:jc w:val="center"/>
                    <w:rPr>
                      <w:color w:val="000000"/>
                      <w:szCs w:val="21"/>
                    </w:rPr>
                  </w:pPr>
                  <w:r>
                    <w:rPr>
                      <w:color w:val="000000"/>
                      <w:szCs w:val="21"/>
                    </w:rPr>
                    <w:t>N</w:t>
                  </w:r>
                </w:p>
              </w:tc>
              <w:tc>
                <w:tcPr>
                  <w:tcW w:w="417" w:type="dxa"/>
                  <w:vAlign w:val="center"/>
                </w:tcPr>
                <w:p w14:paraId="3AE44B7D">
                  <w:pPr>
                    <w:spacing w:line="0" w:lineRule="atLeast"/>
                    <w:ind w:left="-105" w:leftChars="-50" w:right="-105" w:rightChars="-50"/>
                    <w:jc w:val="center"/>
                    <w:rPr>
                      <w:color w:val="000000"/>
                      <w:szCs w:val="21"/>
                    </w:rPr>
                  </w:pPr>
                  <w:r>
                    <w:rPr>
                      <w:color w:val="000000"/>
                      <w:szCs w:val="21"/>
                    </w:rPr>
                    <w:t>NNE</w:t>
                  </w:r>
                </w:p>
              </w:tc>
              <w:tc>
                <w:tcPr>
                  <w:tcW w:w="417" w:type="dxa"/>
                  <w:vAlign w:val="center"/>
                </w:tcPr>
                <w:p w14:paraId="3A53D596">
                  <w:pPr>
                    <w:spacing w:line="0" w:lineRule="atLeast"/>
                    <w:ind w:left="-105" w:leftChars="-50" w:right="-105" w:rightChars="-50"/>
                    <w:jc w:val="center"/>
                    <w:rPr>
                      <w:color w:val="000000"/>
                      <w:szCs w:val="21"/>
                    </w:rPr>
                  </w:pPr>
                  <w:r>
                    <w:rPr>
                      <w:color w:val="000000"/>
                      <w:szCs w:val="21"/>
                    </w:rPr>
                    <w:t>NE</w:t>
                  </w:r>
                </w:p>
              </w:tc>
              <w:tc>
                <w:tcPr>
                  <w:tcW w:w="417" w:type="dxa"/>
                  <w:vAlign w:val="center"/>
                </w:tcPr>
                <w:p w14:paraId="0526B412">
                  <w:pPr>
                    <w:spacing w:line="0" w:lineRule="atLeast"/>
                    <w:ind w:left="-105" w:leftChars="-50" w:right="-105" w:rightChars="-50"/>
                    <w:jc w:val="center"/>
                    <w:rPr>
                      <w:color w:val="000000"/>
                      <w:szCs w:val="21"/>
                    </w:rPr>
                  </w:pPr>
                  <w:r>
                    <w:rPr>
                      <w:color w:val="000000"/>
                      <w:szCs w:val="21"/>
                    </w:rPr>
                    <w:t>ENE</w:t>
                  </w:r>
                </w:p>
              </w:tc>
              <w:tc>
                <w:tcPr>
                  <w:tcW w:w="417" w:type="dxa"/>
                  <w:vAlign w:val="center"/>
                </w:tcPr>
                <w:p w14:paraId="13BFD195">
                  <w:pPr>
                    <w:spacing w:line="0" w:lineRule="atLeast"/>
                    <w:ind w:left="-105" w:leftChars="-50" w:right="-105" w:rightChars="-50"/>
                    <w:jc w:val="center"/>
                    <w:rPr>
                      <w:color w:val="000000"/>
                      <w:szCs w:val="21"/>
                    </w:rPr>
                  </w:pPr>
                  <w:r>
                    <w:rPr>
                      <w:color w:val="000000"/>
                      <w:szCs w:val="21"/>
                    </w:rPr>
                    <w:t>E</w:t>
                  </w:r>
                </w:p>
              </w:tc>
              <w:tc>
                <w:tcPr>
                  <w:tcW w:w="417" w:type="dxa"/>
                  <w:vAlign w:val="center"/>
                </w:tcPr>
                <w:p w14:paraId="01DAE135">
                  <w:pPr>
                    <w:spacing w:line="0" w:lineRule="atLeast"/>
                    <w:ind w:left="-105" w:leftChars="-50" w:right="-105" w:rightChars="-50"/>
                    <w:jc w:val="center"/>
                    <w:rPr>
                      <w:color w:val="000000"/>
                      <w:szCs w:val="21"/>
                    </w:rPr>
                  </w:pPr>
                  <w:r>
                    <w:rPr>
                      <w:color w:val="000000"/>
                      <w:szCs w:val="21"/>
                    </w:rPr>
                    <w:t>ESE</w:t>
                  </w:r>
                </w:p>
              </w:tc>
              <w:tc>
                <w:tcPr>
                  <w:tcW w:w="418" w:type="dxa"/>
                  <w:vAlign w:val="center"/>
                </w:tcPr>
                <w:p w14:paraId="23AC6CAA">
                  <w:pPr>
                    <w:spacing w:line="0" w:lineRule="atLeast"/>
                    <w:ind w:left="-105" w:leftChars="-50" w:right="-105" w:rightChars="-50"/>
                    <w:jc w:val="center"/>
                    <w:rPr>
                      <w:color w:val="000000"/>
                      <w:szCs w:val="21"/>
                    </w:rPr>
                  </w:pPr>
                  <w:r>
                    <w:rPr>
                      <w:color w:val="000000"/>
                      <w:szCs w:val="21"/>
                    </w:rPr>
                    <w:t>SE</w:t>
                  </w:r>
                </w:p>
              </w:tc>
              <w:tc>
                <w:tcPr>
                  <w:tcW w:w="418" w:type="dxa"/>
                  <w:vAlign w:val="center"/>
                </w:tcPr>
                <w:p w14:paraId="2044E01C">
                  <w:pPr>
                    <w:spacing w:line="0" w:lineRule="atLeast"/>
                    <w:ind w:left="-105" w:leftChars="-50" w:right="-105" w:rightChars="-50"/>
                    <w:jc w:val="center"/>
                    <w:rPr>
                      <w:color w:val="000000"/>
                      <w:szCs w:val="21"/>
                    </w:rPr>
                  </w:pPr>
                  <w:r>
                    <w:rPr>
                      <w:color w:val="000000"/>
                      <w:szCs w:val="21"/>
                    </w:rPr>
                    <w:t>SSE</w:t>
                  </w:r>
                </w:p>
              </w:tc>
              <w:tc>
                <w:tcPr>
                  <w:tcW w:w="418" w:type="dxa"/>
                  <w:vAlign w:val="center"/>
                </w:tcPr>
                <w:p w14:paraId="663A43B3">
                  <w:pPr>
                    <w:spacing w:line="0" w:lineRule="atLeast"/>
                    <w:ind w:left="-105" w:leftChars="-50" w:right="-105" w:rightChars="-50"/>
                    <w:jc w:val="center"/>
                    <w:rPr>
                      <w:color w:val="000000"/>
                      <w:szCs w:val="21"/>
                    </w:rPr>
                  </w:pPr>
                  <w:r>
                    <w:rPr>
                      <w:color w:val="000000"/>
                      <w:szCs w:val="21"/>
                    </w:rPr>
                    <w:t>S</w:t>
                  </w:r>
                </w:p>
              </w:tc>
              <w:tc>
                <w:tcPr>
                  <w:tcW w:w="418" w:type="dxa"/>
                  <w:vAlign w:val="center"/>
                </w:tcPr>
                <w:p w14:paraId="14026FDC">
                  <w:pPr>
                    <w:spacing w:line="0" w:lineRule="atLeast"/>
                    <w:ind w:left="-105" w:leftChars="-50" w:right="-105" w:rightChars="-50"/>
                    <w:jc w:val="center"/>
                    <w:rPr>
                      <w:color w:val="000000"/>
                      <w:szCs w:val="21"/>
                    </w:rPr>
                  </w:pPr>
                  <w:r>
                    <w:rPr>
                      <w:color w:val="000000"/>
                      <w:szCs w:val="21"/>
                    </w:rPr>
                    <w:t>SSW</w:t>
                  </w:r>
                </w:p>
              </w:tc>
              <w:tc>
                <w:tcPr>
                  <w:tcW w:w="418" w:type="dxa"/>
                  <w:vAlign w:val="center"/>
                </w:tcPr>
                <w:p w14:paraId="64321275">
                  <w:pPr>
                    <w:spacing w:line="0" w:lineRule="atLeast"/>
                    <w:ind w:left="-105" w:leftChars="-50" w:right="-105" w:rightChars="-50"/>
                    <w:jc w:val="center"/>
                    <w:rPr>
                      <w:color w:val="000000"/>
                      <w:szCs w:val="21"/>
                    </w:rPr>
                  </w:pPr>
                  <w:r>
                    <w:rPr>
                      <w:color w:val="000000"/>
                      <w:szCs w:val="21"/>
                    </w:rPr>
                    <w:t>SW</w:t>
                  </w:r>
                </w:p>
              </w:tc>
              <w:tc>
                <w:tcPr>
                  <w:tcW w:w="418" w:type="dxa"/>
                  <w:vAlign w:val="center"/>
                </w:tcPr>
                <w:p w14:paraId="0E91788F">
                  <w:pPr>
                    <w:spacing w:line="0" w:lineRule="atLeast"/>
                    <w:ind w:left="-105" w:leftChars="-50" w:right="-105" w:rightChars="-50"/>
                    <w:jc w:val="center"/>
                    <w:rPr>
                      <w:color w:val="000000"/>
                      <w:szCs w:val="21"/>
                    </w:rPr>
                  </w:pPr>
                  <w:r>
                    <w:rPr>
                      <w:color w:val="000000"/>
                      <w:szCs w:val="21"/>
                    </w:rPr>
                    <w:t>WSW</w:t>
                  </w:r>
                </w:p>
              </w:tc>
              <w:tc>
                <w:tcPr>
                  <w:tcW w:w="418" w:type="dxa"/>
                  <w:vAlign w:val="center"/>
                </w:tcPr>
                <w:p w14:paraId="2641EF7B">
                  <w:pPr>
                    <w:spacing w:line="0" w:lineRule="atLeast"/>
                    <w:ind w:left="-105" w:leftChars="-50" w:right="-105" w:rightChars="-50"/>
                    <w:jc w:val="center"/>
                    <w:rPr>
                      <w:color w:val="000000"/>
                      <w:szCs w:val="21"/>
                    </w:rPr>
                  </w:pPr>
                  <w:r>
                    <w:rPr>
                      <w:color w:val="000000"/>
                      <w:szCs w:val="21"/>
                    </w:rPr>
                    <w:t>W</w:t>
                  </w:r>
                </w:p>
              </w:tc>
              <w:tc>
                <w:tcPr>
                  <w:tcW w:w="418" w:type="dxa"/>
                  <w:vAlign w:val="center"/>
                </w:tcPr>
                <w:p w14:paraId="3F2AC33D">
                  <w:pPr>
                    <w:spacing w:line="0" w:lineRule="atLeast"/>
                    <w:ind w:left="-105" w:leftChars="-50" w:right="-105" w:rightChars="-50"/>
                    <w:jc w:val="center"/>
                    <w:rPr>
                      <w:color w:val="000000"/>
                      <w:szCs w:val="21"/>
                    </w:rPr>
                  </w:pPr>
                  <w:r>
                    <w:rPr>
                      <w:color w:val="000000"/>
                      <w:szCs w:val="21"/>
                    </w:rPr>
                    <w:t>WNW</w:t>
                  </w:r>
                </w:p>
              </w:tc>
              <w:tc>
                <w:tcPr>
                  <w:tcW w:w="418" w:type="dxa"/>
                  <w:vAlign w:val="center"/>
                </w:tcPr>
                <w:p w14:paraId="1A348073">
                  <w:pPr>
                    <w:spacing w:line="0" w:lineRule="atLeast"/>
                    <w:ind w:left="-105" w:leftChars="-50" w:right="-105" w:rightChars="-50"/>
                    <w:jc w:val="center"/>
                    <w:rPr>
                      <w:color w:val="000000"/>
                      <w:szCs w:val="21"/>
                    </w:rPr>
                  </w:pPr>
                  <w:r>
                    <w:rPr>
                      <w:color w:val="000000"/>
                      <w:szCs w:val="21"/>
                    </w:rPr>
                    <w:t>NW</w:t>
                  </w:r>
                </w:p>
              </w:tc>
              <w:tc>
                <w:tcPr>
                  <w:tcW w:w="418" w:type="dxa"/>
                  <w:vAlign w:val="center"/>
                </w:tcPr>
                <w:p w14:paraId="598CE9BE">
                  <w:pPr>
                    <w:spacing w:line="0" w:lineRule="atLeast"/>
                    <w:ind w:left="-105" w:leftChars="-50" w:right="-105" w:rightChars="-50"/>
                    <w:jc w:val="center"/>
                    <w:rPr>
                      <w:color w:val="000000"/>
                      <w:szCs w:val="21"/>
                    </w:rPr>
                  </w:pPr>
                  <w:r>
                    <w:rPr>
                      <w:color w:val="000000"/>
                      <w:szCs w:val="21"/>
                    </w:rPr>
                    <w:t>NNW</w:t>
                  </w:r>
                </w:p>
              </w:tc>
              <w:tc>
                <w:tcPr>
                  <w:tcW w:w="418" w:type="dxa"/>
                  <w:vAlign w:val="center"/>
                </w:tcPr>
                <w:p w14:paraId="4DE37355">
                  <w:pPr>
                    <w:spacing w:line="0" w:lineRule="atLeast"/>
                    <w:ind w:left="-105" w:leftChars="-50" w:right="-105" w:rightChars="-50"/>
                    <w:jc w:val="center"/>
                    <w:rPr>
                      <w:rFonts w:hint="eastAsia"/>
                      <w:color w:val="000000"/>
                      <w:szCs w:val="21"/>
                    </w:rPr>
                  </w:pPr>
                  <w:r>
                    <w:rPr>
                      <w:color w:val="000000"/>
                      <w:szCs w:val="21"/>
                    </w:rPr>
                    <w:t>C</w:t>
                  </w:r>
                </w:p>
              </w:tc>
            </w:tr>
            <w:tr w14:paraId="2F7E2E0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1689" w:type="dxa"/>
                  <w:vAlign w:val="center"/>
                </w:tcPr>
                <w:p w14:paraId="2EA61FDC">
                  <w:pPr>
                    <w:spacing w:line="0" w:lineRule="atLeast"/>
                    <w:jc w:val="center"/>
                    <w:rPr>
                      <w:rFonts w:hint="eastAsia"/>
                      <w:color w:val="000000"/>
                      <w:szCs w:val="21"/>
                    </w:rPr>
                  </w:pPr>
                  <w:bookmarkStart w:id="3" w:name="OLE_LINK8" w:colFirst="1" w:colLast="16"/>
                  <w:bookmarkStart w:id="4" w:name="OLE_LINK9" w:colFirst="1" w:colLast="16"/>
                  <w:bookmarkStart w:id="5" w:name="_Hlk505006023"/>
                  <w:r>
                    <w:rPr>
                      <w:color w:val="000000"/>
                      <w:szCs w:val="21"/>
                    </w:rPr>
                    <w:t>1987-201</w:t>
                  </w:r>
                  <w:r>
                    <w:rPr>
                      <w:rFonts w:hint="eastAsia"/>
                      <w:color w:val="000000"/>
                      <w:szCs w:val="21"/>
                    </w:rPr>
                    <w:t>6年</w:t>
                  </w:r>
                </w:p>
                <w:p w14:paraId="4550C273">
                  <w:pPr>
                    <w:spacing w:line="0" w:lineRule="atLeast"/>
                    <w:jc w:val="center"/>
                    <w:rPr>
                      <w:rFonts w:hint="eastAsia"/>
                      <w:color w:val="000000"/>
                      <w:szCs w:val="21"/>
                    </w:rPr>
                  </w:pPr>
                  <w:r>
                    <w:rPr>
                      <w:rFonts w:hint="eastAsia"/>
                      <w:color w:val="000000"/>
                      <w:szCs w:val="21"/>
                    </w:rPr>
                    <w:t>风向频率（</w:t>
                  </w:r>
                  <w:r>
                    <w:rPr>
                      <w:color w:val="000000"/>
                      <w:szCs w:val="21"/>
                    </w:rPr>
                    <w:t>%</w:t>
                  </w:r>
                  <w:r>
                    <w:rPr>
                      <w:rFonts w:hint="eastAsia"/>
                      <w:color w:val="000000"/>
                      <w:szCs w:val="21"/>
                    </w:rPr>
                    <w:t>）</w:t>
                  </w:r>
                </w:p>
              </w:tc>
              <w:tc>
                <w:tcPr>
                  <w:tcW w:w="417" w:type="dxa"/>
                  <w:vAlign w:val="center"/>
                </w:tcPr>
                <w:p w14:paraId="27B41621">
                  <w:pPr>
                    <w:spacing w:line="0" w:lineRule="atLeast"/>
                    <w:ind w:left="-105" w:leftChars="-50" w:right="-105" w:rightChars="-50"/>
                    <w:jc w:val="center"/>
                    <w:rPr>
                      <w:rFonts w:hint="eastAsia"/>
                      <w:color w:val="000000"/>
                      <w:szCs w:val="21"/>
                    </w:rPr>
                  </w:pPr>
                  <w:r>
                    <w:rPr>
                      <w:rFonts w:hint="eastAsia"/>
                      <w:color w:val="000000"/>
                      <w:szCs w:val="21"/>
                    </w:rPr>
                    <w:t>2</w:t>
                  </w:r>
                </w:p>
              </w:tc>
              <w:tc>
                <w:tcPr>
                  <w:tcW w:w="417" w:type="dxa"/>
                  <w:vAlign w:val="center"/>
                </w:tcPr>
                <w:p w14:paraId="57AB3CB2">
                  <w:pPr>
                    <w:spacing w:line="0" w:lineRule="atLeast"/>
                    <w:ind w:left="-105" w:leftChars="-50" w:right="-105" w:rightChars="-50"/>
                    <w:jc w:val="center"/>
                    <w:rPr>
                      <w:rFonts w:hint="eastAsia"/>
                      <w:color w:val="000000"/>
                      <w:szCs w:val="21"/>
                    </w:rPr>
                  </w:pPr>
                  <w:r>
                    <w:rPr>
                      <w:rFonts w:hint="eastAsia"/>
                      <w:color w:val="000000"/>
                      <w:szCs w:val="21"/>
                    </w:rPr>
                    <w:t>3</w:t>
                  </w:r>
                </w:p>
              </w:tc>
              <w:tc>
                <w:tcPr>
                  <w:tcW w:w="417" w:type="dxa"/>
                  <w:vAlign w:val="center"/>
                </w:tcPr>
                <w:p w14:paraId="417AAA18">
                  <w:pPr>
                    <w:spacing w:line="0" w:lineRule="atLeast"/>
                    <w:ind w:left="-105" w:leftChars="-50" w:right="-105" w:rightChars="-50"/>
                    <w:jc w:val="center"/>
                    <w:rPr>
                      <w:rFonts w:hint="eastAsia"/>
                      <w:color w:val="000000"/>
                      <w:szCs w:val="21"/>
                    </w:rPr>
                  </w:pPr>
                  <w:r>
                    <w:rPr>
                      <w:rFonts w:hint="eastAsia"/>
                      <w:color w:val="000000"/>
                      <w:szCs w:val="21"/>
                    </w:rPr>
                    <w:t>4</w:t>
                  </w:r>
                </w:p>
              </w:tc>
              <w:tc>
                <w:tcPr>
                  <w:tcW w:w="417" w:type="dxa"/>
                  <w:vAlign w:val="center"/>
                </w:tcPr>
                <w:p w14:paraId="6E88DDE7">
                  <w:pPr>
                    <w:spacing w:line="0" w:lineRule="atLeast"/>
                    <w:ind w:left="-105" w:leftChars="-50" w:right="-105" w:rightChars="-50"/>
                    <w:jc w:val="center"/>
                    <w:rPr>
                      <w:rFonts w:hint="eastAsia"/>
                      <w:color w:val="000000"/>
                      <w:szCs w:val="21"/>
                    </w:rPr>
                  </w:pPr>
                  <w:r>
                    <w:rPr>
                      <w:rFonts w:hint="eastAsia"/>
                      <w:color w:val="000000"/>
                      <w:szCs w:val="21"/>
                    </w:rPr>
                    <w:t>4</w:t>
                  </w:r>
                </w:p>
              </w:tc>
              <w:tc>
                <w:tcPr>
                  <w:tcW w:w="417" w:type="dxa"/>
                  <w:vAlign w:val="center"/>
                </w:tcPr>
                <w:p w14:paraId="3EA4E2B8">
                  <w:pPr>
                    <w:spacing w:line="0" w:lineRule="atLeast"/>
                    <w:ind w:left="-105" w:leftChars="-50" w:right="-105" w:rightChars="-50"/>
                    <w:jc w:val="center"/>
                    <w:rPr>
                      <w:rFonts w:hint="eastAsia"/>
                      <w:color w:val="000000"/>
                      <w:szCs w:val="21"/>
                    </w:rPr>
                  </w:pPr>
                  <w:r>
                    <w:rPr>
                      <w:rFonts w:hint="eastAsia"/>
                      <w:color w:val="000000"/>
                      <w:szCs w:val="21"/>
                    </w:rPr>
                    <w:t>6</w:t>
                  </w:r>
                </w:p>
              </w:tc>
              <w:tc>
                <w:tcPr>
                  <w:tcW w:w="417" w:type="dxa"/>
                  <w:vAlign w:val="center"/>
                </w:tcPr>
                <w:p w14:paraId="4C61BFA7">
                  <w:pPr>
                    <w:spacing w:line="0" w:lineRule="atLeast"/>
                    <w:ind w:left="-105" w:leftChars="-50" w:right="-105" w:rightChars="-50"/>
                    <w:jc w:val="center"/>
                    <w:rPr>
                      <w:rFonts w:hint="eastAsia"/>
                      <w:color w:val="000000"/>
                      <w:szCs w:val="21"/>
                    </w:rPr>
                  </w:pPr>
                  <w:r>
                    <w:rPr>
                      <w:rFonts w:hint="eastAsia"/>
                      <w:color w:val="000000"/>
                      <w:szCs w:val="21"/>
                    </w:rPr>
                    <w:t>8</w:t>
                  </w:r>
                </w:p>
              </w:tc>
              <w:tc>
                <w:tcPr>
                  <w:tcW w:w="418" w:type="dxa"/>
                  <w:vAlign w:val="center"/>
                </w:tcPr>
                <w:p w14:paraId="7308C424">
                  <w:pPr>
                    <w:spacing w:line="0" w:lineRule="atLeast"/>
                    <w:ind w:left="-105" w:leftChars="-50" w:right="-105" w:rightChars="-50"/>
                    <w:jc w:val="center"/>
                    <w:rPr>
                      <w:rFonts w:hint="eastAsia"/>
                      <w:color w:val="000000"/>
                      <w:szCs w:val="21"/>
                    </w:rPr>
                  </w:pPr>
                  <w:r>
                    <w:rPr>
                      <w:rFonts w:hint="eastAsia"/>
                      <w:color w:val="000000"/>
                      <w:szCs w:val="21"/>
                    </w:rPr>
                    <w:t>5</w:t>
                  </w:r>
                </w:p>
              </w:tc>
              <w:tc>
                <w:tcPr>
                  <w:tcW w:w="418" w:type="dxa"/>
                  <w:vAlign w:val="center"/>
                </w:tcPr>
                <w:p w14:paraId="47629C57">
                  <w:pPr>
                    <w:spacing w:line="0" w:lineRule="atLeast"/>
                    <w:ind w:left="-105" w:leftChars="-50" w:right="-105" w:rightChars="-50"/>
                    <w:jc w:val="center"/>
                    <w:rPr>
                      <w:rFonts w:hint="eastAsia"/>
                      <w:color w:val="000000"/>
                      <w:szCs w:val="21"/>
                    </w:rPr>
                  </w:pPr>
                  <w:r>
                    <w:rPr>
                      <w:rFonts w:hint="eastAsia"/>
                      <w:color w:val="000000"/>
                      <w:szCs w:val="21"/>
                    </w:rPr>
                    <w:t>4</w:t>
                  </w:r>
                </w:p>
              </w:tc>
              <w:tc>
                <w:tcPr>
                  <w:tcW w:w="418" w:type="dxa"/>
                  <w:vAlign w:val="center"/>
                </w:tcPr>
                <w:p w14:paraId="32B164DA">
                  <w:pPr>
                    <w:spacing w:line="0" w:lineRule="atLeast"/>
                    <w:ind w:left="-105" w:leftChars="-50" w:right="-105" w:rightChars="-50"/>
                    <w:jc w:val="center"/>
                    <w:rPr>
                      <w:rFonts w:hint="eastAsia"/>
                      <w:color w:val="000000"/>
                      <w:szCs w:val="21"/>
                    </w:rPr>
                  </w:pPr>
                  <w:r>
                    <w:rPr>
                      <w:rFonts w:hint="eastAsia"/>
                      <w:color w:val="000000"/>
                      <w:szCs w:val="21"/>
                    </w:rPr>
                    <w:t>6</w:t>
                  </w:r>
                </w:p>
              </w:tc>
              <w:tc>
                <w:tcPr>
                  <w:tcW w:w="418" w:type="dxa"/>
                  <w:vAlign w:val="center"/>
                </w:tcPr>
                <w:p w14:paraId="05151078">
                  <w:pPr>
                    <w:spacing w:line="0" w:lineRule="atLeast"/>
                    <w:ind w:left="-105" w:leftChars="-50" w:right="-105" w:rightChars="-50"/>
                    <w:jc w:val="center"/>
                    <w:rPr>
                      <w:rFonts w:hint="eastAsia"/>
                      <w:color w:val="000000"/>
                      <w:szCs w:val="21"/>
                    </w:rPr>
                  </w:pPr>
                  <w:r>
                    <w:rPr>
                      <w:rFonts w:hint="eastAsia"/>
                      <w:color w:val="000000"/>
                      <w:szCs w:val="21"/>
                    </w:rPr>
                    <w:t>11</w:t>
                  </w:r>
                </w:p>
              </w:tc>
              <w:tc>
                <w:tcPr>
                  <w:tcW w:w="418" w:type="dxa"/>
                  <w:vAlign w:val="center"/>
                </w:tcPr>
                <w:p w14:paraId="2F08CC90">
                  <w:pPr>
                    <w:spacing w:line="0" w:lineRule="atLeast"/>
                    <w:ind w:left="-105" w:leftChars="-50" w:right="-105" w:rightChars="-50"/>
                    <w:jc w:val="center"/>
                    <w:rPr>
                      <w:rFonts w:hint="eastAsia"/>
                      <w:color w:val="000000"/>
                      <w:szCs w:val="21"/>
                    </w:rPr>
                  </w:pPr>
                  <w:r>
                    <w:rPr>
                      <w:rFonts w:hint="eastAsia"/>
                      <w:color w:val="000000"/>
                      <w:szCs w:val="21"/>
                    </w:rPr>
                    <w:t>9</w:t>
                  </w:r>
                </w:p>
              </w:tc>
              <w:tc>
                <w:tcPr>
                  <w:tcW w:w="418" w:type="dxa"/>
                  <w:vAlign w:val="center"/>
                </w:tcPr>
                <w:p w14:paraId="2BE51069">
                  <w:pPr>
                    <w:spacing w:line="0" w:lineRule="atLeast"/>
                    <w:ind w:left="-105" w:leftChars="-50" w:right="-105" w:rightChars="-50"/>
                    <w:jc w:val="center"/>
                    <w:rPr>
                      <w:rFonts w:hint="eastAsia"/>
                      <w:color w:val="000000"/>
                      <w:szCs w:val="21"/>
                    </w:rPr>
                  </w:pPr>
                  <w:r>
                    <w:rPr>
                      <w:rFonts w:hint="eastAsia"/>
                      <w:color w:val="000000"/>
                      <w:szCs w:val="21"/>
                    </w:rPr>
                    <w:t>8</w:t>
                  </w:r>
                </w:p>
              </w:tc>
              <w:tc>
                <w:tcPr>
                  <w:tcW w:w="418" w:type="dxa"/>
                  <w:vAlign w:val="center"/>
                </w:tcPr>
                <w:p w14:paraId="0A0E2CDA">
                  <w:pPr>
                    <w:spacing w:line="0" w:lineRule="atLeast"/>
                    <w:ind w:left="-105" w:leftChars="-50" w:right="-105" w:rightChars="-50"/>
                    <w:jc w:val="center"/>
                    <w:rPr>
                      <w:rFonts w:hint="eastAsia"/>
                      <w:color w:val="000000"/>
                      <w:szCs w:val="21"/>
                    </w:rPr>
                  </w:pPr>
                  <w:r>
                    <w:rPr>
                      <w:rFonts w:hint="eastAsia"/>
                      <w:color w:val="000000"/>
                      <w:szCs w:val="21"/>
                    </w:rPr>
                    <w:t>8</w:t>
                  </w:r>
                </w:p>
              </w:tc>
              <w:tc>
                <w:tcPr>
                  <w:tcW w:w="418" w:type="dxa"/>
                  <w:vAlign w:val="center"/>
                </w:tcPr>
                <w:p w14:paraId="5A3482E1">
                  <w:pPr>
                    <w:spacing w:line="0" w:lineRule="atLeast"/>
                    <w:ind w:left="-105" w:leftChars="-50" w:right="-105" w:rightChars="-50"/>
                    <w:jc w:val="center"/>
                    <w:rPr>
                      <w:rFonts w:hint="eastAsia"/>
                      <w:color w:val="000000"/>
                      <w:szCs w:val="21"/>
                    </w:rPr>
                  </w:pPr>
                  <w:r>
                    <w:rPr>
                      <w:rFonts w:hint="eastAsia"/>
                      <w:color w:val="000000"/>
                      <w:szCs w:val="21"/>
                    </w:rPr>
                    <w:t>7</w:t>
                  </w:r>
                </w:p>
              </w:tc>
              <w:tc>
                <w:tcPr>
                  <w:tcW w:w="418" w:type="dxa"/>
                  <w:vAlign w:val="center"/>
                </w:tcPr>
                <w:p w14:paraId="15390EF8">
                  <w:pPr>
                    <w:spacing w:line="0" w:lineRule="atLeast"/>
                    <w:ind w:left="-105" w:leftChars="-50" w:right="-105" w:rightChars="-50"/>
                    <w:jc w:val="center"/>
                    <w:rPr>
                      <w:rFonts w:hint="eastAsia"/>
                      <w:color w:val="000000"/>
                      <w:szCs w:val="21"/>
                    </w:rPr>
                  </w:pPr>
                  <w:r>
                    <w:rPr>
                      <w:rFonts w:hint="eastAsia"/>
                      <w:color w:val="000000"/>
                      <w:szCs w:val="21"/>
                    </w:rPr>
                    <w:t>4</w:t>
                  </w:r>
                </w:p>
              </w:tc>
              <w:tc>
                <w:tcPr>
                  <w:tcW w:w="418" w:type="dxa"/>
                  <w:vAlign w:val="center"/>
                </w:tcPr>
                <w:p w14:paraId="37A04721">
                  <w:pPr>
                    <w:spacing w:line="0" w:lineRule="atLeast"/>
                    <w:ind w:left="-105" w:leftChars="-50" w:right="-105" w:rightChars="-50"/>
                    <w:jc w:val="center"/>
                    <w:rPr>
                      <w:rFonts w:hint="eastAsia"/>
                      <w:color w:val="000000"/>
                      <w:szCs w:val="21"/>
                    </w:rPr>
                  </w:pPr>
                  <w:r>
                    <w:rPr>
                      <w:rFonts w:hint="eastAsia"/>
                      <w:color w:val="000000"/>
                      <w:szCs w:val="21"/>
                    </w:rPr>
                    <w:t>4</w:t>
                  </w:r>
                </w:p>
              </w:tc>
              <w:tc>
                <w:tcPr>
                  <w:tcW w:w="418" w:type="dxa"/>
                  <w:vAlign w:val="center"/>
                </w:tcPr>
                <w:p w14:paraId="4F33E18A">
                  <w:pPr>
                    <w:spacing w:line="0" w:lineRule="atLeast"/>
                    <w:ind w:left="-105" w:leftChars="-50" w:right="-105" w:rightChars="-50"/>
                    <w:jc w:val="center"/>
                    <w:rPr>
                      <w:rFonts w:hint="eastAsia"/>
                      <w:color w:val="000000"/>
                      <w:szCs w:val="21"/>
                    </w:rPr>
                  </w:pPr>
                  <w:r>
                    <w:rPr>
                      <w:rFonts w:hint="eastAsia"/>
                      <w:color w:val="000000"/>
                      <w:szCs w:val="21"/>
                    </w:rPr>
                    <w:t>7</w:t>
                  </w:r>
                </w:p>
              </w:tc>
            </w:tr>
            <w:bookmarkEnd w:id="3"/>
            <w:bookmarkEnd w:id="4"/>
            <w:bookmarkEnd w:id="5"/>
          </w:tbl>
          <w:p w14:paraId="66650F31">
            <w:pPr>
              <w:ind w:firstLine="482" w:firstLineChars="200"/>
              <w:rPr>
                <w:rFonts w:hint="eastAsia" w:hAnsi="宋体"/>
                <w:bCs/>
                <w:sz w:val="24"/>
              </w:rPr>
            </w:pPr>
            <w:r>
              <w:rPr>
                <w:b/>
                <w:color w:val="000000"/>
                <w:sz w:val="24"/>
              </w:rPr>
              <w:drawing>
                <wp:anchor distT="0" distB="0" distL="114300" distR="114300" simplePos="0" relativeHeight="251664384" behindDoc="0" locked="0" layoutInCell="1" allowOverlap="1">
                  <wp:simplePos x="0" y="0"/>
                  <wp:positionH relativeFrom="column">
                    <wp:posOffset>1226185</wp:posOffset>
                  </wp:positionH>
                  <wp:positionV relativeFrom="paragraph">
                    <wp:posOffset>93980</wp:posOffset>
                  </wp:positionV>
                  <wp:extent cx="3056255" cy="2590800"/>
                  <wp:effectExtent l="19050" t="0" r="0" b="0"/>
                  <wp:wrapNone/>
                  <wp:docPr id="15" name="图片 7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736"/>
                          <pic:cNvPicPr>
                            <a:picLocks noChangeAspect="1" noChangeArrowheads="1"/>
                          </pic:cNvPicPr>
                        </pic:nvPicPr>
                        <pic:blipFill>
                          <a:blip r:embed="rId7"/>
                          <a:srcRect l="3879" t="1408" r="7205" b="2817"/>
                          <a:stretch>
                            <a:fillRect/>
                          </a:stretch>
                        </pic:blipFill>
                        <pic:spPr>
                          <a:xfrm>
                            <a:off x="0" y="0"/>
                            <a:ext cx="3056255" cy="2590800"/>
                          </a:xfrm>
                          <a:prstGeom prst="rect">
                            <a:avLst/>
                          </a:prstGeom>
                          <a:noFill/>
                          <a:ln w="9525">
                            <a:noFill/>
                            <a:miter lim="800000"/>
                            <a:headEnd/>
                            <a:tailEnd/>
                          </a:ln>
                        </pic:spPr>
                      </pic:pic>
                    </a:graphicData>
                  </a:graphic>
                </wp:anchor>
              </w:drawing>
            </w:r>
          </w:p>
          <w:p w14:paraId="53829F2B">
            <w:pPr>
              <w:ind w:firstLine="480" w:firstLineChars="200"/>
              <w:rPr>
                <w:rFonts w:hint="eastAsia" w:hAnsi="宋体"/>
                <w:bCs/>
                <w:sz w:val="24"/>
              </w:rPr>
            </w:pPr>
          </w:p>
          <w:p w14:paraId="6443EA14">
            <w:pPr>
              <w:ind w:firstLine="480" w:firstLineChars="200"/>
              <w:rPr>
                <w:rFonts w:hint="eastAsia" w:hAnsi="宋体"/>
                <w:bCs/>
                <w:sz w:val="24"/>
              </w:rPr>
            </w:pPr>
          </w:p>
          <w:p w14:paraId="5A52345C">
            <w:pPr>
              <w:ind w:firstLine="480" w:firstLineChars="200"/>
              <w:rPr>
                <w:rFonts w:hint="eastAsia" w:hAnsi="宋体"/>
                <w:bCs/>
                <w:sz w:val="24"/>
              </w:rPr>
            </w:pPr>
          </w:p>
          <w:p w14:paraId="11FCBA3E">
            <w:pPr>
              <w:ind w:firstLine="480" w:firstLineChars="200"/>
              <w:rPr>
                <w:rFonts w:hint="eastAsia" w:hAnsi="宋体"/>
                <w:bCs/>
                <w:sz w:val="24"/>
              </w:rPr>
            </w:pPr>
          </w:p>
          <w:p w14:paraId="524C9214">
            <w:pPr>
              <w:ind w:firstLine="480" w:firstLineChars="200"/>
              <w:rPr>
                <w:rFonts w:hint="eastAsia" w:hAnsi="宋体"/>
                <w:bCs/>
                <w:sz w:val="24"/>
              </w:rPr>
            </w:pPr>
          </w:p>
          <w:p w14:paraId="6FCD2DC4">
            <w:pPr>
              <w:ind w:firstLine="480" w:firstLineChars="200"/>
              <w:rPr>
                <w:rFonts w:hint="eastAsia" w:hAnsi="宋体"/>
                <w:bCs/>
                <w:sz w:val="24"/>
              </w:rPr>
            </w:pPr>
          </w:p>
          <w:p w14:paraId="7B335AE6">
            <w:pPr>
              <w:ind w:firstLine="480" w:firstLineChars="200"/>
              <w:rPr>
                <w:rFonts w:hint="eastAsia" w:hAnsi="宋体"/>
                <w:bCs/>
                <w:sz w:val="24"/>
              </w:rPr>
            </w:pPr>
          </w:p>
          <w:p w14:paraId="2091A44E">
            <w:pPr>
              <w:ind w:firstLine="480" w:firstLineChars="200"/>
              <w:rPr>
                <w:rFonts w:hint="eastAsia" w:hAnsi="宋体"/>
                <w:bCs/>
                <w:sz w:val="24"/>
              </w:rPr>
            </w:pPr>
          </w:p>
          <w:p w14:paraId="7A6E882A">
            <w:pPr>
              <w:jc w:val="center"/>
              <w:rPr>
                <w:rFonts w:hint="eastAsia" w:ascii="黑体" w:hAnsi="黑体" w:eastAsia="黑体"/>
                <w:color w:val="000000"/>
                <w:sz w:val="24"/>
              </w:rPr>
            </w:pPr>
            <w:r>
              <w:rPr>
                <w:rFonts w:hint="eastAsia" w:ascii="黑体" w:hAnsi="黑体" w:eastAsia="黑体"/>
                <w:color w:val="000000"/>
                <w:sz w:val="24"/>
              </w:rPr>
              <w:t>图6   阿巴嘎旗气象站多年风向玫瑰图</w:t>
            </w:r>
          </w:p>
          <w:p w14:paraId="59AB9487">
            <w:pPr>
              <w:ind w:firstLine="480" w:firstLineChars="200"/>
              <w:rPr>
                <w:rFonts w:hint="eastAsia" w:hAnsi="宋体"/>
                <w:bCs/>
                <w:sz w:val="24"/>
              </w:rPr>
            </w:pPr>
            <w:r>
              <w:rPr>
                <w:rFonts w:hint="eastAsia" w:hAnsi="宋体"/>
                <w:bCs/>
                <w:sz w:val="24"/>
              </w:rPr>
              <w:t>③ 自建测风塔风能统计结果</w:t>
            </w:r>
          </w:p>
          <w:p w14:paraId="4333BE35">
            <w:pPr>
              <w:ind w:firstLine="480" w:firstLineChars="200"/>
              <w:rPr>
                <w:rFonts w:hint="eastAsia" w:hAnsi="宋体"/>
                <w:bCs/>
                <w:sz w:val="24"/>
              </w:rPr>
            </w:pPr>
            <w:r>
              <w:rPr>
                <w:rFonts w:hint="eastAsia" w:hAnsi="宋体"/>
                <w:bCs/>
                <w:sz w:val="24"/>
              </w:rPr>
              <w:t>本项目利用项目场地周边的2#测风塔进行风能资源分析。测风塔海拔高度1106m，位于风电场东27.5km处。测风塔风速统计结果见表12，风向及风能频率统计结果见表13及图7。</w:t>
            </w:r>
          </w:p>
          <w:p w14:paraId="63B5CB82">
            <w:pPr>
              <w:ind w:firstLine="480" w:firstLineChars="200"/>
              <w:rPr>
                <w:rFonts w:hint="eastAsia" w:ascii="黑体" w:hAnsi="黑体" w:eastAsia="黑体"/>
                <w:color w:val="000000"/>
                <w:sz w:val="24"/>
              </w:rPr>
            </w:pPr>
            <w:r>
              <w:rPr>
                <w:rFonts w:hint="eastAsia" w:ascii="黑体" w:hAnsi="黑体" w:eastAsia="黑体"/>
                <w:color w:val="000000"/>
                <w:sz w:val="24"/>
              </w:rPr>
              <w:t xml:space="preserve">表12                  </w:t>
            </w:r>
            <w:r>
              <w:rPr>
                <w:rFonts w:hint="eastAsia" w:hAnsi="宋体"/>
                <w:bCs/>
                <w:sz w:val="24"/>
              </w:rPr>
              <w:t>2</w:t>
            </w:r>
            <w:r>
              <w:rPr>
                <w:rFonts w:hint="eastAsia" w:ascii="黑体" w:hAnsi="黑体" w:eastAsia="黑体"/>
                <w:color w:val="000000"/>
                <w:sz w:val="24"/>
              </w:rPr>
              <w:t xml:space="preserve">#测风塔风速统计一览表                </w:t>
            </w:r>
          </w:p>
          <w:tbl>
            <w:tblPr>
              <w:tblStyle w:val="25"/>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28" w:type="dxa"/>
                <w:bottom w:w="0" w:type="dxa"/>
                <w:right w:w="28" w:type="dxa"/>
              </w:tblCellMar>
            </w:tblPr>
            <w:tblGrid>
              <w:gridCol w:w="2218"/>
              <w:gridCol w:w="1119"/>
              <w:gridCol w:w="1100"/>
              <w:gridCol w:w="1112"/>
              <w:gridCol w:w="1080"/>
              <w:gridCol w:w="1080"/>
              <w:gridCol w:w="1080"/>
            </w:tblGrid>
            <w:tr w14:paraId="003208C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2218" w:type="dxa"/>
                  <w:vMerge w:val="restart"/>
                  <w:vAlign w:val="center"/>
                </w:tcPr>
                <w:p w14:paraId="04D6D351">
                  <w:pPr>
                    <w:spacing w:line="0" w:lineRule="atLeast"/>
                    <w:jc w:val="center"/>
                    <w:rPr>
                      <w:rFonts w:hint="eastAsia"/>
                    </w:rPr>
                  </w:pPr>
                  <w:r>
                    <w:rPr>
                      <w:rFonts w:hint="eastAsia"/>
                    </w:rPr>
                    <w:t>时间</w:t>
                  </w:r>
                </w:p>
                <w:p w14:paraId="5E91A9C8">
                  <w:pPr>
                    <w:spacing w:line="0" w:lineRule="atLeast"/>
                    <w:jc w:val="center"/>
                    <w:rPr>
                      <w:rFonts w:hint="eastAsia"/>
                    </w:rPr>
                  </w:pPr>
                  <w:r>
                    <w:rPr>
                      <w:rFonts w:hint="eastAsia"/>
                    </w:rPr>
                    <w:t>（月）</w:t>
                  </w:r>
                </w:p>
              </w:tc>
              <w:tc>
                <w:tcPr>
                  <w:tcW w:w="6571" w:type="dxa"/>
                  <w:gridSpan w:val="6"/>
                  <w:vAlign w:val="center"/>
                </w:tcPr>
                <w:p w14:paraId="36263D4C">
                  <w:pPr>
                    <w:spacing w:line="0" w:lineRule="atLeast"/>
                    <w:ind w:left="-105" w:leftChars="-50" w:right="-105" w:rightChars="-50"/>
                    <w:jc w:val="center"/>
                    <w:rPr>
                      <w:rFonts w:hint="eastAsia"/>
                      <w:color w:val="000000"/>
                      <w:szCs w:val="21"/>
                    </w:rPr>
                  </w:pPr>
                  <w:r>
                    <w:rPr>
                      <w:color w:val="000000"/>
                      <w:szCs w:val="21"/>
                    </w:rPr>
                    <w:t>风速</w:t>
                  </w:r>
                  <w:r>
                    <w:rPr>
                      <w:rFonts w:hint="eastAsia"/>
                      <w:color w:val="000000"/>
                      <w:szCs w:val="21"/>
                    </w:rPr>
                    <w:t>（</w:t>
                  </w:r>
                  <w:r>
                    <w:rPr>
                      <w:color w:val="000000"/>
                      <w:szCs w:val="21"/>
                    </w:rPr>
                    <w:t>m/s</w:t>
                  </w:r>
                  <w:r>
                    <w:rPr>
                      <w:rFonts w:hint="eastAsia"/>
                      <w:color w:val="000000"/>
                      <w:szCs w:val="21"/>
                    </w:rPr>
                    <w:t>）</w:t>
                  </w:r>
                </w:p>
              </w:tc>
            </w:tr>
            <w:tr w14:paraId="3AA89BC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2218" w:type="dxa"/>
                  <w:vMerge w:val="continue"/>
                  <w:vAlign w:val="center"/>
                </w:tcPr>
                <w:p w14:paraId="5FC5C497">
                  <w:pPr>
                    <w:spacing w:line="0" w:lineRule="atLeast"/>
                    <w:jc w:val="center"/>
                    <w:rPr>
                      <w:rFonts w:hint="eastAsia"/>
                      <w:color w:val="000000"/>
                      <w:szCs w:val="21"/>
                    </w:rPr>
                  </w:pPr>
                </w:p>
              </w:tc>
              <w:tc>
                <w:tcPr>
                  <w:tcW w:w="1119" w:type="dxa"/>
                  <w:vAlign w:val="center"/>
                </w:tcPr>
                <w:p w14:paraId="25279C25">
                  <w:pPr>
                    <w:spacing w:line="0" w:lineRule="atLeast"/>
                    <w:ind w:left="-105" w:leftChars="-50" w:right="-105" w:rightChars="-50"/>
                    <w:jc w:val="center"/>
                    <w:rPr>
                      <w:rFonts w:hint="eastAsia"/>
                      <w:color w:val="000000"/>
                      <w:szCs w:val="21"/>
                    </w:rPr>
                  </w:pPr>
                  <w:r>
                    <w:rPr>
                      <w:rFonts w:hint="eastAsia"/>
                      <w:color w:val="000000"/>
                      <w:szCs w:val="21"/>
                    </w:rPr>
                    <w:t>90m</w:t>
                  </w:r>
                </w:p>
              </w:tc>
              <w:tc>
                <w:tcPr>
                  <w:tcW w:w="1100" w:type="dxa"/>
                  <w:vAlign w:val="center"/>
                </w:tcPr>
                <w:p w14:paraId="51C33862">
                  <w:pPr>
                    <w:spacing w:line="0" w:lineRule="atLeast"/>
                    <w:ind w:left="-105" w:leftChars="-50" w:right="-105" w:rightChars="-50"/>
                    <w:jc w:val="center"/>
                    <w:rPr>
                      <w:rFonts w:hint="eastAsia"/>
                      <w:color w:val="000000"/>
                      <w:szCs w:val="21"/>
                    </w:rPr>
                  </w:pPr>
                  <w:r>
                    <w:rPr>
                      <w:rFonts w:hint="eastAsia"/>
                      <w:color w:val="000000"/>
                      <w:szCs w:val="21"/>
                    </w:rPr>
                    <w:t>70m</w:t>
                  </w:r>
                </w:p>
              </w:tc>
              <w:tc>
                <w:tcPr>
                  <w:tcW w:w="1112" w:type="dxa"/>
                  <w:vAlign w:val="center"/>
                </w:tcPr>
                <w:p w14:paraId="08DC76D3">
                  <w:pPr>
                    <w:spacing w:line="0" w:lineRule="atLeast"/>
                    <w:ind w:left="-105" w:leftChars="-50" w:right="-105" w:rightChars="-50"/>
                    <w:jc w:val="center"/>
                    <w:rPr>
                      <w:rFonts w:hint="eastAsia"/>
                      <w:color w:val="000000"/>
                      <w:szCs w:val="21"/>
                    </w:rPr>
                  </w:pPr>
                  <w:r>
                    <w:rPr>
                      <w:rFonts w:hint="eastAsia"/>
                      <w:color w:val="000000"/>
                      <w:szCs w:val="21"/>
                    </w:rPr>
                    <w:t>60m</w:t>
                  </w:r>
                </w:p>
              </w:tc>
              <w:tc>
                <w:tcPr>
                  <w:tcW w:w="1080" w:type="dxa"/>
                  <w:vAlign w:val="center"/>
                </w:tcPr>
                <w:p w14:paraId="27F8A989">
                  <w:pPr>
                    <w:spacing w:line="0" w:lineRule="atLeast"/>
                    <w:ind w:left="-105" w:leftChars="-50" w:right="-105" w:rightChars="-50"/>
                    <w:jc w:val="center"/>
                    <w:rPr>
                      <w:color w:val="000000"/>
                      <w:szCs w:val="21"/>
                    </w:rPr>
                  </w:pPr>
                  <w:r>
                    <w:rPr>
                      <w:rFonts w:hint="eastAsia"/>
                      <w:color w:val="000000"/>
                      <w:szCs w:val="21"/>
                    </w:rPr>
                    <w:t>50m</w:t>
                  </w:r>
                </w:p>
              </w:tc>
              <w:tc>
                <w:tcPr>
                  <w:tcW w:w="1080" w:type="dxa"/>
                  <w:vAlign w:val="center"/>
                </w:tcPr>
                <w:p w14:paraId="25AAC136">
                  <w:pPr>
                    <w:spacing w:line="0" w:lineRule="atLeast"/>
                    <w:ind w:left="-105" w:leftChars="-50" w:right="-105" w:rightChars="-50"/>
                    <w:jc w:val="center"/>
                    <w:rPr>
                      <w:rFonts w:hint="eastAsia"/>
                      <w:color w:val="000000"/>
                      <w:szCs w:val="21"/>
                    </w:rPr>
                  </w:pPr>
                  <w:r>
                    <w:rPr>
                      <w:rFonts w:hint="eastAsia"/>
                      <w:color w:val="000000"/>
                      <w:szCs w:val="21"/>
                    </w:rPr>
                    <w:t>30m</w:t>
                  </w:r>
                </w:p>
              </w:tc>
              <w:tc>
                <w:tcPr>
                  <w:tcW w:w="1080" w:type="dxa"/>
                  <w:vAlign w:val="center"/>
                </w:tcPr>
                <w:p w14:paraId="5E9E4D65">
                  <w:pPr>
                    <w:spacing w:line="0" w:lineRule="atLeast"/>
                    <w:ind w:left="-105" w:leftChars="-50" w:right="-105" w:rightChars="-50"/>
                    <w:jc w:val="center"/>
                    <w:rPr>
                      <w:color w:val="000000"/>
                      <w:szCs w:val="21"/>
                    </w:rPr>
                  </w:pPr>
                  <w:r>
                    <w:rPr>
                      <w:rFonts w:hint="eastAsia"/>
                      <w:color w:val="000000"/>
                      <w:szCs w:val="21"/>
                    </w:rPr>
                    <w:t>10m</w:t>
                  </w:r>
                </w:p>
              </w:tc>
            </w:tr>
            <w:tr w14:paraId="6C45D3E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2218" w:type="dxa"/>
                  <w:vAlign w:val="center"/>
                </w:tcPr>
                <w:p w14:paraId="1D9D9F54">
                  <w:pPr>
                    <w:spacing w:line="0" w:lineRule="atLeast"/>
                    <w:jc w:val="center"/>
                    <w:rPr>
                      <w:rFonts w:hint="eastAsia"/>
                      <w:color w:val="000000"/>
                      <w:szCs w:val="21"/>
                    </w:rPr>
                  </w:pPr>
                  <w:r>
                    <w:rPr>
                      <w:rFonts w:hint="eastAsia"/>
                      <w:color w:val="000000"/>
                      <w:szCs w:val="21"/>
                    </w:rPr>
                    <w:t>1月</w:t>
                  </w:r>
                </w:p>
              </w:tc>
              <w:tc>
                <w:tcPr>
                  <w:tcW w:w="1119" w:type="dxa"/>
                  <w:vAlign w:val="center"/>
                </w:tcPr>
                <w:p w14:paraId="0308B0D4">
                  <w:pPr>
                    <w:spacing w:line="0" w:lineRule="atLeast"/>
                    <w:jc w:val="center"/>
                    <w:rPr>
                      <w:rFonts w:hint="eastAsia"/>
                      <w:color w:val="000000"/>
                      <w:szCs w:val="21"/>
                    </w:rPr>
                  </w:pPr>
                  <w:r>
                    <w:rPr>
                      <w:rFonts w:hint="eastAsia"/>
                      <w:color w:val="000000"/>
                      <w:szCs w:val="21"/>
                    </w:rPr>
                    <w:t>7.96</w:t>
                  </w:r>
                </w:p>
              </w:tc>
              <w:tc>
                <w:tcPr>
                  <w:tcW w:w="1100" w:type="dxa"/>
                  <w:vAlign w:val="center"/>
                </w:tcPr>
                <w:p w14:paraId="1D39915B">
                  <w:pPr>
                    <w:spacing w:line="0" w:lineRule="atLeast"/>
                    <w:jc w:val="center"/>
                    <w:rPr>
                      <w:rFonts w:hint="eastAsia"/>
                      <w:color w:val="000000"/>
                      <w:szCs w:val="21"/>
                    </w:rPr>
                  </w:pPr>
                  <w:r>
                    <w:rPr>
                      <w:rFonts w:hint="eastAsia"/>
                      <w:color w:val="000000"/>
                      <w:szCs w:val="21"/>
                    </w:rPr>
                    <w:t>7.62</w:t>
                  </w:r>
                </w:p>
              </w:tc>
              <w:tc>
                <w:tcPr>
                  <w:tcW w:w="1112" w:type="dxa"/>
                  <w:vAlign w:val="center"/>
                </w:tcPr>
                <w:p w14:paraId="1AC26DAF">
                  <w:pPr>
                    <w:spacing w:line="0" w:lineRule="atLeast"/>
                    <w:jc w:val="center"/>
                    <w:rPr>
                      <w:rFonts w:hint="eastAsia"/>
                      <w:color w:val="000000"/>
                      <w:szCs w:val="21"/>
                    </w:rPr>
                  </w:pPr>
                  <w:r>
                    <w:rPr>
                      <w:rFonts w:hint="eastAsia"/>
                      <w:color w:val="000000"/>
                      <w:szCs w:val="21"/>
                    </w:rPr>
                    <w:t>7.16</w:t>
                  </w:r>
                </w:p>
              </w:tc>
              <w:tc>
                <w:tcPr>
                  <w:tcW w:w="1080" w:type="dxa"/>
                  <w:vAlign w:val="center"/>
                </w:tcPr>
                <w:p w14:paraId="6E2BC595">
                  <w:pPr>
                    <w:spacing w:line="0" w:lineRule="atLeast"/>
                    <w:jc w:val="center"/>
                    <w:rPr>
                      <w:rFonts w:hint="eastAsia"/>
                      <w:color w:val="000000"/>
                      <w:szCs w:val="21"/>
                    </w:rPr>
                  </w:pPr>
                  <w:r>
                    <w:rPr>
                      <w:rFonts w:hint="eastAsia"/>
                      <w:color w:val="000000"/>
                      <w:szCs w:val="21"/>
                    </w:rPr>
                    <w:t>6.93</w:t>
                  </w:r>
                </w:p>
              </w:tc>
              <w:tc>
                <w:tcPr>
                  <w:tcW w:w="1080" w:type="dxa"/>
                  <w:vAlign w:val="center"/>
                </w:tcPr>
                <w:p w14:paraId="6E75F163">
                  <w:pPr>
                    <w:spacing w:line="0" w:lineRule="atLeast"/>
                    <w:jc w:val="center"/>
                    <w:rPr>
                      <w:rFonts w:hint="eastAsia"/>
                      <w:color w:val="000000"/>
                      <w:szCs w:val="21"/>
                    </w:rPr>
                  </w:pPr>
                  <w:r>
                    <w:rPr>
                      <w:rFonts w:hint="eastAsia"/>
                      <w:color w:val="000000"/>
                      <w:szCs w:val="21"/>
                    </w:rPr>
                    <w:t>6.34</w:t>
                  </w:r>
                </w:p>
              </w:tc>
              <w:tc>
                <w:tcPr>
                  <w:tcW w:w="1080" w:type="dxa"/>
                  <w:vAlign w:val="center"/>
                </w:tcPr>
                <w:p w14:paraId="4860CC52">
                  <w:pPr>
                    <w:spacing w:line="0" w:lineRule="atLeast"/>
                    <w:jc w:val="center"/>
                    <w:rPr>
                      <w:rFonts w:hint="eastAsia"/>
                      <w:color w:val="000000"/>
                      <w:szCs w:val="21"/>
                    </w:rPr>
                  </w:pPr>
                  <w:r>
                    <w:rPr>
                      <w:rFonts w:hint="eastAsia"/>
                      <w:color w:val="000000"/>
                      <w:szCs w:val="21"/>
                    </w:rPr>
                    <w:t>5.14</w:t>
                  </w:r>
                </w:p>
              </w:tc>
            </w:tr>
            <w:tr w14:paraId="1DD5194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2218" w:type="dxa"/>
                  <w:vAlign w:val="center"/>
                </w:tcPr>
                <w:p w14:paraId="0467E212">
                  <w:pPr>
                    <w:spacing w:line="0" w:lineRule="atLeast"/>
                    <w:jc w:val="center"/>
                    <w:rPr>
                      <w:rFonts w:hint="eastAsia"/>
                      <w:color w:val="000000"/>
                      <w:szCs w:val="21"/>
                    </w:rPr>
                  </w:pPr>
                  <w:r>
                    <w:rPr>
                      <w:rFonts w:hint="eastAsia"/>
                      <w:color w:val="000000"/>
                      <w:szCs w:val="21"/>
                    </w:rPr>
                    <w:t>2月</w:t>
                  </w:r>
                </w:p>
              </w:tc>
              <w:tc>
                <w:tcPr>
                  <w:tcW w:w="1119" w:type="dxa"/>
                  <w:vAlign w:val="center"/>
                </w:tcPr>
                <w:p w14:paraId="11CF7016">
                  <w:pPr>
                    <w:spacing w:line="0" w:lineRule="atLeast"/>
                    <w:jc w:val="center"/>
                    <w:rPr>
                      <w:rFonts w:hint="eastAsia"/>
                      <w:color w:val="000000"/>
                      <w:szCs w:val="21"/>
                    </w:rPr>
                  </w:pPr>
                  <w:r>
                    <w:rPr>
                      <w:rFonts w:hint="eastAsia"/>
                      <w:color w:val="000000"/>
                      <w:szCs w:val="21"/>
                    </w:rPr>
                    <w:t>6.53</w:t>
                  </w:r>
                </w:p>
              </w:tc>
              <w:tc>
                <w:tcPr>
                  <w:tcW w:w="1100" w:type="dxa"/>
                  <w:vAlign w:val="center"/>
                </w:tcPr>
                <w:p w14:paraId="209A3A8D">
                  <w:pPr>
                    <w:spacing w:line="0" w:lineRule="atLeast"/>
                    <w:jc w:val="center"/>
                    <w:rPr>
                      <w:rFonts w:hint="eastAsia"/>
                      <w:color w:val="000000"/>
                      <w:szCs w:val="21"/>
                    </w:rPr>
                  </w:pPr>
                  <w:r>
                    <w:rPr>
                      <w:rFonts w:hint="eastAsia"/>
                      <w:color w:val="000000"/>
                      <w:szCs w:val="21"/>
                    </w:rPr>
                    <w:t>6.26</w:t>
                  </w:r>
                </w:p>
              </w:tc>
              <w:tc>
                <w:tcPr>
                  <w:tcW w:w="1112" w:type="dxa"/>
                  <w:vAlign w:val="center"/>
                </w:tcPr>
                <w:p w14:paraId="479BD736">
                  <w:pPr>
                    <w:spacing w:line="0" w:lineRule="atLeast"/>
                    <w:jc w:val="center"/>
                    <w:rPr>
                      <w:rFonts w:hint="eastAsia"/>
                      <w:color w:val="000000"/>
                      <w:szCs w:val="21"/>
                    </w:rPr>
                  </w:pPr>
                  <w:r>
                    <w:rPr>
                      <w:rFonts w:hint="eastAsia"/>
                      <w:color w:val="000000"/>
                      <w:szCs w:val="21"/>
                    </w:rPr>
                    <w:t>6.03</w:t>
                  </w:r>
                </w:p>
              </w:tc>
              <w:tc>
                <w:tcPr>
                  <w:tcW w:w="1080" w:type="dxa"/>
                  <w:vAlign w:val="center"/>
                </w:tcPr>
                <w:p w14:paraId="4BC1F790">
                  <w:pPr>
                    <w:spacing w:line="0" w:lineRule="atLeast"/>
                    <w:jc w:val="center"/>
                    <w:rPr>
                      <w:rFonts w:hint="eastAsia"/>
                      <w:color w:val="000000"/>
                      <w:szCs w:val="21"/>
                    </w:rPr>
                  </w:pPr>
                  <w:r>
                    <w:rPr>
                      <w:rFonts w:hint="eastAsia"/>
                      <w:color w:val="000000"/>
                      <w:szCs w:val="21"/>
                    </w:rPr>
                    <w:t>5.84</w:t>
                  </w:r>
                </w:p>
              </w:tc>
              <w:tc>
                <w:tcPr>
                  <w:tcW w:w="1080" w:type="dxa"/>
                  <w:vAlign w:val="center"/>
                </w:tcPr>
                <w:p w14:paraId="74F264B9">
                  <w:pPr>
                    <w:spacing w:line="0" w:lineRule="atLeast"/>
                    <w:jc w:val="center"/>
                    <w:rPr>
                      <w:rFonts w:hint="eastAsia"/>
                      <w:color w:val="000000"/>
                      <w:szCs w:val="21"/>
                    </w:rPr>
                  </w:pPr>
                  <w:r>
                    <w:rPr>
                      <w:rFonts w:hint="eastAsia"/>
                      <w:color w:val="000000"/>
                      <w:szCs w:val="21"/>
                    </w:rPr>
                    <w:t>5.31</w:t>
                  </w:r>
                </w:p>
              </w:tc>
              <w:tc>
                <w:tcPr>
                  <w:tcW w:w="1080" w:type="dxa"/>
                  <w:vAlign w:val="center"/>
                </w:tcPr>
                <w:p w14:paraId="2FEE3776">
                  <w:pPr>
                    <w:spacing w:line="0" w:lineRule="atLeast"/>
                    <w:jc w:val="center"/>
                    <w:rPr>
                      <w:rFonts w:hint="eastAsia"/>
                      <w:color w:val="000000"/>
                      <w:szCs w:val="21"/>
                    </w:rPr>
                  </w:pPr>
                  <w:r>
                    <w:rPr>
                      <w:rFonts w:hint="eastAsia"/>
                      <w:color w:val="000000"/>
                      <w:szCs w:val="21"/>
                    </w:rPr>
                    <w:t>4.23</w:t>
                  </w:r>
                </w:p>
              </w:tc>
            </w:tr>
            <w:tr w14:paraId="3C86328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2218" w:type="dxa"/>
                  <w:vAlign w:val="center"/>
                </w:tcPr>
                <w:p w14:paraId="608FBEEB">
                  <w:pPr>
                    <w:spacing w:line="0" w:lineRule="atLeast"/>
                    <w:jc w:val="center"/>
                    <w:rPr>
                      <w:rFonts w:hint="eastAsia"/>
                      <w:color w:val="000000"/>
                      <w:szCs w:val="21"/>
                    </w:rPr>
                  </w:pPr>
                  <w:r>
                    <w:rPr>
                      <w:rFonts w:hint="eastAsia"/>
                      <w:color w:val="000000"/>
                      <w:szCs w:val="21"/>
                    </w:rPr>
                    <w:t>3月</w:t>
                  </w:r>
                </w:p>
              </w:tc>
              <w:tc>
                <w:tcPr>
                  <w:tcW w:w="1119" w:type="dxa"/>
                  <w:vAlign w:val="center"/>
                </w:tcPr>
                <w:p w14:paraId="7BA8B8A7">
                  <w:pPr>
                    <w:spacing w:line="0" w:lineRule="atLeast"/>
                    <w:jc w:val="center"/>
                    <w:rPr>
                      <w:rFonts w:hint="eastAsia"/>
                      <w:color w:val="000000"/>
                      <w:szCs w:val="21"/>
                    </w:rPr>
                  </w:pPr>
                  <w:r>
                    <w:rPr>
                      <w:rFonts w:hint="eastAsia"/>
                      <w:color w:val="000000"/>
                      <w:szCs w:val="21"/>
                    </w:rPr>
                    <w:t>8.35</w:t>
                  </w:r>
                </w:p>
              </w:tc>
              <w:tc>
                <w:tcPr>
                  <w:tcW w:w="1100" w:type="dxa"/>
                  <w:vAlign w:val="center"/>
                </w:tcPr>
                <w:p w14:paraId="6BE0552A">
                  <w:pPr>
                    <w:spacing w:line="0" w:lineRule="atLeast"/>
                    <w:jc w:val="center"/>
                    <w:rPr>
                      <w:rFonts w:hint="eastAsia"/>
                      <w:color w:val="000000"/>
                      <w:szCs w:val="21"/>
                    </w:rPr>
                  </w:pPr>
                  <w:r>
                    <w:rPr>
                      <w:rFonts w:hint="eastAsia"/>
                      <w:color w:val="000000"/>
                      <w:szCs w:val="21"/>
                    </w:rPr>
                    <w:t>8.00</w:t>
                  </w:r>
                </w:p>
              </w:tc>
              <w:tc>
                <w:tcPr>
                  <w:tcW w:w="1112" w:type="dxa"/>
                  <w:vAlign w:val="center"/>
                </w:tcPr>
                <w:p w14:paraId="011CCE2C">
                  <w:pPr>
                    <w:spacing w:line="0" w:lineRule="atLeast"/>
                    <w:jc w:val="center"/>
                    <w:rPr>
                      <w:rFonts w:hint="eastAsia"/>
                      <w:color w:val="000000"/>
                      <w:szCs w:val="21"/>
                    </w:rPr>
                  </w:pPr>
                  <w:r>
                    <w:rPr>
                      <w:rFonts w:hint="eastAsia"/>
                      <w:color w:val="000000"/>
                      <w:szCs w:val="21"/>
                    </w:rPr>
                    <w:t>7.77</w:t>
                  </w:r>
                </w:p>
              </w:tc>
              <w:tc>
                <w:tcPr>
                  <w:tcW w:w="1080" w:type="dxa"/>
                  <w:vAlign w:val="center"/>
                </w:tcPr>
                <w:p w14:paraId="2CC96254">
                  <w:pPr>
                    <w:spacing w:line="0" w:lineRule="atLeast"/>
                    <w:jc w:val="center"/>
                    <w:rPr>
                      <w:rFonts w:hint="eastAsia"/>
                      <w:color w:val="000000"/>
                      <w:szCs w:val="21"/>
                    </w:rPr>
                  </w:pPr>
                  <w:r>
                    <w:rPr>
                      <w:rFonts w:hint="eastAsia"/>
                      <w:color w:val="000000"/>
                      <w:szCs w:val="21"/>
                    </w:rPr>
                    <w:t>7.57</w:t>
                  </w:r>
                </w:p>
              </w:tc>
              <w:tc>
                <w:tcPr>
                  <w:tcW w:w="1080" w:type="dxa"/>
                  <w:vAlign w:val="center"/>
                </w:tcPr>
                <w:p w14:paraId="64D66894">
                  <w:pPr>
                    <w:spacing w:line="0" w:lineRule="atLeast"/>
                    <w:jc w:val="center"/>
                    <w:rPr>
                      <w:rFonts w:hint="eastAsia"/>
                      <w:color w:val="000000"/>
                      <w:szCs w:val="21"/>
                    </w:rPr>
                  </w:pPr>
                  <w:r>
                    <w:rPr>
                      <w:rFonts w:hint="eastAsia"/>
                      <w:color w:val="000000"/>
                      <w:szCs w:val="21"/>
                    </w:rPr>
                    <w:t>6.96</w:t>
                  </w:r>
                </w:p>
              </w:tc>
              <w:tc>
                <w:tcPr>
                  <w:tcW w:w="1080" w:type="dxa"/>
                  <w:vAlign w:val="center"/>
                </w:tcPr>
                <w:p w14:paraId="2A182FFB">
                  <w:pPr>
                    <w:spacing w:line="0" w:lineRule="atLeast"/>
                    <w:jc w:val="center"/>
                    <w:rPr>
                      <w:rFonts w:hint="eastAsia"/>
                      <w:color w:val="000000"/>
                      <w:szCs w:val="21"/>
                    </w:rPr>
                  </w:pPr>
                  <w:r>
                    <w:rPr>
                      <w:rFonts w:hint="eastAsia"/>
                      <w:color w:val="000000"/>
                      <w:szCs w:val="21"/>
                    </w:rPr>
                    <w:t>6.10</w:t>
                  </w:r>
                </w:p>
              </w:tc>
            </w:tr>
            <w:tr w14:paraId="2A0282C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2218" w:type="dxa"/>
                  <w:vAlign w:val="center"/>
                </w:tcPr>
                <w:p w14:paraId="027D64C3">
                  <w:pPr>
                    <w:spacing w:line="0" w:lineRule="atLeast"/>
                    <w:jc w:val="center"/>
                    <w:rPr>
                      <w:rFonts w:hint="eastAsia"/>
                      <w:color w:val="000000"/>
                      <w:szCs w:val="21"/>
                    </w:rPr>
                  </w:pPr>
                  <w:r>
                    <w:rPr>
                      <w:rFonts w:hint="eastAsia"/>
                      <w:color w:val="000000"/>
                      <w:szCs w:val="21"/>
                    </w:rPr>
                    <w:t>4月</w:t>
                  </w:r>
                </w:p>
              </w:tc>
              <w:tc>
                <w:tcPr>
                  <w:tcW w:w="1119" w:type="dxa"/>
                  <w:vAlign w:val="center"/>
                </w:tcPr>
                <w:p w14:paraId="545D3938">
                  <w:pPr>
                    <w:spacing w:line="0" w:lineRule="atLeast"/>
                    <w:jc w:val="center"/>
                    <w:rPr>
                      <w:rFonts w:hint="eastAsia"/>
                      <w:color w:val="000000"/>
                      <w:szCs w:val="21"/>
                    </w:rPr>
                  </w:pPr>
                  <w:r>
                    <w:rPr>
                      <w:rFonts w:hint="eastAsia"/>
                      <w:color w:val="000000"/>
                      <w:szCs w:val="21"/>
                    </w:rPr>
                    <w:t>8.03</w:t>
                  </w:r>
                </w:p>
              </w:tc>
              <w:tc>
                <w:tcPr>
                  <w:tcW w:w="1100" w:type="dxa"/>
                  <w:vAlign w:val="center"/>
                </w:tcPr>
                <w:p w14:paraId="3346EFD3">
                  <w:pPr>
                    <w:spacing w:line="0" w:lineRule="atLeast"/>
                    <w:jc w:val="center"/>
                    <w:rPr>
                      <w:rFonts w:hint="eastAsia"/>
                      <w:color w:val="000000"/>
                      <w:szCs w:val="21"/>
                    </w:rPr>
                  </w:pPr>
                  <w:r>
                    <w:rPr>
                      <w:rFonts w:hint="eastAsia"/>
                      <w:color w:val="000000"/>
                      <w:szCs w:val="21"/>
                    </w:rPr>
                    <w:t>7.70</w:t>
                  </w:r>
                </w:p>
              </w:tc>
              <w:tc>
                <w:tcPr>
                  <w:tcW w:w="1112" w:type="dxa"/>
                  <w:vAlign w:val="center"/>
                </w:tcPr>
                <w:p w14:paraId="3A782765">
                  <w:pPr>
                    <w:spacing w:line="0" w:lineRule="atLeast"/>
                    <w:jc w:val="center"/>
                    <w:rPr>
                      <w:rFonts w:hint="eastAsia"/>
                      <w:color w:val="000000"/>
                      <w:szCs w:val="21"/>
                    </w:rPr>
                  </w:pPr>
                  <w:r>
                    <w:rPr>
                      <w:rFonts w:hint="eastAsia"/>
                      <w:color w:val="000000"/>
                      <w:szCs w:val="21"/>
                    </w:rPr>
                    <w:t>7.58</w:t>
                  </w:r>
                </w:p>
              </w:tc>
              <w:tc>
                <w:tcPr>
                  <w:tcW w:w="1080" w:type="dxa"/>
                  <w:vAlign w:val="center"/>
                </w:tcPr>
                <w:p w14:paraId="121215BA">
                  <w:pPr>
                    <w:spacing w:line="0" w:lineRule="atLeast"/>
                    <w:jc w:val="center"/>
                    <w:rPr>
                      <w:rFonts w:hint="eastAsia"/>
                      <w:color w:val="000000"/>
                      <w:szCs w:val="21"/>
                    </w:rPr>
                  </w:pPr>
                  <w:r>
                    <w:rPr>
                      <w:rFonts w:hint="eastAsia"/>
                      <w:color w:val="000000"/>
                      <w:szCs w:val="21"/>
                    </w:rPr>
                    <w:t>7.40</w:t>
                  </w:r>
                </w:p>
              </w:tc>
              <w:tc>
                <w:tcPr>
                  <w:tcW w:w="1080" w:type="dxa"/>
                  <w:vAlign w:val="center"/>
                </w:tcPr>
                <w:p w14:paraId="54DDB7CD">
                  <w:pPr>
                    <w:spacing w:line="0" w:lineRule="atLeast"/>
                    <w:jc w:val="center"/>
                    <w:rPr>
                      <w:rFonts w:hint="eastAsia"/>
                      <w:color w:val="000000"/>
                      <w:szCs w:val="21"/>
                    </w:rPr>
                  </w:pPr>
                  <w:r>
                    <w:rPr>
                      <w:rFonts w:hint="eastAsia"/>
                      <w:color w:val="000000"/>
                      <w:szCs w:val="21"/>
                    </w:rPr>
                    <w:t>6.79</w:t>
                  </w:r>
                </w:p>
              </w:tc>
              <w:tc>
                <w:tcPr>
                  <w:tcW w:w="1080" w:type="dxa"/>
                  <w:vAlign w:val="center"/>
                </w:tcPr>
                <w:p w14:paraId="77B1F2F5">
                  <w:pPr>
                    <w:spacing w:line="0" w:lineRule="atLeast"/>
                    <w:jc w:val="center"/>
                    <w:rPr>
                      <w:rFonts w:hint="eastAsia"/>
                      <w:color w:val="000000"/>
                      <w:szCs w:val="21"/>
                    </w:rPr>
                  </w:pPr>
                  <w:r>
                    <w:rPr>
                      <w:rFonts w:hint="eastAsia"/>
                      <w:color w:val="000000"/>
                      <w:szCs w:val="21"/>
                    </w:rPr>
                    <w:t>5.97</w:t>
                  </w:r>
                </w:p>
              </w:tc>
            </w:tr>
            <w:tr w14:paraId="4B274F6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2218" w:type="dxa"/>
                  <w:vAlign w:val="center"/>
                </w:tcPr>
                <w:p w14:paraId="4DCA7613">
                  <w:pPr>
                    <w:spacing w:line="0" w:lineRule="atLeast"/>
                    <w:jc w:val="center"/>
                    <w:rPr>
                      <w:rFonts w:hint="eastAsia"/>
                      <w:color w:val="000000"/>
                      <w:szCs w:val="21"/>
                    </w:rPr>
                  </w:pPr>
                  <w:r>
                    <w:rPr>
                      <w:rFonts w:hint="eastAsia"/>
                      <w:color w:val="000000"/>
                      <w:szCs w:val="21"/>
                    </w:rPr>
                    <w:t>5月</w:t>
                  </w:r>
                </w:p>
              </w:tc>
              <w:tc>
                <w:tcPr>
                  <w:tcW w:w="1119" w:type="dxa"/>
                  <w:vAlign w:val="center"/>
                </w:tcPr>
                <w:p w14:paraId="76037A32">
                  <w:pPr>
                    <w:spacing w:line="0" w:lineRule="atLeast"/>
                    <w:jc w:val="center"/>
                    <w:rPr>
                      <w:rFonts w:hint="eastAsia"/>
                      <w:color w:val="000000"/>
                      <w:szCs w:val="21"/>
                    </w:rPr>
                  </w:pPr>
                  <w:r>
                    <w:rPr>
                      <w:rFonts w:hint="eastAsia"/>
                      <w:color w:val="000000"/>
                      <w:szCs w:val="21"/>
                    </w:rPr>
                    <w:t>9.23</w:t>
                  </w:r>
                </w:p>
              </w:tc>
              <w:tc>
                <w:tcPr>
                  <w:tcW w:w="1100" w:type="dxa"/>
                  <w:vAlign w:val="center"/>
                </w:tcPr>
                <w:p w14:paraId="076E940A">
                  <w:pPr>
                    <w:spacing w:line="0" w:lineRule="atLeast"/>
                    <w:jc w:val="center"/>
                    <w:rPr>
                      <w:rFonts w:hint="eastAsia"/>
                      <w:color w:val="000000"/>
                      <w:szCs w:val="21"/>
                    </w:rPr>
                  </w:pPr>
                  <w:r>
                    <w:rPr>
                      <w:rFonts w:hint="eastAsia"/>
                      <w:color w:val="000000"/>
                      <w:szCs w:val="21"/>
                    </w:rPr>
                    <w:t>8.84</w:t>
                  </w:r>
                </w:p>
              </w:tc>
              <w:tc>
                <w:tcPr>
                  <w:tcW w:w="1112" w:type="dxa"/>
                  <w:vAlign w:val="center"/>
                </w:tcPr>
                <w:p w14:paraId="149A1576">
                  <w:pPr>
                    <w:spacing w:line="0" w:lineRule="atLeast"/>
                    <w:jc w:val="center"/>
                    <w:rPr>
                      <w:rFonts w:hint="eastAsia"/>
                      <w:color w:val="000000"/>
                      <w:szCs w:val="21"/>
                    </w:rPr>
                  </w:pPr>
                  <w:r>
                    <w:rPr>
                      <w:rFonts w:hint="eastAsia"/>
                      <w:color w:val="000000"/>
                      <w:szCs w:val="21"/>
                    </w:rPr>
                    <w:t>8.60</w:t>
                  </w:r>
                </w:p>
              </w:tc>
              <w:tc>
                <w:tcPr>
                  <w:tcW w:w="1080" w:type="dxa"/>
                  <w:vAlign w:val="center"/>
                </w:tcPr>
                <w:p w14:paraId="66719F80">
                  <w:pPr>
                    <w:spacing w:line="0" w:lineRule="atLeast"/>
                    <w:jc w:val="center"/>
                    <w:rPr>
                      <w:rFonts w:hint="eastAsia"/>
                      <w:color w:val="000000"/>
                      <w:szCs w:val="21"/>
                    </w:rPr>
                  </w:pPr>
                  <w:r>
                    <w:rPr>
                      <w:rFonts w:hint="eastAsia"/>
                      <w:color w:val="000000"/>
                      <w:szCs w:val="21"/>
                    </w:rPr>
                    <w:t>8.47</w:t>
                  </w:r>
                </w:p>
              </w:tc>
              <w:tc>
                <w:tcPr>
                  <w:tcW w:w="1080" w:type="dxa"/>
                  <w:vAlign w:val="center"/>
                </w:tcPr>
                <w:p w14:paraId="168D021F">
                  <w:pPr>
                    <w:spacing w:line="0" w:lineRule="atLeast"/>
                    <w:jc w:val="center"/>
                    <w:rPr>
                      <w:rFonts w:hint="eastAsia"/>
                      <w:color w:val="000000"/>
                      <w:szCs w:val="21"/>
                    </w:rPr>
                  </w:pPr>
                  <w:r>
                    <w:rPr>
                      <w:rFonts w:hint="eastAsia"/>
                      <w:color w:val="000000"/>
                      <w:szCs w:val="21"/>
                    </w:rPr>
                    <w:t>7.86</w:t>
                  </w:r>
                </w:p>
              </w:tc>
              <w:tc>
                <w:tcPr>
                  <w:tcW w:w="1080" w:type="dxa"/>
                  <w:vAlign w:val="center"/>
                </w:tcPr>
                <w:p w14:paraId="5F2B8171">
                  <w:pPr>
                    <w:spacing w:line="0" w:lineRule="atLeast"/>
                    <w:jc w:val="center"/>
                    <w:rPr>
                      <w:rFonts w:hint="eastAsia"/>
                      <w:color w:val="000000"/>
                      <w:szCs w:val="21"/>
                    </w:rPr>
                  </w:pPr>
                  <w:r>
                    <w:rPr>
                      <w:rFonts w:hint="eastAsia"/>
                      <w:color w:val="000000"/>
                      <w:szCs w:val="21"/>
                    </w:rPr>
                    <w:t>7.10</w:t>
                  </w:r>
                </w:p>
              </w:tc>
            </w:tr>
            <w:tr w14:paraId="3BA94B2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2218" w:type="dxa"/>
                  <w:vAlign w:val="center"/>
                </w:tcPr>
                <w:p w14:paraId="302A6D73">
                  <w:pPr>
                    <w:spacing w:line="0" w:lineRule="atLeast"/>
                    <w:jc w:val="center"/>
                    <w:rPr>
                      <w:rFonts w:hint="eastAsia"/>
                      <w:color w:val="000000"/>
                      <w:szCs w:val="21"/>
                    </w:rPr>
                  </w:pPr>
                  <w:r>
                    <w:rPr>
                      <w:rFonts w:hint="eastAsia"/>
                      <w:color w:val="000000"/>
                      <w:szCs w:val="21"/>
                    </w:rPr>
                    <w:t>6月</w:t>
                  </w:r>
                </w:p>
              </w:tc>
              <w:tc>
                <w:tcPr>
                  <w:tcW w:w="1119" w:type="dxa"/>
                  <w:vAlign w:val="center"/>
                </w:tcPr>
                <w:p w14:paraId="40AAC6E8">
                  <w:pPr>
                    <w:spacing w:line="0" w:lineRule="atLeast"/>
                    <w:jc w:val="center"/>
                    <w:rPr>
                      <w:rFonts w:hint="eastAsia"/>
                      <w:color w:val="000000"/>
                      <w:szCs w:val="21"/>
                    </w:rPr>
                  </w:pPr>
                  <w:r>
                    <w:rPr>
                      <w:rFonts w:hint="eastAsia"/>
                      <w:color w:val="000000"/>
                      <w:szCs w:val="21"/>
                    </w:rPr>
                    <w:t>6.68</w:t>
                  </w:r>
                </w:p>
              </w:tc>
              <w:tc>
                <w:tcPr>
                  <w:tcW w:w="1100" w:type="dxa"/>
                  <w:vAlign w:val="center"/>
                </w:tcPr>
                <w:p w14:paraId="7392AECD">
                  <w:pPr>
                    <w:spacing w:line="0" w:lineRule="atLeast"/>
                    <w:jc w:val="center"/>
                    <w:rPr>
                      <w:rFonts w:hint="eastAsia"/>
                      <w:color w:val="000000"/>
                      <w:szCs w:val="21"/>
                    </w:rPr>
                  </w:pPr>
                  <w:r>
                    <w:rPr>
                      <w:rFonts w:hint="eastAsia"/>
                      <w:color w:val="000000"/>
                      <w:szCs w:val="21"/>
                    </w:rPr>
                    <w:t>6.40</w:t>
                  </w:r>
                </w:p>
              </w:tc>
              <w:tc>
                <w:tcPr>
                  <w:tcW w:w="1112" w:type="dxa"/>
                  <w:vAlign w:val="center"/>
                </w:tcPr>
                <w:p w14:paraId="38D3CABF">
                  <w:pPr>
                    <w:spacing w:line="0" w:lineRule="atLeast"/>
                    <w:jc w:val="center"/>
                    <w:rPr>
                      <w:rFonts w:hint="eastAsia"/>
                      <w:color w:val="000000"/>
                      <w:szCs w:val="21"/>
                    </w:rPr>
                  </w:pPr>
                  <w:r>
                    <w:rPr>
                      <w:rFonts w:hint="eastAsia"/>
                      <w:color w:val="000000"/>
                      <w:szCs w:val="21"/>
                    </w:rPr>
                    <w:t>6.05</w:t>
                  </w:r>
                </w:p>
              </w:tc>
              <w:tc>
                <w:tcPr>
                  <w:tcW w:w="1080" w:type="dxa"/>
                  <w:vAlign w:val="center"/>
                </w:tcPr>
                <w:p w14:paraId="0940F4FA">
                  <w:pPr>
                    <w:spacing w:line="0" w:lineRule="atLeast"/>
                    <w:jc w:val="center"/>
                    <w:rPr>
                      <w:rFonts w:hint="eastAsia"/>
                      <w:color w:val="000000"/>
                      <w:szCs w:val="21"/>
                    </w:rPr>
                  </w:pPr>
                  <w:r>
                    <w:rPr>
                      <w:rFonts w:hint="eastAsia"/>
                      <w:color w:val="000000"/>
                      <w:szCs w:val="21"/>
                    </w:rPr>
                    <w:t>6.05</w:t>
                  </w:r>
                </w:p>
              </w:tc>
              <w:tc>
                <w:tcPr>
                  <w:tcW w:w="1080" w:type="dxa"/>
                  <w:vAlign w:val="center"/>
                </w:tcPr>
                <w:p w14:paraId="476194F9">
                  <w:pPr>
                    <w:spacing w:line="0" w:lineRule="atLeast"/>
                    <w:jc w:val="center"/>
                    <w:rPr>
                      <w:rFonts w:hint="eastAsia"/>
                      <w:color w:val="000000"/>
                      <w:szCs w:val="21"/>
                    </w:rPr>
                  </w:pPr>
                  <w:r>
                    <w:rPr>
                      <w:rFonts w:hint="eastAsia"/>
                      <w:color w:val="000000"/>
                      <w:szCs w:val="21"/>
                    </w:rPr>
                    <w:t>5.48</w:t>
                  </w:r>
                </w:p>
              </w:tc>
              <w:tc>
                <w:tcPr>
                  <w:tcW w:w="1080" w:type="dxa"/>
                  <w:vAlign w:val="center"/>
                </w:tcPr>
                <w:p w14:paraId="2116014A">
                  <w:pPr>
                    <w:spacing w:line="0" w:lineRule="atLeast"/>
                    <w:jc w:val="center"/>
                    <w:rPr>
                      <w:rFonts w:hint="eastAsia"/>
                      <w:color w:val="000000"/>
                      <w:szCs w:val="21"/>
                    </w:rPr>
                  </w:pPr>
                  <w:r>
                    <w:rPr>
                      <w:rFonts w:hint="eastAsia"/>
                      <w:color w:val="000000"/>
                      <w:szCs w:val="21"/>
                    </w:rPr>
                    <w:t>4.92</w:t>
                  </w:r>
                </w:p>
              </w:tc>
            </w:tr>
            <w:tr w14:paraId="13EA8F4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2218" w:type="dxa"/>
                  <w:vAlign w:val="center"/>
                </w:tcPr>
                <w:p w14:paraId="296D6514">
                  <w:pPr>
                    <w:spacing w:line="0" w:lineRule="atLeast"/>
                    <w:jc w:val="center"/>
                    <w:rPr>
                      <w:rFonts w:hint="eastAsia"/>
                      <w:color w:val="000000"/>
                      <w:szCs w:val="21"/>
                    </w:rPr>
                  </w:pPr>
                  <w:r>
                    <w:rPr>
                      <w:rFonts w:hint="eastAsia"/>
                      <w:color w:val="000000"/>
                      <w:szCs w:val="21"/>
                    </w:rPr>
                    <w:t>7月</w:t>
                  </w:r>
                </w:p>
              </w:tc>
              <w:tc>
                <w:tcPr>
                  <w:tcW w:w="1119" w:type="dxa"/>
                  <w:vAlign w:val="center"/>
                </w:tcPr>
                <w:p w14:paraId="2CFF1C4C">
                  <w:pPr>
                    <w:spacing w:line="0" w:lineRule="atLeast"/>
                    <w:jc w:val="center"/>
                    <w:rPr>
                      <w:rFonts w:hint="eastAsia"/>
                      <w:color w:val="000000"/>
                      <w:szCs w:val="21"/>
                    </w:rPr>
                  </w:pPr>
                  <w:r>
                    <w:rPr>
                      <w:rFonts w:hint="eastAsia"/>
                      <w:color w:val="000000"/>
                      <w:szCs w:val="21"/>
                    </w:rPr>
                    <w:t>7.25</w:t>
                  </w:r>
                </w:p>
              </w:tc>
              <w:tc>
                <w:tcPr>
                  <w:tcW w:w="1100" w:type="dxa"/>
                  <w:vAlign w:val="center"/>
                </w:tcPr>
                <w:p w14:paraId="75733D1F">
                  <w:pPr>
                    <w:spacing w:line="0" w:lineRule="atLeast"/>
                    <w:jc w:val="center"/>
                    <w:rPr>
                      <w:rFonts w:hint="eastAsia"/>
                      <w:color w:val="000000"/>
                      <w:szCs w:val="21"/>
                    </w:rPr>
                  </w:pPr>
                  <w:r>
                    <w:rPr>
                      <w:rFonts w:hint="eastAsia"/>
                      <w:color w:val="000000"/>
                      <w:szCs w:val="21"/>
                    </w:rPr>
                    <w:t>6.94</w:t>
                  </w:r>
                </w:p>
              </w:tc>
              <w:tc>
                <w:tcPr>
                  <w:tcW w:w="1112" w:type="dxa"/>
                  <w:vAlign w:val="center"/>
                </w:tcPr>
                <w:p w14:paraId="7AD0AC01">
                  <w:pPr>
                    <w:spacing w:line="0" w:lineRule="atLeast"/>
                    <w:jc w:val="center"/>
                    <w:rPr>
                      <w:rFonts w:hint="eastAsia"/>
                      <w:color w:val="000000"/>
                      <w:szCs w:val="21"/>
                    </w:rPr>
                  </w:pPr>
                  <w:r>
                    <w:rPr>
                      <w:rFonts w:hint="eastAsia"/>
                      <w:color w:val="000000"/>
                      <w:szCs w:val="21"/>
                    </w:rPr>
                    <w:t>6.40</w:t>
                  </w:r>
                </w:p>
              </w:tc>
              <w:tc>
                <w:tcPr>
                  <w:tcW w:w="1080" w:type="dxa"/>
                  <w:vAlign w:val="center"/>
                </w:tcPr>
                <w:p w14:paraId="1B5B9CBF">
                  <w:pPr>
                    <w:spacing w:line="0" w:lineRule="atLeast"/>
                    <w:jc w:val="center"/>
                    <w:rPr>
                      <w:rFonts w:hint="eastAsia"/>
                      <w:color w:val="000000"/>
                      <w:szCs w:val="21"/>
                    </w:rPr>
                  </w:pPr>
                  <w:r>
                    <w:rPr>
                      <w:rFonts w:hint="eastAsia"/>
                      <w:color w:val="000000"/>
                      <w:szCs w:val="21"/>
                    </w:rPr>
                    <w:t>6.61</w:t>
                  </w:r>
                </w:p>
              </w:tc>
              <w:tc>
                <w:tcPr>
                  <w:tcW w:w="1080" w:type="dxa"/>
                  <w:vAlign w:val="center"/>
                </w:tcPr>
                <w:p w14:paraId="247826B2">
                  <w:pPr>
                    <w:spacing w:line="0" w:lineRule="atLeast"/>
                    <w:jc w:val="center"/>
                    <w:rPr>
                      <w:rFonts w:hint="eastAsia"/>
                      <w:color w:val="000000"/>
                      <w:szCs w:val="21"/>
                    </w:rPr>
                  </w:pPr>
                  <w:r>
                    <w:rPr>
                      <w:rFonts w:hint="eastAsia"/>
                      <w:color w:val="000000"/>
                      <w:szCs w:val="21"/>
                    </w:rPr>
                    <w:t>6.00</w:t>
                  </w:r>
                </w:p>
              </w:tc>
              <w:tc>
                <w:tcPr>
                  <w:tcW w:w="1080" w:type="dxa"/>
                  <w:vAlign w:val="center"/>
                </w:tcPr>
                <w:p w14:paraId="4539DFB3">
                  <w:pPr>
                    <w:spacing w:line="0" w:lineRule="atLeast"/>
                    <w:jc w:val="center"/>
                    <w:rPr>
                      <w:rFonts w:hint="eastAsia"/>
                      <w:color w:val="000000"/>
                      <w:szCs w:val="21"/>
                    </w:rPr>
                  </w:pPr>
                  <w:r>
                    <w:rPr>
                      <w:rFonts w:hint="eastAsia"/>
                      <w:color w:val="000000"/>
                      <w:szCs w:val="21"/>
                    </w:rPr>
                    <w:t>5.32</w:t>
                  </w:r>
                </w:p>
              </w:tc>
            </w:tr>
            <w:tr w14:paraId="1081871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2218" w:type="dxa"/>
                  <w:vAlign w:val="center"/>
                </w:tcPr>
                <w:p w14:paraId="7D499AD8">
                  <w:pPr>
                    <w:spacing w:line="0" w:lineRule="atLeast"/>
                    <w:jc w:val="center"/>
                    <w:rPr>
                      <w:rFonts w:hint="eastAsia"/>
                      <w:color w:val="000000"/>
                      <w:szCs w:val="21"/>
                    </w:rPr>
                  </w:pPr>
                  <w:r>
                    <w:rPr>
                      <w:rFonts w:hint="eastAsia"/>
                      <w:color w:val="000000"/>
                      <w:szCs w:val="21"/>
                    </w:rPr>
                    <w:t>8月</w:t>
                  </w:r>
                </w:p>
              </w:tc>
              <w:tc>
                <w:tcPr>
                  <w:tcW w:w="1119" w:type="dxa"/>
                  <w:vAlign w:val="center"/>
                </w:tcPr>
                <w:p w14:paraId="7391975B">
                  <w:pPr>
                    <w:spacing w:line="0" w:lineRule="atLeast"/>
                    <w:jc w:val="center"/>
                    <w:rPr>
                      <w:rFonts w:hint="eastAsia"/>
                      <w:color w:val="000000"/>
                      <w:szCs w:val="21"/>
                    </w:rPr>
                  </w:pPr>
                  <w:r>
                    <w:rPr>
                      <w:rFonts w:hint="eastAsia"/>
                      <w:color w:val="000000"/>
                      <w:szCs w:val="21"/>
                    </w:rPr>
                    <w:t>7.55</w:t>
                  </w:r>
                </w:p>
              </w:tc>
              <w:tc>
                <w:tcPr>
                  <w:tcW w:w="1100" w:type="dxa"/>
                  <w:vAlign w:val="center"/>
                </w:tcPr>
                <w:p w14:paraId="67C581E0">
                  <w:pPr>
                    <w:spacing w:line="0" w:lineRule="atLeast"/>
                    <w:jc w:val="center"/>
                    <w:rPr>
                      <w:rFonts w:hint="eastAsia"/>
                      <w:color w:val="000000"/>
                      <w:szCs w:val="21"/>
                    </w:rPr>
                  </w:pPr>
                  <w:r>
                    <w:rPr>
                      <w:rFonts w:hint="eastAsia"/>
                      <w:color w:val="000000"/>
                      <w:szCs w:val="21"/>
                    </w:rPr>
                    <w:t>7.23</w:t>
                  </w:r>
                </w:p>
              </w:tc>
              <w:tc>
                <w:tcPr>
                  <w:tcW w:w="1112" w:type="dxa"/>
                  <w:vAlign w:val="center"/>
                </w:tcPr>
                <w:p w14:paraId="7A9F8361">
                  <w:pPr>
                    <w:spacing w:line="0" w:lineRule="atLeast"/>
                    <w:jc w:val="center"/>
                    <w:rPr>
                      <w:rFonts w:hint="eastAsia"/>
                      <w:color w:val="000000"/>
                      <w:szCs w:val="21"/>
                    </w:rPr>
                  </w:pPr>
                  <w:r>
                    <w:rPr>
                      <w:rFonts w:hint="eastAsia"/>
                      <w:color w:val="000000"/>
                      <w:szCs w:val="21"/>
                    </w:rPr>
                    <w:t>6.71</w:t>
                  </w:r>
                </w:p>
              </w:tc>
              <w:tc>
                <w:tcPr>
                  <w:tcW w:w="1080" w:type="dxa"/>
                  <w:vAlign w:val="center"/>
                </w:tcPr>
                <w:p w14:paraId="7D4906EF">
                  <w:pPr>
                    <w:spacing w:line="0" w:lineRule="atLeast"/>
                    <w:jc w:val="center"/>
                    <w:rPr>
                      <w:rFonts w:hint="eastAsia"/>
                      <w:color w:val="000000"/>
                      <w:szCs w:val="21"/>
                    </w:rPr>
                  </w:pPr>
                  <w:r>
                    <w:rPr>
                      <w:rFonts w:hint="eastAsia"/>
                      <w:color w:val="000000"/>
                      <w:szCs w:val="21"/>
                    </w:rPr>
                    <w:t>6.80</w:t>
                  </w:r>
                </w:p>
              </w:tc>
              <w:tc>
                <w:tcPr>
                  <w:tcW w:w="1080" w:type="dxa"/>
                  <w:vAlign w:val="center"/>
                </w:tcPr>
                <w:p w14:paraId="76D76CD1">
                  <w:pPr>
                    <w:spacing w:line="0" w:lineRule="atLeast"/>
                    <w:jc w:val="center"/>
                    <w:rPr>
                      <w:rFonts w:hint="eastAsia"/>
                      <w:color w:val="000000"/>
                      <w:szCs w:val="21"/>
                    </w:rPr>
                  </w:pPr>
                  <w:r>
                    <w:rPr>
                      <w:rFonts w:hint="eastAsia"/>
                      <w:color w:val="000000"/>
                      <w:szCs w:val="21"/>
                    </w:rPr>
                    <w:t>6.26</w:t>
                  </w:r>
                </w:p>
              </w:tc>
              <w:tc>
                <w:tcPr>
                  <w:tcW w:w="1080" w:type="dxa"/>
                  <w:vAlign w:val="center"/>
                </w:tcPr>
                <w:p w14:paraId="4FA6585C">
                  <w:pPr>
                    <w:spacing w:line="0" w:lineRule="atLeast"/>
                    <w:jc w:val="center"/>
                    <w:rPr>
                      <w:rFonts w:hint="eastAsia"/>
                      <w:color w:val="000000"/>
                      <w:szCs w:val="21"/>
                    </w:rPr>
                  </w:pPr>
                  <w:r>
                    <w:rPr>
                      <w:rFonts w:hint="eastAsia"/>
                      <w:color w:val="000000"/>
                      <w:szCs w:val="21"/>
                    </w:rPr>
                    <w:t>5.48</w:t>
                  </w:r>
                </w:p>
              </w:tc>
            </w:tr>
            <w:tr w14:paraId="0EAE2CB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2218" w:type="dxa"/>
                  <w:vAlign w:val="center"/>
                </w:tcPr>
                <w:p w14:paraId="1AA9F551">
                  <w:pPr>
                    <w:spacing w:line="0" w:lineRule="atLeast"/>
                    <w:jc w:val="center"/>
                    <w:rPr>
                      <w:rFonts w:hint="eastAsia"/>
                      <w:color w:val="000000"/>
                      <w:szCs w:val="21"/>
                    </w:rPr>
                  </w:pPr>
                  <w:r>
                    <w:rPr>
                      <w:rFonts w:hint="eastAsia"/>
                      <w:color w:val="000000"/>
                      <w:szCs w:val="21"/>
                    </w:rPr>
                    <w:t>9月</w:t>
                  </w:r>
                </w:p>
              </w:tc>
              <w:tc>
                <w:tcPr>
                  <w:tcW w:w="1119" w:type="dxa"/>
                  <w:vAlign w:val="center"/>
                </w:tcPr>
                <w:p w14:paraId="04DDF268">
                  <w:pPr>
                    <w:spacing w:line="0" w:lineRule="atLeast"/>
                    <w:jc w:val="center"/>
                    <w:rPr>
                      <w:rFonts w:hint="eastAsia"/>
                      <w:color w:val="000000"/>
                      <w:szCs w:val="21"/>
                    </w:rPr>
                  </w:pPr>
                  <w:r>
                    <w:rPr>
                      <w:rFonts w:hint="eastAsia"/>
                      <w:color w:val="000000"/>
                      <w:szCs w:val="21"/>
                    </w:rPr>
                    <w:t>7.36</w:t>
                  </w:r>
                </w:p>
              </w:tc>
              <w:tc>
                <w:tcPr>
                  <w:tcW w:w="1100" w:type="dxa"/>
                  <w:vAlign w:val="center"/>
                </w:tcPr>
                <w:p w14:paraId="08002A84">
                  <w:pPr>
                    <w:spacing w:line="0" w:lineRule="atLeast"/>
                    <w:jc w:val="center"/>
                    <w:rPr>
                      <w:rFonts w:hint="eastAsia"/>
                      <w:color w:val="000000"/>
                      <w:szCs w:val="21"/>
                    </w:rPr>
                  </w:pPr>
                  <w:r>
                    <w:rPr>
                      <w:rFonts w:hint="eastAsia"/>
                      <w:color w:val="000000"/>
                      <w:szCs w:val="21"/>
                    </w:rPr>
                    <w:t>7.05</w:t>
                  </w:r>
                </w:p>
              </w:tc>
              <w:tc>
                <w:tcPr>
                  <w:tcW w:w="1112" w:type="dxa"/>
                  <w:vAlign w:val="center"/>
                </w:tcPr>
                <w:p w14:paraId="4BB81D4E">
                  <w:pPr>
                    <w:spacing w:line="0" w:lineRule="atLeast"/>
                    <w:jc w:val="center"/>
                    <w:rPr>
                      <w:rFonts w:hint="eastAsia"/>
                      <w:color w:val="000000"/>
                      <w:szCs w:val="21"/>
                    </w:rPr>
                  </w:pPr>
                  <w:r>
                    <w:rPr>
                      <w:rFonts w:hint="eastAsia"/>
                      <w:color w:val="000000"/>
                      <w:szCs w:val="21"/>
                    </w:rPr>
                    <w:t>6.60</w:t>
                  </w:r>
                </w:p>
              </w:tc>
              <w:tc>
                <w:tcPr>
                  <w:tcW w:w="1080" w:type="dxa"/>
                  <w:vAlign w:val="center"/>
                </w:tcPr>
                <w:p w14:paraId="4593623A">
                  <w:pPr>
                    <w:spacing w:line="0" w:lineRule="atLeast"/>
                    <w:jc w:val="center"/>
                    <w:rPr>
                      <w:rFonts w:hint="eastAsia"/>
                      <w:color w:val="000000"/>
                      <w:szCs w:val="21"/>
                    </w:rPr>
                  </w:pPr>
                  <w:r>
                    <w:rPr>
                      <w:rFonts w:hint="eastAsia"/>
                      <w:color w:val="000000"/>
                      <w:szCs w:val="21"/>
                    </w:rPr>
                    <w:t>6.65</w:t>
                  </w:r>
                </w:p>
              </w:tc>
              <w:tc>
                <w:tcPr>
                  <w:tcW w:w="1080" w:type="dxa"/>
                  <w:vAlign w:val="center"/>
                </w:tcPr>
                <w:p w14:paraId="6F783DEC">
                  <w:pPr>
                    <w:spacing w:line="0" w:lineRule="atLeast"/>
                    <w:jc w:val="center"/>
                    <w:rPr>
                      <w:rFonts w:hint="eastAsia"/>
                      <w:color w:val="000000"/>
                      <w:szCs w:val="21"/>
                    </w:rPr>
                  </w:pPr>
                  <w:r>
                    <w:rPr>
                      <w:rFonts w:hint="eastAsia"/>
                      <w:color w:val="000000"/>
                      <w:szCs w:val="21"/>
                    </w:rPr>
                    <w:t>5.98</w:t>
                  </w:r>
                </w:p>
              </w:tc>
              <w:tc>
                <w:tcPr>
                  <w:tcW w:w="1080" w:type="dxa"/>
                  <w:vAlign w:val="center"/>
                </w:tcPr>
                <w:p w14:paraId="40332C08">
                  <w:pPr>
                    <w:spacing w:line="0" w:lineRule="atLeast"/>
                    <w:jc w:val="center"/>
                    <w:rPr>
                      <w:rFonts w:hint="eastAsia"/>
                      <w:color w:val="000000"/>
                      <w:szCs w:val="21"/>
                    </w:rPr>
                  </w:pPr>
                  <w:r>
                    <w:rPr>
                      <w:rFonts w:hint="eastAsia"/>
                      <w:color w:val="000000"/>
                      <w:szCs w:val="21"/>
                    </w:rPr>
                    <w:t>5.18</w:t>
                  </w:r>
                </w:p>
              </w:tc>
            </w:tr>
            <w:tr w14:paraId="204D135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2218" w:type="dxa"/>
                  <w:vAlign w:val="center"/>
                </w:tcPr>
                <w:p w14:paraId="52C79C99">
                  <w:pPr>
                    <w:spacing w:line="0" w:lineRule="atLeast"/>
                    <w:jc w:val="center"/>
                    <w:rPr>
                      <w:rFonts w:hint="eastAsia"/>
                      <w:color w:val="000000"/>
                      <w:szCs w:val="21"/>
                    </w:rPr>
                  </w:pPr>
                  <w:r>
                    <w:rPr>
                      <w:rFonts w:hint="eastAsia"/>
                      <w:color w:val="000000"/>
                      <w:szCs w:val="21"/>
                    </w:rPr>
                    <w:t>10月</w:t>
                  </w:r>
                </w:p>
              </w:tc>
              <w:tc>
                <w:tcPr>
                  <w:tcW w:w="1119" w:type="dxa"/>
                  <w:vAlign w:val="center"/>
                </w:tcPr>
                <w:p w14:paraId="3BC33937">
                  <w:pPr>
                    <w:spacing w:line="0" w:lineRule="atLeast"/>
                    <w:jc w:val="center"/>
                    <w:rPr>
                      <w:rFonts w:hint="eastAsia"/>
                      <w:color w:val="000000"/>
                      <w:szCs w:val="21"/>
                    </w:rPr>
                  </w:pPr>
                  <w:r>
                    <w:rPr>
                      <w:rFonts w:hint="eastAsia"/>
                      <w:color w:val="000000"/>
                      <w:szCs w:val="21"/>
                    </w:rPr>
                    <w:t>7.65</w:t>
                  </w:r>
                </w:p>
              </w:tc>
              <w:tc>
                <w:tcPr>
                  <w:tcW w:w="1100" w:type="dxa"/>
                  <w:vAlign w:val="center"/>
                </w:tcPr>
                <w:p w14:paraId="1A241349">
                  <w:pPr>
                    <w:spacing w:line="0" w:lineRule="atLeast"/>
                    <w:jc w:val="center"/>
                    <w:rPr>
                      <w:rFonts w:hint="eastAsia"/>
                      <w:color w:val="000000"/>
                      <w:szCs w:val="21"/>
                    </w:rPr>
                  </w:pPr>
                  <w:r>
                    <w:rPr>
                      <w:rFonts w:hint="eastAsia"/>
                      <w:color w:val="000000"/>
                      <w:szCs w:val="21"/>
                    </w:rPr>
                    <w:t>7.32</w:t>
                  </w:r>
                </w:p>
              </w:tc>
              <w:tc>
                <w:tcPr>
                  <w:tcW w:w="1112" w:type="dxa"/>
                  <w:vAlign w:val="center"/>
                </w:tcPr>
                <w:p w14:paraId="70263E7B">
                  <w:pPr>
                    <w:spacing w:line="0" w:lineRule="atLeast"/>
                    <w:jc w:val="center"/>
                    <w:rPr>
                      <w:rFonts w:hint="eastAsia"/>
                      <w:color w:val="000000"/>
                      <w:szCs w:val="21"/>
                    </w:rPr>
                  </w:pPr>
                  <w:r>
                    <w:rPr>
                      <w:rFonts w:hint="eastAsia"/>
                      <w:color w:val="000000"/>
                      <w:szCs w:val="21"/>
                    </w:rPr>
                    <w:t>6.89</w:t>
                  </w:r>
                </w:p>
              </w:tc>
              <w:tc>
                <w:tcPr>
                  <w:tcW w:w="1080" w:type="dxa"/>
                  <w:vAlign w:val="center"/>
                </w:tcPr>
                <w:p w14:paraId="404DA44D">
                  <w:pPr>
                    <w:spacing w:line="0" w:lineRule="atLeast"/>
                    <w:jc w:val="center"/>
                    <w:rPr>
                      <w:rFonts w:hint="eastAsia"/>
                      <w:color w:val="000000"/>
                      <w:szCs w:val="21"/>
                    </w:rPr>
                  </w:pPr>
                  <w:r>
                    <w:rPr>
                      <w:rFonts w:hint="eastAsia"/>
                      <w:color w:val="000000"/>
                      <w:szCs w:val="21"/>
                    </w:rPr>
                    <w:t>6.94</w:t>
                  </w:r>
                </w:p>
              </w:tc>
              <w:tc>
                <w:tcPr>
                  <w:tcW w:w="1080" w:type="dxa"/>
                  <w:vAlign w:val="center"/>
                </w:tcPr>
                <w:p w14:paraId="4ACAD089">
                  <w:pPr>
                    <w:spacing w:line="0" w:lineRule="atLeast"/>
                    <w:jc w:val="center"/>
                    <w:rPr>
                      <w:rFonts w:hint="eastAsia"/>
                      <w:color w:val="000000"/>
                      <w:szCs w:val="21"/>
                    </w:rPr>
                  </w:pPr>
                  <w:r>
                    <w:rPr>
                      <w:rFonts w:hint="eastAsia"/>
                      <w:color w:val="000000"/>
                      <w:szCs w:val="21"/>
                    </w:rPr>
                    <w:t>6.23</w:t>
                  </w:r>
                </w:p>
              </w:tc>
              <w:tc>
                <w:tcPr>
                  <w:tcW w:w="1080" w:type="dxa"/>
                  <w:vAlign w:val="center"/>
                </w:tcPr>
                <w:p w14:paraId="1B35E292">
                  <w:pPr>
                    <w:spacing w:line="0" w:lineRule="atLeast"/>
                    <w:jc w:val="center"/>
                    <w:rPr>
                      <w:rFonts w:hint="eastAsia"/>
                      <w:color w:val="000000"/>
                      <w:szCs w:val="21"/>
                    </w:rPr>
                  </w:pPr>
                  <w:r>
                    <w:rPr>
                      <w:rFonts w:hint="eastAsia"/>
                      <w:color w:val="000000"/>
                      <w:szCs w:val="21"/>
                    </w:rPr>
                    <w:t>5.23</w:t>
                  </w:r>
                </w:p>
              </w:tc>
            </w:tr>
            <w:tr w14:paraId="56066B8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2218" w:type="dxa"/>
                  <w:vAlign w:val="center"/>
                </w:tcPr>
                <w:p w14:paraId="63D9A187">
                  <w:pPr>
                    <w:spacing w:line="0" w:lineRule="atLeast"/>
                    <w:jc w:val="center"/>
                    <w:rPr>
                      <w:rFonts w:hint="eastAsia"/>
                      <w:color w:val="000000"/>
                      <w:szCs w:val="21"/>
                    </w:rPr>
                  </w:pPr>
                  <w:r>
                    <w:rPr>
                      <w:rFonts w:hint="eastAsia"/>
                      <w:color w:val="000000"/>
                      <w:szCs w:val="21"/>
                    </w:rPr>
                    <w:t>11月</w:t>
                  </w:r>
                </w:p>
              </w:tc>
              <w:tc>
                <w:tcPr>
                  <w:tcW w:w="1119" w:type="dxa"/>
                  <w:vAlign w:val="center"/>
                </w:tcPr>
                <w:p w14:paraId="55785425">
                  <w:pPr>
                    <w:spacing w:line="0" w:lineRule="atLeast"/>
                    <w:jc w:val="center"/>
                    <w:rPr>
                      <w:rFonts w:hint="eastAsia"/>
                      <w:color w:val="000000"/>
                      <w:szCs w:val="21"/>
                    </w:rPr>
                  </w:pPr>
                  <w:r>
                    <w:rPr>
                      <w:rFonts w:hint="eastAsia"/>
                      <w:color w:val="000000"/>
                      <w:szCs w:val="21"/>
                    </w:rPr>
                    <w:t>8.09</w:t>
                  </w:r>
                </w:p>
              </w:tc>
              <w:tc>
                <w:tcPr>
                  <w:tcW w:w="1100" w:type="dxa"/>
                  <w:vAlign w:val="center"/>
                </w:tcPr>
                <w:p w14:paraId="7F18869A">
                  <w:pPr>
                    <w:spacing w:line="0" w:lineRule="atLeast"/>
                    <w:jc w:val="center"/>
                    <w:rPr>
                      <w:rFonts w:hint="eastAsia"/>
                      <w:color w:val="000000"/>
                      <w:szCs w:val="21"/>
                    </w:rPr>
                  </w:pPr>
                  <w:r>
                    <w:rPr>
                      <w:rFonts w:hint="eastAsia"/>
                      <w:color w:val="000000"/>
                      <w:szCs w:val="21"/>
                    </w:rPr>
                    <w:t>7.75</w:t>
                  </w:r>
                </w:p>
              </w:tc>
              <w:tc>
                <w:tcPr>
                  <w:tcW w:w="1112" w:type="dxa"/>
                  <w:vAlign w:val="center"/>
                </w:tcPr>
                <w:p w14:paraId="6F792541">
                  <w:pPr>
                    <w:spacing w:line="0" w:lineRule="atLeast"/>
                    <w:jc w:val="center"/>
                    <w:rPr>
                      <w:rFonts w:hint="eastAsia"/>
                      <w:color w:val="000000"/>
                      <w:szCs w:val="21"/>
                    </w:rPr>
                  </w:pPr>
                  <w:r>
                    <w:rPr>
                      <w:rFonts w:hint="eastAsia"/>
                      <w:color w:val="000000"/>
                      <w:szCs w:val="21"/>
                    </w:rPr>
                    <w:t>7.35</w:t>
                  </w:r>
                </w:p>
              </w:tc>
              <w:tc>
                <w:tcPr>
                  <w:tcW w:w="1080" w:type="dxa"/>
                  <w:vAlign w:val="center"/>
                </w:tcPr>
                <w:p w14:paraId="7ABD6917">
                  <w:pPr>
                    <w:spacing w:line="0" w:lineRule="atLeast"/>
                    <w:jc w:val="center"/>
                    <w:rPr>
                      <w:rFonts w:hint="eastAsia"/>
                      <w:color w:val="000000"/>
                      <w:szCs w:val="21"/>
                    </w:rPr>
                  </w:pPr>
                  <w:r>
                    <w:rPr>
                      <w:rFonts w:hint="eastAsia"/>
                      <w:color w:val="000000"/>
                      <w:szCs w:val="21"/>
                    </w:rPr>
                    <w:t>7.24</w:t>
                  </w:r>
                </w:p>
              </w:tc>
              <w:tc>
                <w:tcPr>
                  <w:tcW w:w="1080" w:type="dxa"/>
                  <w:vAlign w:val="center"/>
                </w:tcPr>
                <w:p w14:paraId="2CA5268C">
                  <w:pPr>
                    <w:spacing w:line="0" w:lineRule="atLeast"/>
                    <w:jc w:val="center"/>
                    <w:rPr>
                      <w:rFonts w:hint="eastAsia"/>
                      <w:color w:val="000000"/>
                      <w:szCs w:val="21"/>
                    </w:rPr>
                  </w:pPr>
                  <w:r>
                    <w:rPr>
                      <w:rFonts w:hint="eastAsia"/>
                      <w:color w:val="000000"/>
                      <w:szCs w:val="21"/>
                    </w:rPr>
                    <w:t>6.43</w:t>
                  </w:r>
                </w:p>
              </w:tc>
              <w:tc>
                <w:tcPr>
                  <w:tcW w:w="1080" w:type="dxa"/>
                  <w:vAlign w:val="center"/>
                </w:tcPr>
                <w:p w14:paraId="7B4DEC74">
                  <w:pPr>
                    <w:spacing w:line="0" w:lineRule="atLeast"/>
                    <w:jc w:val="center"/>
                    <w:rPr>
                      <w:rFonts w:hint="eastAsia"/>
                      <w:color w:val="000000"/>
                      <w:szCs w:val="21"/>
                    </w:rPr>
                  </w:pPr>
                  <w:r>
                    <w:rPr>
                      <w:rFonts w:hint="eastAsia"/>
                      <w:color w:val="000000"/>
                      <w:szCs w:val="21"/>
                    </w:rPr>
                    <w:t>5.30</w:t>
                  </w:r>
                </w:p>
              </w:tc>
            </w:tr>
            <w:tr w14:paraId="26C5C25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2218" w:type="dxa"/>
                  <w:vAlign w:val="center"/>
                </w:tcPr>
                <w:p w14:paraId="0A8DB9C2">
                  <w:pPr>
                    <w:spacing w:line="0" w:lineRule="atLeast"/>
                    <w:jc w:val="center"/>
                    <w:rPr>
                      <w:rFonts w:hint="eastAsia"/>
                      <w:color w:val="000000"/>
                      <w:szCs w:val="21"/>
                    </w:rPr>
                  </w:pPr>
                  <w:r>
                    <w:rPr>
                      <w:rFonts w:hint="eastAsia"/>
                      <w:color w:val="000000"/>
                      <w:szCs w:val="21"/>
                    </w:rPr>
                    <w:t>12月</w:t>
                  </w:r>
                </w:p>
              </w:tc>
              <w:tc>
                <w:tcPr>
                  <w:tcW w:w="1119" w:type="dxa"/>
                  <w:vAlign w:val="center"/>
                </w:tcPr>
                <w:p w14:paraId="2A3AFD46">
                  <w:pPr>
                    <w:spacing w:line="0" w:lineRule="atLeast"/>
                    <w:jc w:val="center"/>
                    <w:rPr>
                      <w:rFonts w:hint="eastAsia"/>
                      <w:color w:val="000000"/>
                      <w:szCs w:val="21"/>
                    </w:rPr>
                  </w:pPr>
                  <w:r>
                    <w:rPr>
                      <w:rFonts w:hint="eastAsia"/>
                      <w:color w:val="000000"/>
                      <w:szCs w:val="21"/>
                    </w:rPr>
                    <w:t>8.53</w:t>
                  </w:r>
                </w:p>
              </w:tc>
              <w:tc>
                <w:tcPr>
                  <w:tcW w:w="1100" w:type="dxa"/>
                  <w:vAlign w:val="center"/>
                </w:tcPr>
                <w:p w14:paraId="7CD47B08">
                  <w:pPr>
                    <w:spacing w:line="0" w:lineRule="atLeast"/>
                    <w:jc w:val="center"/>
                    <w:rPr>
                      <w:rFonts w:hint="eastAsia"/>
                      <w:color w:val="000000"/>
                      <w:szCs w:val="21"/>
                    </w:rPr>
                  </w:pPr>
                  <w:r>
                    <w:rPr>
                      <w:rFonts w:hint="eastAsia"/>
                      <w:color w:val="000000"/>
                      <w:szCs w:val="21"/>
                    </w:rPr>
                    <w:t>8.17</w:t>
                  </w:r>
                </w:p>
              </w:tc>
              <w:tc>
                <w:tcPr>
                  <w:tcW w:w="1112" w:type="dxa"/>
                  <w:vAlign w:val="center"/>
                </w:tcPr>
                <w:p w14:paraId="61024FC6">
                  <w:pPr>
                    <w:spacing w:line="0" w:lineRule="atLeast"/>
                    <w:jc w:val="center"/>
                    <w:rPr>
                      <w:rFonts w:hint="eastAsia"/>
                      <w:color w:val="000000"/>
                      <w:szCs w:val="21"/>
                    </w:rPr>
                  </w:pPr>
                  <w:r>
                    <w:rPr>
                      <w:rFonts w:hint="eastAsia"/>
                      <w:color w:val="000000"/>
                      <w:szCs w:val="21"/>
                    </w:rPr>
                    <w:t>7.68</w:t>
                  </w:r>
                </w:p>
              </w:tc>
              <w:tc>
                <w:tcPr>
                  <w:tcW w:w="1080" w:type="dxa"/>
                  <w:vAlign w:val="center"/>
                </w:tcPr>
                <w:p w14:paraId="461FD769">
                  <w:pPr>
                    <w:spacing w:line="0" w:lineRule="atLeast"/>
                    <w:jc w:val="center"/>
                    <w:rPr>
                      <w:rFonts w:hint="eastAsia"/>
                      <w:color w:val="000000"/>
                      <w:szCs w:val="21"/>
                    </w:rPr>
                  </w:pPr>
                  <w:r>
                    <w:rPr>
                      <w:rFonts w:hint="eastAsia"/>
                      <w:color w:val="000000"/>
                      <w:szCs w:val="21"/>
                    </w:rPr>
                    <w:t>7.65</w:t>
                  </w:r>
                </w:p>
              </w:tc>
              <w:tc>
                <w:tcPr>
                  <w:tcW w:w="1080" w:type="dxa"/>
                  <w:vAlign w:val="center"/>
                </w:tcPr>
                <w:p w14:paraId="78176DE9">
                  <w:pPr>
                    <w:spacing w:line="0" w:lineRule="atLeast"/>
                    <w:jc w:val="center"/>
                    <w:rPr>
                      <w:rFonts w:hint="eastAsia"/>
                      <w:color w:val="000000"/>
                      <w:szCs w:val="21"/>
                    </w:rPr>
                  </w:pPr>
                  <w:r>
                    <w:rPr>
                      <w:rFonts w:hint="eastAsia"/>
                      <w:color w:val="000000"/>
                      <w:szCs w:val="21"/>
                    </w:rPr>
                    <w:t>6.75</w:t>
                  </w:r>
                </w:p>
              </w:tc>
              <w:tc>
                <w:tcPr>
                  <w:tcW w:w="1080" w:type="dxa"/>
                  <w:vAlign w:val="center"/>
                </w:tcPr>
                <w:p w14:paraId="4221D305">
                  <w:pPr>
                    <w:spacing w:line="0" w:lineRule="atLeast"/>
                    <w:jc w:val="center"/>
                    <w:rPr>
                      <w:rFonts w:hint="eastAsia"/>
                      <w:color w:val="000000"/>
                      <w:szCs w:val="21"/>
                    </w:rPr>
                  </w:pPr>
                  <w:r>
                    <w:rPr>
                      <w:rFonts w:hint="eastAsia"/>
                      <w:color w:val="000000"/>
                      <w:szCs w:val="21"/>
                    </w:rPr>
                    <w:t>5.41</w:t>
                  </w:r>
                </w:p>
              </w:tc>
            </w:tr>
            <w:tr w14:paraId="18BE5BF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2218" w:type="dxa"/>
                  <w:vAlign w:val="center"/>
                </w:tcPr>
                <w:p w14:paraId="04DD7096">
                  <w:pPr>
                    <w:spacing w:line="0" w:lineRule="atLeast"/>
                    <w:jc w:val="center"/>
                    <w:rPr>
                      <w:color w:val="000000"/>
                      <w:szCs w:val="21"/>
                    </w:rPr>
                  </w:pPr>
                  <w:r>
                    <w:rPr>
                      <w:rFonts w:hint="eastAsia"/>
                      <w:szCs w:val="21"/>
                    </w:rPr>
                    <w:t>平均</w:t>
                  </w:r>
                </w:p>
              </w:tc>
              <w:tc>
                <w:tcPr>
                  <w:tcW w:w="1119" w:type="dxa"/>
                  <w:vAlign w:val="center"/>
                </w:tcPr>
                <w:p w14:paraId="3148F66A">
                  <w:pPr>
                    <w:spacing w:line="0" w:lineRule="atLeast"/>
                    <w:jc w:val="center"/>
                    <w:rPr>
                      <w:rFonts w:hint="eastAsia"/>
                      <w:color w:val="000000"/>
                      <w:szCs w:val="21"/>
                    </w:rPr>
                  </w:pPr>
                  <w:r>
                    <w:rPr>
                      <w:rFonts w:hint="eastAsia"/>
                      <w:color w:val="000000"/>
                      <w:szCs w:val="21"/>
                    </w:rPr>
                    <w:t>7.78</w:t>
                  </w:r>
                </w:p>
              </w:tc>
              <w:tc>
                <w:tcPr>
                  <w:tcW w:w="1100" w:type="dxa"/>
                  <w:vAlign w:val="center"/>
                </w:tcPr>
                <w:p w14:paraId="57D6C2AD">
                  <w:pPr>
                    <w:spacing w:line="0" w:lineRule="atLeast"/>
                    <w:jc w:val="center"/>
                    <w:rPr>
                      <w:rFonts w:hint="eastAsia"/>
                      <w:color w:val="000000"/>
                      <w:szCs w:val="21"/>
                    </w:rPr>
                  </w:pPr>
                  <w:r>
                    <w:rPr>
                      <w:rFonts w:hint="eastAsia"/>
                      <w:color w:val="000000"/>
                      <w:szCs w:val="21"/>
                    </w:rPr>
                    <w:t>7.45</w:t>
                  </w:r>
                </w:p>
              </w:tc>
              <w:tc>
                <w:tcPr>
                  <w:tcW w:w="1112" w:type="dxa"/>
                  <w:vAlign w:val="center"/>
                </w:tcPr>
                <w:p w14:paraId="3885D14E">
                  <w:pPr>
                    <w:spacing w:line="0" w:lineRule="atLeast"/>
                    <w:jc w:val="center"/>
                    <w:rPr>
                      <w:rFonts w:hint="eastAsia"/>
                      <w:color w:val="000000"/>
                      <w:szCs w:val="21"/>
                    </w:rPr>
                  </w:pPr>
                  <w:r>
                    <w:rPr>
                      <w:rFonts w:hint="eastAsia"/>
                      <w:color w:val="000000"/>
                      <w:szCs w:val="21"/>
                    </w:rPr>
                    <w:t>7.08</w:t>
                  </w:r>
                </w:p>
              </w:tc>
              <w:tc>
                <w:tcPr>
                  <w:tcW w:w="1080" w:type="dxa"/>
                  <w:vAlign w:val="center"/>
                </w:tcPr>
                <w:p w14:paraId="4472326D">
                  <w:pPr>
                    <w:spacing w:line="0" w:lineRule="atLeast"/>
                    <w:jc w:val="center"/>
                    <w:rPr>
                      <w:rFonts w:hint="eastAsia"/>
                      <w:color w:val="000000"/>
                      <w:szCs w:val="21"/>
                    </w:rPr>
                  </w:pPr>
                  <w:r>
                    <w:rPr>
                      <w:rFonts w:hint="eastAsia"/>
                      <w:color w:val="000000"/>
                      <w:szCs w:val="21"/>
                    </w:rPr>
                    <w:t>7.02</w:t>
                  </w:r>
                </w:p>
              </w:tc>
              <w:tc>
                <w:tcPr>
                  <w:tcW w:w="1080" w:type="dxa"/>
                  <w:vAlign w:val="center"/>
                </w:tcPr>
                <w:p w14:paraId="4CF9FF10">
                  <w:pPr>
                    <w:spacing w:line="0" w:lineRule="atLeast"/>
                    <w:jc w:val="center"/>
                    <w:rPr>
                      <w:rFonts w:hint="eastAsia"/>
                      <w:color w:val="000000"/>
                      <w:szCs w:val="21"/>
                    </w:rPr>
                  </w:pPr>
                  <w:r>
                    <w:rPr>
                      <w:rFonts w:hint="eastAsia"/>
                      <w:color w:val="000000"/>
                      <w:szCs w:val="21"/>
                    </w:rPr>
                    <w:t>6.38</w:t>
                  </w:r>
                </w:p>
              </w:tc>
              <w:tc>
                <w:tcPr>
                  <w:tcW w:w="1080" w:type="dxa"/>
                  <w:vAlign w:val="center"/>
                </w:tcPr>
                <w:p w14:paraId="7A6F2964">
                  <w:pPr>
                    <w:spacing w:line="0" w:lineRule="atLeast"/>
                    <w:jc w:val="center"/>
                    <w:rPr>
                      <w:rFonts w:hint="eastAsia"/>
                      <w:color w:val="000000"/>
                      <w:szCs w:val="21"/>
                    </w:rPr>
                  </w:pPr>
                  <w:r>
                    <w:rPr>
                      <w:rFonts w:hint="eastAsia"/>
                      <w:color w:val="000000"/>
                      <w:szCs w:val="21"/>
                    </w:rPr>
                    <w:t>5.46</w:t>
                  </w:r>
                </w:p>
              </w:tc>
            </w:tr>
          </w:tbl>
          <w:p w14:paraId="75B307A8">
            <w:pPr>
              <w:spacing w:beforeLines="50"/>
              <w:ind w:firstLine="480" w:firstLineChars="200"/>
              <w:rPr>
                <w:rFonts w:hint="eastAsia" w:ascii="黑体" w:hAnsi="黑体" w:eastAsia="黑体"/>
                <w:color w:val="000000"/>
                <w:sz w:val="24"/>
              </w:rPr>
            </w:pPr>
            <w:r>
              <w:rPr>
                <w:rFonts w:hint="eastAsia" w:ascii="黑体" w:hAnsi="黑体" w:eastAsia="黑体"/>
                <w:color w:val="000000"/>
                <w:sz w:val="24"/>
              </w:rPr>
              <w:t>表13              测风年不同高度风向及风能频率（%）</w:t>
            </w:r>
          </w:p>
          <w:tbl>
            <w:tblPr>
              <w:tblStyle w:val="25"/>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28" w:type="dxa"/>
                <w:bottom w:w="0" w:type="dxa"/>
                <w:right w:w="28" w:type="dxa"/>
              </w:tblCellMar>
            </w:tblPr>
            <w:tblGrid>
              <w:gridCol w:w="570"/>
              <w:gridCol w:w="1119"/>
              <w:gridCol w:w="417"/>
              <w:gridCol w:w="417"/>
              <w:gridCol w:w="417"/>
              <w:gridCol w:w="417"/>
              <w:gridCol w:w="417"/>
              <w:gridCol w:w="417"/>
              <w:gridCol w:w="418"/>
              <w:gridCol w:w="418"/>
              <w:gridCol w:w="418"/>
              <w:gridCol w:w="418"/>
              <w:gridCol w:w="418"/>
              <w:gridCol w:w="418"/>
              <w:gridCol w:w="418"/>
              <w:gridCol w:w="418"/>
              <w:gridCol w:w="418"/>
              <w:gridCol w:w="418"/>
              <w:gridCol w:w="418"/>
            </w:tblGrid>
            <w:tr w14:paraId="5CDA1EE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570" w:type="dxa"/>
                  <w:vAlign w:val="center"/>
                </w:tcPr>
                <w:p w14:paraId="0E2172DA">
                  <w:pPr>
                    <w:spacing w:line="0" w:lineRule="atLeast"/>
                    <w:jc w:val="center"/>
                    <w:rPr>
                      <w:rFonts w:hint="eastAsia"/>
                    </w:rPr>
                  </w:pPr>
                  <w:r>
                    <w:rPr>
                      <w:rFonts w:hint="eastAsia"/>
                    </w:rPr>
                    <w:t>项目</w:t>
                  </w:r>
                </w:p>
              </w:tc>
              <w:tc>
                <w:tcPr>
                  <w:tcW w:w="1119" w:type="dxa"/>
                  <w:vAlign w:val="center"/>
                </w:tcPr>
                <w:p w14:paraId="48FC2FFA">
                  <w:pPr>
                    <w:spacing w:line="0" w:lineRule="atLeast"/>
                    <w:jc w:val="center"/>
                    <w:rPr>
                      <w:rFonts w:hint="eastAsia"/>
                    </w:rPr>
                  </w:pPr>
                  <w:r>
                    <w:rPr>
                      <w:rFonts w:hint="eastAsia"/>
                    </w:rPr>
                    <w:t>高度（m）</w:t>
                  </w:r>
                </w:p>
              </w:tc>
              <w:tc>
                <w:tcPr>
                  <w:tcW w:w="417" w:type="dxa"/>
                  <w:vAlign w:val="center"/>
                </w:tcPr>
                <w:p w14:paraId="4E948C59">
                  <w:pPr>
                    <w:spacing w:line="0" w:lineRule="atLeast"/>
                    <w:ind w:left="-105" w:leftChars="-50" w:right="-105" w:rightChars="-50"/>
                    <w:jc w:val="center"/>
                    <w:rPr>
                      <w:color w:val="000000"/>
                      <w:szCs w:val="21"/>
                    </w:rPr>
                  </w:pPr>
                  <w:r>
                    <w:rPr>
                      <w:color w:val="000000"/>
                      <w:szCs w:val="21"/>
                    </w:rPr>
                    <w:t>N</w:t>
                  </w:r>
                </w:p>
              </w:tc>
              <w:tc>
                <w:tcPr>
                  <w:tcW w:w="417" w:type="dxa"/>
                  <w:vAlign w:val="center"/>
                </w:tcPr>
                <w:p w14:paraId="31DA32F6">
                  <w:pPr>
                    <w:spacing w:line="0" w:lineRule="atLeast"/>
                    <w:ind w:left="-105" w:leftChars="-50" w:right="-105" w:rightChars="-50"/>
                    <w:jc w:val="center"/>
                    <w:rPr>
                      <w:color w:val="000000"/>
                      <w:szCs w:val="21"/>
                    </w:rPr>
                  </w:pPr>
                  <w:r>
                    <w:rPr>
                      <w:color w:val="000000"/>
                      <w:szCs w:val="21"/>
                    </w:rPr>
                    <w:t>NNE</w:t>
                  </w:r>
                </w:p>
              </w:tc>
              <w:tc>
                <w:tcPr>
                  <w:tcW w:w="417" w:type="dxa"/>
                  <w:vAlign w:val="center"/>
                </w:tcPr>
                <w:p w14:paraId="31AE5ADB">
                  <w:pPr>
                    <w:spacing w:line="0" w:lineRule="atLeast"/>
                    <w:ind w:left="-105" w:leftChars="-50" w:right="-105" w:rightChars="-50"/>
                    <w:jc w:val="center"/>
                    <w:rPr>
                      <w:color w:val="000000"/>
                      <w:szCs w:val="21"/>
                    </w:rPr>
                  </w:pPr>
                  <w:r>
                    <w:rPr>
                      <w:color w:val="000000"/>
                      <w:szCs w:val="21"/>
                    </w:rPr>
                    <w:t>NE</w:t>
                  </w:r>
                </w:p>
              </w:tc>
              <w:tc>
                <w:tcPr>
                  <w:tcW w:w="417" w:type="dxa"/>
                  <w:vAlign w:val="center"/>
                </w:tcPr>
                <w:p w14:paraId="1CBBE931">
                  <w:pPr>
                    <w:spacing w:line="0" w:lineRule="atLeast"/>
                    <w:ind w:left="-105" w:leftChars="-50" w:right="-105" w:rightChars="-50"/>
                    <w:jc w:val="center"/>
                    <w:rPr>
                      <w:color w:val="000000"/>
                      <w:szCs w:val="21"/>
                    </w:rPr>
                  </w:pPr>
                  <w:r>
                    <w:rPr>
                      <w:color w:val="000000"/>
                      <w:szCs w:val="21"/>
                    </w:rPr>
                    <w:t>ENE</w:t>
                  </w:r>
                </w:p>
              </w:tc>
              <w:tc>
                <w:tcPr>
                  <w:tcW w:w="417" w:type="dxa"/>
                  <w:vAlign w:val="center"/>
                </w:tcPr>
                <w:p w14:paraId="4E47FAE3">
                  <w:pPr>
                    <w:spacing w:line="0" w:lineRule="atLeast"/>
                    <w:ind w:left="-105" w:leftChars="-50" w:right="-105" w:rightChars="-50"/>
                    <w:jc w:val="center"/>
                    <w:rPr>
                      <w:color w:val="000000"/>
                      <w:szCs w:val="21"/>
                    </w:rPr>
                  </w:pPr>
                  <w:r>
                    <w:rPr>
                      <w:color w:val="000000"/>
                      <w:szCs w:val="21"/>
                    </w:rPr>
                    <w:t>E</w:t>
                  </w:r>
                </w:p>
              </w:tc>
              <w:tc>
                <w:tcPr>
                  <w:tcW w:w="417" w:type="dxa"/>
                  <w:vAlign w:val="center"/>
                </w:tcPr>
                <w:p w14:paraId="710AE644">
                  <w:pPr>
                    <w:spacing w:line="0" w:lineRule="atLeast"/>
                    <w:ind w:left="-105" w:leftChars="-50" w:right="-105" w:rightChars="-50"/>
                    <w:jc w:val="center"/>
                    <w:rPr>
                      <w:color w:val="000000"/>
                      <w:szCs w:val="21"/>
                    </w:rPr>
                  </w:pPr>
                  <w:r>
                    <w:rPr>
                      <w:color w:val="000000"/>
                      <w:szCs w:val="21"/>
                    </w:rPr>
                    <w:t>ESE</w:t>
                  </w:r>
                </w:p>
              </w:tc>
              <w:tc>
                <w:tcPr>
                  <w:tcW w:w="418" w:type="dxa"/>
                  <w:vAlign w:val="center"/>
                </w:tcPr>
                <w:p w14:paraId="32404885">
                  <w:pPr>
                    <w:spacing w:line="0" w:lineRule="atLeast"/>
                    <w:ind w:left="-105" w:leftChars="-50" w:right="-105" w:rightChars="-50"/>
                    <w:jc w:val="center"/>
                    <w:rPr>
                      <w:color w:val="000000"/>
                      <w:szCs w:val="21"/>
                    </w:rPr>
                  </w:pPr>
                  <w:r>
                    <w:rPr>
                      <w:color w:val="000000"/>
                      <w:szCs w:val="21"/>
                    </w:rPr>
                    <w:t>SE</w:t>
                  </w:r>
                </w:p>
              </w:tc>
              <w:tc>
                <w:tcPr>
                  <w:tcW w:w="418" w:type="dxa"/>
                  <w:vAlign w:val="center"/>
                </w:tcPr>
                <w:p w14:paraId="2FF96104">
                  <w:pPr>
                    <w:spacing w:line="0" w:lineRule="atLeast"/>
                    <w:ind w:left="-105" w:leftChars="-50" w:right="-105" w:rightChars="-50"/>
                    <w:jc w:val="center"/>
                    <w:rPr>
                      <w:color w:val="000000"/>
                      <w:szCs w:val="21"/>
                    </w:rPr>
                  </w:pPr>
                  <w:r>
                    <w:rPr>
                      <w:color w:val="000000"/>
                      <w:szCs w:val="21"/>
                    </w:rPr>
                    <w:t>SSE</w:t>
                  </w:r>
                </w:p>
              </w:tc>
              <w:tc>
                <w:tcPr>
                  <w:tcW w:w="418" w:type="dxa"/>
                  <w:vAlign w:val="center"/>
                </w:tcPr>
                <w:p w14:paraId="04155FB7">
                  <w:pPr>
                    <w:spacing w:line="0" w:lineRule="atLeast"/>
                    <w:ind w:left="-105" w:leftChars="-50" w:right="-105" w:rightChars="-50"/>
                    <w:jc w:val="center"/>
                    <w:rPr>
                      <w:color w:val="000000"/>
                      <w:szCs w:val="21"/>
                    </w:rPr>
                  </w:pPr>
                  <w:r>
                    <w:rPr>
                      <w:color w:val="000000"/>
                      <w:szCs w:val="21"/>
                    </w:rPr>
                    <w:t>S</w:t>
                  </w:r>
                </w:p>
              </w:tc>
              <w:tc>
                <w:tcPr>
                  <w:tcW w:w="418" w:type="dxa"/>
                  <w:vAlign w:val="center"/>
                </w:tcPr>
                <w:p w14:paraId="421BAD74">
                  <w:pPr>
                    <w:spacing w:line="0" w:lineRule="atLeast"/>
                    <w:ind w:left="-105" w:leftChars="-50" w:right="-105" w:rightChars="-50"/>
                    <w:jc w:val="center"/>
                    <w:rPr>
                      <w:color w:val="000000"/>
                      <w:szCs w:val="21"/>
                    </w:rPr>
                  </w:pPr>
                  <w:r>
                    <w:rPr>
                      <w:color w:val="000000"/>
                      <w:szCs w:val="21"/>
                    </w:rPr>
                    <w:t>SSW</w:t>
                  </w:r>
                </w:p>
              </w:tc>
              <w:tc>
                <w:tcPr>
                  <w:tcW w:w="418" w:type="dxa"/>
                  <w:vAlign w:val="center"/>
                </w:tcPr>
                <w:p w14:paraId="72E50C7F">
                  <w:pPr>
                    <w:spacing w:line="0" w:lineRule="atLeast"/>
                    <w:ind w:left="-105" w:leftChars="-50" w:right="-105" w:rightChars="-50"/>
                    <w:jc w:val="center"/>
                    <w:rPr>
                      <w:color w:val="000000"/>
                      <w:szCs w:val="21"/>
                    </w:rPr>
                  </w:pPr>
                  <w:r>
                    <w:rPr>
                      <w:color w:val="000000"/>
                      <w:szCs w:val="21"/>
                    </w:rPr>
                    <w:t>SW</w:t>
                  </w:r>
                </w:p>
              </w:tc>
              <w:tc>
                <w:tcPr>
                  <w:tcW w:w="418" w:type="dxa"/>
                  <w:vAlign w:val="center"/>
                </w:tcPr>
                <w:p w14:paraId="719A5655">
                  <w:pPr>
                    <w:spacing w:line="0" w:lineRule="atLeast"/>
                    <w:ind w:left="-105" w:leftChars="-50" w:right="-105" w:rightChars="-50"/>
                    <w:jc w:val="center"/>
                    <w:rPr>
                      <w:color w:val="000000"/>
                      <w:szCs w:val="21"/>
                    </w:rPr>
                  </w:pPr>
                  <w:r>
                    <w:rPr>
                      <w:color w:val="000000"/>
                      <w:szCs w:val="21"/>
                    </w:rPr>
                    <w:t>WSW</w:t>
                  </w:r>
                </w:p>
              </w:tc>
              <w:tc>
                <w:tcPr>
                  <w:tcW w:w="418" w:type="dxa"/>
                  <w:vAlign w:val="center"/>
                </w:tcPr>
                <w:p w14:paraId="23F5435D">
                  <w:pPr>
                    <w:spacing w:line="0" w:lineRule="atLeast"/>
                    <w:ind w:left="-105" w:leftChars="-50" w:right="-105" w:rightChars="-50"/>
                    <w:jc w:val="center"/>
                    <w:rPr>
                      <w:color w:val="000000"/>
                      <w:szCs w:val="21"/>
                    </w:rPr>
                  </w:pPr>
                  <w:r>
                    <w:rPr>
                      <w:color w:val="000000"/>
                      <w:szCs w:val="21"/>
                    </w:rPr>
                    <w:t>W</w:t>
                  </w:r>
                </w:p>
              </w:tc>
              <w:tc>
                <w:tcPr>
                  <w:tcW w:w="418" w:type="dxa"/>
                  <w:vAlign w:val="center"/>
                </w:tcPr>
                <w:p w14:paraId="0B3FD311">
                  <w:pPr>
                    <w:spacing w:line="0" w:lineRule="atLeast"/>
                    <w:ind w:left="-105" w:leftChars="-50" w:right="-105" w:rightChars="-50"/>
                    <w:jc w:val="center"/>
                    <w:rPr>
                      <w:color w:val="000000"/>
                      <w:szCs w:val="21"/>
                    </w:rPr>
                  </w:pPr>
                  <w:r>
                    <w:rPr>
                      <w:color w:val="000000"/>
                      <w:szCs w:val="21"/>
                    </w:rPr>
                    <w:t>WNW</w:t>
                  </w:r>
                </w:p>
              </w:tc>
              <w:tc>
                <w:tcPr>
                  <w:tcW w:w="418" w:type="dxa"/>
                  <w:vAlign w:val="center"/>
                </w:tcPr>
                <w:p w14:paraId="736B3124">
                  <w:pPr>
                    <w:spacing w:line="0" w:lineRule="atLeast"/>
                    <w:ind w:left="-105" w:leftChars="-50" w:right="-105" w:rightChars="-50"/>
                    <w:jc w:val="center"/>
                    <w:rPr>
                      <w:color w:val="000000"/>
                      <w:szCs w:val="21"/>
                    </w:rPr>
                  </w:pPr>
                  <w:r>
                    <w:rPr>
                      <w:color w:val="000000"/>
                      <w:szCs w:val="21"/>
                    </w:rPr>
                    <w:t>NW</w:t>
                  </w:r>
                </w:p>
              </w:tc>
              <w:tc>
                <w:tcPr>
                  <w:tcW w:w="418" w:type="dxa"/>
                  <w:vAlign w:val="center"/>
                </w:tcPr>
                <w:p w14:paraId="0ABEF4BC">
                  <w:pPr>
                    <w:spacing w:line="0" w:lineRule="atLeast"/>
                    <w:ind w:left="-105" w:leftChars="-50" w:right="-105" w:rightChars="-50"/>
                    <w:jc w:val="center"/>
                    <w:rPr>
                      <w:color w:val="000000"/>
                      <w:szCs w:val="21"/>
                    </w:rPr>
                  </w:pPr>
                  <w:r>
                    <w:rPr>
                      <w:color w:val="000000"/>
                      <w:szCs w:val="21"/>
                    </w:rPr>
                    <w:t>NNW</w:t>
                  </w:r>
                </w:p>
              </w:tc>
              <w:tc>
                <w:tcPr>
                  <w:tcW w:w="418" w:type="dxa"/>
                  <w:vAlign w:val="center"/>
                </w:tcPr>
                <w:p w14:paraId="2DFA097D">
                  <w:pPr>
                    <w:spacing w:line="0" w:lineRule="atLeast"/>
                    <w:ind w:left="-105" w:leftChars="-50" w:right="-105" w:rightChars="-50"/>
                    <w:jc w:val="center"/>
                    <w:rPr>
                      <w:rFonts w:hint="eastAsia"/>
                      <w:color w:val="000000"/>
                      <w:szCs w:val="21"/>
                    </w:rPr>
                  </w:pPr>
                  <w:r>
                    <w:rPr>
                      <w:color w:val="000000"/>
                      <w:szCs w:val="21"/>
                    </w:rPr>
                    <w:t>C</w:t>
                  </w:r>
                </w:p>
              </w:tc>
            </w:tr>
            <w:tr w14:paraId="6359AA5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570" w:type="dxa"/>
                  <w:vMerge w:val="restart"/>
                  <w:vAlign w:val="center"/>
                </w:tcPr>
                <w:p w14:paraId="646F3349">
                  <w:pPr>
                    <w:spacing w:line="0" w:lineRule="atLeast"/>
                    <w:jc w:val="center"/>
                    <w:rPr>
                      <w:rFonts w:hint="eastAsia"/>
                      <w:color w:val="000000"/>
                      <w:szCs w:val="21"/>
                    </w:rPr>
                  </w:pPr>
                  <w:r>
                    <w:rPr>
                      <w:rFonts w:hint="eastAsia"/>
                      <w:color w:val="000000"/>
                      <w:szCs w:val="21"/>
                    </w:rPr>
                    <w:t>风向频率</w:t>
                  </w:r>
                </w:p>
              </w:tc>
              <w:tc>
                <w:tcPr>
                  <w:tcW w:w="1119" w:type="dxa"/>
                  <w:vAlign w:val="center"/>
                </w:tcPr>
                <w:p w14:paraId="45226051">
                  <w:pPr>
                    <w:spacing w:line="0" w:lineRule="atLeast"/>
                    <w:jc w:val="center"/>
                    <w:rPr>
                      <w:rFonts w:hint="eastAsia"/>
                      <w:color w:val="000000"/>
                      <w:szCs w:val="21"/>
                    </w:rPr>
                  </w:pPr>
                  <w:r>
                    <w:rPr>
                      <w:rFonts w:hint="eastAsia"/>
                      <w:color w:val="000000"/>
                      <w:szCs w:val="21"/>
                    </w:rPr>
                    <w:t>90</w:t>
                  </w:r>
                </w:p>
              </w:tc>
              <w:tc>
                <w:tcPr>
                  <w:tcW w:w="417" w:type="dxa"/>
                  <w:vAlign w:val="center"/>
                </w:tcPr>
                <w:p w14:paraId="378A32DC">
                  <w:pPr>
                    <w:spacing w:line="0" w:lineRule="atLeast"/>
                    <w:ind w:left="-105" w:leftChars="-50" w:right="-105" w:rightChars="-50"/>
                    <w:jc w:val="center"/>
                    <w:rPr>
                      <w:rFonts w:hint="eastAsia"/>
                      <w:color w:val="000000"/>
                      <w:szCs w:val="21"/>
                    </w:rPr>
                  </w:pPr>
                  <w:r>
                    <w:rPr>
                      <w:rFonts w:hint="eastAsia"/>
                      <w:color w:val="000000"/>
                      <w:szCs w:val="21"/>
                    </w:rPr>
                    <w:t>4</w:t>
                  </w:r>
                </w:p>
              </w:tc>
              <w:tc>
                <w:tcPr>
                  <w:tcW w:w="417" w:type="dxa"/>
                  <w:vAlign w:val="center"/>
                </w:tcPr>
                <w:p w14:paraId="2F753C9B">
                  <w:pPr>
                    <w:spacing w:line="0" w:lineRule="atLeast"/>
                    <w:ind w:left="-105" w:leftChars="-50" w:right="-105" w:rightChars="-50"/>
                    <w:jc w:val="center"/>
                    <w:rPr>
                      <w:rFonts w:hint="eastAsia"/>
                      <w:color w:val="000000"/>
                      <w:szCs w:val="21"/>
                    </w:rPr>
                  </w:pPr>
                  <w:r>
                    <w:rPr>
                      <w:rFonts w:hint="eastAsia"/>
                      <w:color w:val="000000"/>
                      <w:szCs w:val="21"/>
                    </w:rPr>
                    <w:t>3</w:t>
                  </w:r>
                </w:p>
              </w:tc>
              <w:tc>
                <w:tcPr>
                  <w:tcW w:w="417" w:type="dxa"/>
                  <w:vAlign w:val="center"/>
                </w:tcPr>
                <w:p w14:paraId="1DAB2234">
                  <w:pPr>
                    <w:spacing w:line="0" w:lineRule="atLeast"/>
                    <w:ind w:left="-105" w:leftChars="-50" w:right="-105" w:rightChars="-50"/>
                    <w:jc w:val="center"/>
                    <w:rPr>
                      <w:rFonts w:hint="eastAsia"/>
                      <w:color w:val="000000"/>
                      <w:szCs w:val="21"/>
                    </w:rPr>
                  </w:pPr>
                  <w:r>
                    <w:rPr>
                      <w:rFonts w:hint="eastAsia"/>
                      <w:color w:val="000000"/>
                      <w:szCs w:val="21"/>
                    </w:rPr>
                    <w:t>3</w:t>
                  </w:r>
                </w:p>
              </w:tc>
              <w:tc>
                <w:tcPr>
                  <w:tcW w:w="417" w:type="dxa"/>
                  <w:vAlign w:val="center"/>
                </w:tcPr>
                <w:p w14:paraId="586174D2">
                  <w:pPr>
                    <w:spacing w:line="0" w:lineRule="atLeast"/>
                    <w:ind w:left="-105" w:leftChars="-50" w:right="-105" w:rightChars="-50"/>
                    <w:jc w:val="center"/>
                    <w:rPr>
                      <w:rFonts w:hint="eastAsia"/>
                      <w:color w:val="000000"/>
                      <w:szCs w:val="21"/>
                    </w:rPr>
                  </w:pPr>
                  <w:r>
                    <w:rPr>
                      <w:rFonts w:hint="eastAsia"/>
                      <w:color w:val="000000"/>
                      <w:szCs w:val="21"/>
                    </w:rPr>
                    <w:t>5</w:t>
                  </w:r>
                </w:p>
              </w:tc>
              <w:tc>
                <w:tcPr>
                  <w:tcW w:w="417" w:type="dxa"/>
                  <w:vAlign w:val="center"/>
                </w:tcPr>
                <w:p w14:paraId="5B084E0B">
                  <w:pPr>
                    <w:spacing w:line="0" w:lineRule="atLeast"/>
                    <w:ind w:left="-105" w:leftChars="-50" w:right="-105" w:rightChars="-50"/>
                    <w:jc w:val="center"/>
                    <w:rPr>
                      <w:rFonts w:hint="eastAsia"/>
                      <w:color w:val="000000"/>
                      <w:szCs w:val="21"/>
                    </w:rPr>
                  </w:pPr>
                  <w:r>
                    <w:rPr>
                      <w:rFonts w:hint="eastAsia"/>
                      <w:color w:val="000000"/>
                      <w:szCs w:val="21"/>
                    </w:rPr>
                    <w:t>5</w:t>
                  </w:r>
                </w:p>
              </w:tc>
              <w:tc>
                <w:tcPr>
                  <w:tcW w:w="417" w:type="dxa"/>
                  <w:vAlign w:val="center"/>
                </w:tcPr>
                <w:p w14:paraId="4EDEEB65">
                  <w:pPr>
                    <w:spacing w:line="0" w:lineRule="atLeast"/>
                    <w:ind w:left="-105" w:leftChars="-50" w:right="-105" w:rightChars="-50"/>
                    <w:jc w:val="center"/>
                    <w:rPr>
                      <w:rFonts w:hint="eastAsia"/>
                      <w:color w:val="000000"/>
                      <w:szCs w:val="21"/>
                    </w:rPr>
                  </w:pPr>
                  <w:r>
                    <w:rPr>
                      <w:rFonts w:hint="eastAsia"/>
                      <w:color w:val="000000"/>
                      <w:szCs w:val="21"/>
                    </w:rPr>
                    <w:t>4</w:t>
                  </w:r>
                </w:p>
              </w:tc>
              <w:tc>
                <w:tcPr>
                  <w:tcW w:w="418" w:type="dxa"/>
                  <w:vAlign w:val="center"/>
                </w:tcPr>
                <w:p w14:paraId="7F363029">
                  <w:pPr>
                    <w:spacing w:line="0" w:lineRule="atLeast"/>
                    <w:ind w:left="-105" w:leftChars="-50" w:right="-105" w:rightChars="-50"/>
                    <w:jc w:val="center"/>
                    <w:rPr>
                      <w:rFonts w:hint="eastAsia"/>
                      <w:color w:val="000000"/>
                      <w:szCs w:val="21"/>
                    </w:rPr>
                  </w:pPr>
                  <w:r>
                    <w:rPr>
                      <w:rFonts w:hint="eastAsia"/>
                      <w:color w:val="000000"/>
                      <w:szCs w:val="21"/>
                    </w:rPr>
                    <w:t>5</w:t>
                  </w:r>
                </w:p>
              </w:tc>
              <w:tc>
                <w:tcPr>
                  <w:tcW w:w="418" w:type="dxa"/>
                  <w:vAlign w:val="center"/>
                </w:tcPr>
                <w:p w14:paraId="4587B2C4">
                  <w:pPr>
                    <w:spacing w:line="0" w:lineRule="atLeast"/>
                    <w:ind w:left="-105" w:leftChars="-50" w:right="-105" w:rightChars="-50"/>
                    <w:jc w:val="center"/>
                    <w:rPr>
                      <w:rFonts w:hint="eastAsia"/>
                      <w:color w:val="000000"/>
                      <w:szCs w:val="21"/>
                    </w:rPr>
                  </w:pPr>
                  <w:r>
                    <w:rPr>
                      <w:rFonts w:hint="eastAsia"/>
                      <w:color w:val="000000"/>
                      <w:szCs w:val="21"/>
                    </w:rPr>
                    <w:t>4</w:t>
                  </w:r>
                </w:p>
              </w:tc>
              <w:tc>
                <w:tcPr>
                  <w:tcW w:w="418" w:type="dxa"/>
                  <w:vAlign w:val="center"/>
                </w:tcPr>
                <w:p w14:paraId="7F4414AA">
                  <w:pPr>
                    <w:spacing w:line="0" w:lineRule="atLeast"/>
                    <w:ind w:left="-105" w:leftChars="-50" w:right="-105" w:rightChars="-50"/>
                    <w:jc w:val="center"/>
                    <w:rPr>
                      <w:rFonts w:hint="eastAsia"/>
                      <w:color w:val="000000"/>
                      <w:szCs w:val="21"/>
                    </w:rPr>
                  </w:pPr>
                  <w:r>
                    <w:rPr>
                      <w:rFonts w:hint="eastAsia"/>
                      <w:color w:val="000000"/>
                      <w:szCs w:val="21"/>
                    </w:rPr>
                    <w:t>4</w:t>
                  </w:r>
                </w:p>
              </w:tc>
              <w:tc>
                <w:tcPr>
                  <w:tcW w:w="418" w:type="dxa"/>
                  <w:vAlign w:val="center"/>
                </w:tcPr>
                <w:p w14:paraId="5C1A23B4">
                  <w:pPr>
                    <w:spacing w:line="0" w:lineRule="atLeast"/>
                    <w:ind w:left="-105" w:leftChars="-50" w:right="-105" w:rightChars="-50"/>
                    <w:jc w:val="center"/>
                    <w:rPr>
                      <w:rFonts w:hint="eastAsia"/>
                      <w:color w:val="000000"/>
                      <w:szCs w:val="21"/>
                    </w:rPr>
                  </w:pPr>
                  <w:r>
                    <w:rPr>
                      <w:rFonts w:hint="eastAsia"/>
                      <w:color w:val="000000"/>
                      <w:szCs w:val="21"/>
                    </w:rPr>
                    <w:t>4</w:t>
                  </w:r>
                </w:p>
              </w:tc>
              <w:tc>
                <w:tcPr>
                  <w:tcW w:w="418" w:type="dxa"/>
                  <w:vAlign w:val="center"/>
                </w:tcPr>
                <w:p w14:paraId="352A3281">
                  <w:pPr>
                    <w:spacing w:line="0" w:lineRule="atLeast"/>
                    <w:ind w:left="-105" w:leftChars="-50" w:right="-105" w:rightChars="-50"/>
                    <w:jc w:val="center"/>
                    <w:rPr>
                      <w:rFonts w:hint="eastAsia"/>
                      <w:color w:val="000000"/>
                      <w:szCs w:val="21"/>
                    </w:rPr>
                  </w:pPr>
                  <w:r>
                    <w:rPr>
                      <w:rFonts w:hint="eastAsia"/>
                      <w:color w:val="000000"/>
                      <w:szCs w:val="21"/>
                    </w:rPr>
                    <w:t>8</w:t>
                  </w:r>
                </w:p>
              </w:tc>
              <w:tc>
                <w:tcPr>
                  <w:tcW w:w="418" w:type="dxa"/>
                  <w:vAlign w:val="center"/>
                </w:tcPr>
                <w:p w14:paraId="6AAC8782">
                  <w:pPr>
                    <w:spacing w:line="0" w:lineRule="atLeast"/>
                    <w:ind w:left="-105" w:leftChars="-50" w:right="-105" w:rightChars="-50"/>
                    <w:jc w:val="center"/>
                    <w:rPr>
                      <w:rFonts w:hint="eastAsia"/>
                      <w:color w:val="000000"/>
                      <w:szCs w:val="21"/>
                    </w:rPr>
                  </w:pPr>
                  <w:r>
                    <w:rPr>
                      <w:rFonts w:hint="eastAsia"/>
                      <w:color w:val="000000"/>
                      <w:szCs w:val="21"/>
                    </w:rPr>
                    <w:t>14</w:t>
                  </w:r>
                </w:p>
              </w:tc>
              <w:tc>
                <w:tcPr>
                  <w:tcW w:w="418" w:type="dxa"/>
                  <w:vAlign w:val="center"/>
                </w:tcPr>
                <w:p w14:paraId="4DEE7826">
                  <w:pPr>
                    <w:spacing w:line="0" w:lineRule="atLeast"/>
                    <w:ind w:left="-105" w:leftChars="-50" w:right="-105" w:rightChars="-50"/>
                    <w:jc w:val="center"/>
                    <w:rPr>
                      <w:rFonts w:hint="eastAsia"/>
                      <w:color w:val="000000"/>
                      <w:szCs w:val="21"/>
                    </w:rPr>
                  </w:pPr>
                  <w:r>
                    <w:rPr>
                      <w:rFonts w:hint="eastAsia"/>
                      <w:color w:val="000000"/>
                      <w:szCs w:val="21"/>
                    </w:rPr>
                    <w:t>18</w:t>
                  </w:r>
                </w:p>
              </w:tc>
              <w:tc>
                <w:tcPr>
                  <w:tcW w:w="418" w:type="dxa"/>
                  <w:vAlign w:val="center"/>
                </w:tcPr>
                <w:p w14:paraId="4BD59A86">
                  <w:pPr>
                    <w:spacing w:line="0" w:lineRule="atLeast"/>
                    <w:ind w:left="-105" w:leftChars="-50" w:right="-105" w:rightChars="-50"/>
                    <w:jc w:val="center"/>
                    <w:rPr>
                      <w:rFonts w:hint="eastAsia"/>
                      <w:color w:val="000000"/>
                      <w:szCs w:val="21"/>
                    </w:rPr>
                  </w:pPr>
                  <w:r>
                    <w:rPr>
                      <w:rFonts w:hint="eastAsia"/>
                      <w:color w:val="000000"/>
                      <w:szCs w:val="21"/>
                    </w:rPr>
                    <w:t>9</w:t>
                  </w:r>
                </w:p>
              </w:tc>
              <w:tc>
                <w:tcPr>
                  <w:tcW w:w="418" w:type="dxa"/>
                  <w:vAlign w:val="center"/>
                </w:tcPr>
                <w:p w14:paraId="4B118910">
                  <w:pPr>
                    <w:spacing w:line="0" w:lineRule="atLeast"/>
                    <w:ind w:left="-105" w:leftChars="-50" w:right="-105" w:rightChars="-50"/>
                    <w:jc w:val="center"/>
                    <w:rPr>
                      <w:rFonts w:hint="eastAsia"/>
                      <w:color w:val="000000"/>
                      <w:szCs w:val="21"/>
                    </w:rPr>
                  </w:pPr>
                  <w:r>
                    <w:rPr>
                      <w:rFonts w:hint="eastAsia"/>
                      <w:color w:val="000000"/>
                      <w:szCs w:val="21"/>
                    </w:rPr>
                    <w:t>5</w:t>
                  </w:r>
                </w:p>
              </w:tc>
              <w:tc>
                <w:tcPr>
                  <w:tcW w:w="418" w:type="dxa"/>
                  <w:vAlign w:val="center"/>
                </w:tcPr>
                <w:p w14:paraId="1C86FCAA">
                  <w:pPr>
                    <w:spacing w:line="0" w:lineRule="atLeast"/>
                    <w:ind w:left="-105" w:leftChars="-50" w:right="-105" w:rightChars="-50"/>
                    <w:jc w:val="center"/>
                    <w:rPr>
                      <w:rFonts w:hint="eastAsia"/>
                      <w:color w:val="000000"/>
                      <w:szCs w:val="21"/>
                    </w:rPr>
                  </w:pPr>
                  <w:r>
                    <w:rPr>
                      <w:rFonts w:hint="eastAsia"/>
                      <w:color w:val="000000"/>
                      <w:szCs w:val="21"/>
                    </w:rPr>
                    <w:t>4</w:t>
                  </w:r>
                </w:p>
              </w:tc>
              <w:tc>
                <w:tcPr>
                  <w:tcW w:w="418" w:type="dxa"/>
                  <w:vAlign w:val="center"/>
                </w:tcPr>
                <w:p w14:paraId="1331DD85">
                  <w:pPr>
                    <w:spacing w:line="0" w:lineRule="atLeast"/>
                    <w:ind w:left="-105" w:leftChars="-50" w:right="-105" w:rightChars="-50"/>
                    <w:jc w:val="center"/>
                    <w:rPr>
                      <w:rFonts w:hint="eastAsia"/>
                      <w:color w:val="000000"/>
                      <w:szCs w:val="21"/>
                    </w:rPr>
                  </w:pPr>
                  <w:r>
                    <w:rPr>
                      <w:rFonts w:hint="eastAsia"/>
                      <w:color w:val="000000"/>
                      <w:szCs w:val="21"/>
                    </w:rPr>
                    <w:t>1</w:t>
                  </w:r>
                </w:p>
              </w:tc>
            </w:tr>
            <w:tr w14:paraId="55A25A1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570" w:type="dxa"/>
                  <w:vMerge w:val="continue"/>
                  <w:vAlign w:val="center"/>
                </w:tcPr>
                <w:p w14:paraId="29E9111F">
                  <w:pPr>
                    <w:spacing w:line="0" w:lineRule="atLeast"/>
                    <w:jc w:val="center"/>
                    <w:rPr>
                      <w:color w:val="000000"/>
                      <w:szCs w:val="21"/>
                    </w:rPr>
                  </w:pPr>
                </w:p>
              </w:tc>
              <w:tc>
                <w:tcPr>
                  <w:tcW w:w="1119" w:type="dxa"/>
                  <w:vAlign w:val="center"/>
                </w:tcPr>
                <w:p w14:paraId="480A26D5">
                  <w:pPr>
                    <w:spacing w:line="0" w:lineRule="atLeast"/>
                    <w:jc w:val="center"/>
                    <w:rPr>
                      <w:rFonts w:hint="eastAsia"/>
                      <w:color w:val="000000"/>
                      <w:szCs w:val="21"/>
                    </w:rPr>
                  </w:pPr>
                  <w:r>
                    <w:rPr>
                      <w:rFonts w:hint="eastAsia"/>
                      <w:color w:val="000000"/>
                      <w:szCs w:val="21"/>
                    </w:rPr>
                    <w:t>10</w:t>
                  </w:r>
                </w:p>
              </w:tc>
              <w:tc>
                <w:tcPr>
                  <w:tcW w:w="417" w:type="dxa"/>
                  <w:vAlign w:val="center"/>
                </w:tcPr>
                <w:p w14:paraId="69816087">
                  <w:pPr>
                    <w:spacing w:line="0" w:lineRule="atLeast"/>
                    <w:ind w:left="-105" w:leftChars="-50" w:right="-105" w:rightChars="-50"/>
                    <w:jc w:val="center"/>
                    <w:rPr>
                      <w:rFonts w:hint="eastAsia"/>
                      <w:color w:val="000000"/>
                      <w:szCs w:val="21"/>
                    </w:rPr>
                  </w:pPr>
                  <w:r>
                    <w:rPr>
                      <w:rFonts w:hint="eastAsia"/>
                      <w:color w:val="000000"/>
                      <w:szCs w:val="21"/>
                    </w:rPr>
                    <w:t>3</w:t>
                  </w:r>
                </w:p>
              </w:tc>
              <w:tc>
                <w:tcPr>
                  <w:tcW w:w="417" w:type="dxa"/>
                  <w:vAlign w:val="center"/>
                </w:tcPr>
                <w:p w14:paraId="537EBECF">
                  <w:pPr>
                    <w:spacing w:line="0" w:lineRule="atLeast"/>
                    <w:ind w:left="-105" w:leftChars="-50" w:right="-105" w:rightChars="-50"/>
                    <w:jc w:val="center"/>
                    <w:rPr>
                      <w:rFonts w:hint="eastAsia"/>
                      <w:color w:val="000000"/>
                      <w:szCs w:val="21"/>
                    </w:rPr>
                  </w:pPr>
                  <w:r>
                    <w:rPr>
                      <w:rFonts w:hint="eastAsia"/>
                      <w:color w:val="000000"/>
                      <w:szCs w:val="21"/>
                    </w:rPr>
                    <w:t>2</w:t>
                  </w:r>
                </w:p>
              </w:tc>
              <w:tc>
                <w:tcPr>
                  <w:tcW w:w="417" w:type="dxa"/>
                  <w:vAlign w:val="center"/>
                </w:tcPr>
                <w:p w14:paraId="64D108B1">
                  <w:pPr>
                    <w:spacing w:line="0" w:lineRule="atLeast"/>
                    <w:ind w:left="-105" w:leftChars="-50" w:right="-105" w:rightChars="-50"/>
                    <w:jc w:val="center"/>
                    <w:rPr>
                      <w:rFonts w:hint="eastAsia"/>
                      <w:color w:val="000000"/>
                      <w:szCs w:val="21"/>
                    </w:rPr>
                  </w:pPr>
                  <w:r>
                    <w:rPr>
                      <w:rFonts w:hint="eastAsia"/>
                      <w:color w:val="000000"/>
                      <w:szCs w:val="21"/>
                    </w:rPr>
                    <w:t>3</w:t>
                  </w:r>
                </w:p>
              </w:tc>
              <w:tc>
                <w:tcPr>
                  <w:tcW w:w="417" w:type="dxa"/>
                  <w:vAlign w:val="center"/>
                </w:tcPr>
                <w:p w14:paraId="1E2CAA8F">
                  <w:pPr>
                    <w:spacing w:line="0" w:lineRule="atLeast"/>
                    <w:ind w:left="-105" w:leftChars="-50" w:right="-105" w:rightChars="-50"/>
                    <w:jc w:val="center"/>
                    <w:rPr>
                      <w:rFonts w:hint="eastAsia"/>
                      <w:color w:val="000000"/>
                      <w:szCs w:val="21"/>
                    </w:rPr>
                  </w:pPr>
                  <w:r>
                    <w:rPr>
                      <w:rFonts w:hint="eastAsia"/>
                      <w:color w:val="000000"/>
                      <w:szCs w:val="21"/>
                    </w:rPr>
                    <w:t>5</w:t>
                  </w:r>
                </w:p>
              </w:tc>
              <w:tc>
                <w:tcPr>
                  <w:tcW w:w="417" w:type="dxa"/>
                  <w:vAlign w:val="center"/>
                </w:tcPr>
                <w:p w14:paraId="08136AD6">
                  <w:pPr>
                    <w:spacing w:line="0" w:lineRule="atLeast"/>
                    <w:ind w:left="-105" w:leftChars="-50" w:right="-105" w:rightChars="-50"/>
                    <w:jc w:val="center"/>
                    <w:rPr>
                      <w:rFonts w:hint="eastAsia"/>
                      <w:color w:val="000000"/>
                      <w:szCs w:val="21"/>
                    </w:rPr>
                  </w:pPr>
                  <w:r>
                    <w:rPr>
                      <w:rFonts w:hint="eastAsia"/>
                      <w:color w:val="000000"/>
                      <w:szCs w:val="21"/>
                    </w:rPr>
                    <w:t>5</w:t>
                  </w:r>
                </w:p>
              </w:tc>
              <w:tc>
                <w:tcPr>
                  <w:tcW w:w="417" w:type="dxa"/>
                  <w:vAlign w:val="center"/>
                </w:tcPr>
                <w:p w14:paraId="1AD2F41D">
                  <w:pPr>
                    <w:spacing w:line="0" w:lineRule="atLeast"/>
                    <w:ind w:left="-105" w:leftChars="-50" w:right="-105" w:rightChars="-50"/>
                    <w:jc w:val="center"/>
                    <w:rPr>
                      <w:rFonts w:hint="eastAsia"/>
                      <w:color w:val="000000"/>
                      <w:szCs w:val="21"/>
                    </w:rPr>
                  </w:pPr>
                  <w:r>
                    <w:rPr>
                      <w:rFonts w:hint="eastAsia"/>
                      <w:color w:val="000000"/>
                      <w:szCs w:val="21"/>
                    </w:rPr>
                    <w:t>8</w:t>
                  </w:r>
                </w:p>
              </w:tc>
              <w:tc>
                <w:tcPr>
                  <w:tcW w:w="418" w:type="dxa"/>
                  <w:vAlign w:val="center"/>
                </w:tcPr>
                <w:p w14:paraId="4D83E584">
                  <w:pPr>
                    <w:spacing w:line="0" w:lineRule="atLeast"/>
                    <w:ind w:left="-105" w:leftChars="-50" w:right="-105" w:rightChars="-50"/>
                    <w:jc w:val="center"/>
                    <w:rPr>
                      <w:rFonts w:hint="eastAsia"/>
                      <w:color w:val="000000"/>
                      <w:szCs w:val="21"/>
                    </w:rPr>
                  </w:pPr>
                  <w:r>
                    <w:rPr>
                      <w:rFonts w:hint="eastAsia"/>
                      <w:color w:val="000000"/>
                      <w:szCs w:val="21"/>
                    </w:rPr>
                    <w:t>8</w:t>
                  </w:r>
                </w:p>
              </w:tc>
              <w:tc>
                <w:tcPr>
                  <w:tcW w:w="418" w:type="dxa"/>
                  <w:vAlign w:val="center"/>
                </w:tcPr>
                <w:p w14:paraId="6E9D1459">
                  <w:pPr>
                    <w:spacing w:line="0" w:lineRule="atLeast"/>
                    <w:ind w:left="-105" w:leftChars="-50" w:right="-105" w:rightChars="-50"/>
                    <w:jc w:val="center"/>
                    <w:rPr>
                      <w:rFonts w:hint="eastAsia"/>
                      <w:color w:val="000000"/>
                      <w:szCs w:val="21"/>
                    </w:rPr>
                  </w:pPr>
                  <w:r>
                    <w:rPr>
                      <w:rFonts w:hint="eastAsia"/>
                      <w:color w:val="000000"/>
                      <w:szCs w:val="21"/>
                    </w:rPr>
                    <w:t>3</w:t>
                  </w:r>
                </w:p>
              </w:tc>
              <w:tc>
                <w:tcPr>
                  <w:tcW w:w="418" w:type="dxa"/>
                  <w:vAlign w:val="center"/>
                </w:tcPr>
                <w:p w14:paraId="1405FA2B">
                  <w:pPr>
                    <w:spacing w:line="0" w:lineRule="atLeast"/>
                    <w:ind w:left="-105" w:leftChars="-50" w:right="-105" w:rightChars="-50"/>
                    <w:jc w:val="center"/>
                    <w:rPr>
                      <w:rFonts w:hint="eastAsia"/>
                      <w:color w:val="000000"/>
                      <w:szCs w:val="21"/>
                    </w:rPr>
                  </w:pPr>
                  <w:r>
                    <w:rPr>
                      <w:rFonts w:hint="eastAsia"/>
                      <w:color w:val="000000"/>
                      <w:szCs w:val="21"/>
                    </w:rPr>
                    <w:t>4</w:t>
                  </w:r>
                </w:p>
              </w:tc>
              <w:tc>
                <w:tcPr>
                  <w:tcW w:w="418" w:type="dxa"/>
                  <w:vAlign w:val="center"/>
                </w:tcPr>
                <w:p w14:paraId="28D2E284">
                  <w:pPr>
                    <w:spacing w:line="0" w:lineRule="atLeast"/>
                    <w:ind w:left="-105" w:leftChars="-50" w:right="-105" w:rightChars="-50"/>
                    <w:jc w:val="center"/>
                    <w:rPr>
                      <w:rFonts w:hint="eastAsia"/>
                      <w:color w:val="000000"/>
                      <w:szCs w:val="21"/>
                    </w:rPr>
                  </w:pPr>
                  <w:r>
                    <w:rPr>
                      <w:rFonts w:hint="eastAsia"/>
                      <w:color w:val="000000"/>
                      <w:szCs w:val="21"/>
                    </w:rPr>
                    <w:t>4</w:t>
                  </w:r>
                </w:p>
              </w:tc>
              <w:tc>
                <w:tcPr>
                  <w:tcW w:w="418" w:type="dxa"/>
                  <w:vAlign w:val="center"/>
                </w:tcPr>
                <w:p w14:paraId="4710CD6D">
                  <w:pPr>
                    <w:spacing w:line="0" w:lineRule="atLeast"/>
                    <w:ind w:left="-105" w:leftChars="-50" w:right="-105" w:rightChars="-50"/>
                    <w:jc w:val="center"/>
                    <w:rPr>
                      <w:rFonts w:hint="eastAsia"/>
                      <w:color w:val="000000"/>
                      <w:szCs w:val="21"/>
                    </w:rPr>
                  </w:pPr>
                  <w:r>
                    <w:rPr>
                      <w:rFonts w:hint="eastAsia"/>
                      <w:color w:val="000000"/>
                      <w:szCs w:val="21"/>
                    </w:rPr>
                    <w:t>8</w:t>
                  </w:r>
                </w:p>
              </w:tc>
              <w:tc>
                <w:tcPr>
                  <w:tcW w:w="418" w:type="dxa"/>
                  <w:vAlign w:val="center"/>
                </w:tcPr>
                <w:p w14:paraId="3C759E44">
                  <w:pPr>
                    <w:spacing w:line="0" w:lineRule="atLeast"/>
                    <w:ind w:left="-105" w:leftChars="-50" w:right="-105" w:rightChars="-50"/>
                    <w:jc w:val="center"/>
                    <w:rPr>
                      <w:rFonts w:hint="eastAsia"/>
                      <w:color w:val="000000"/>
                      <w:szCs w:val="21"/>
                    </w:rPr>
                  </w:pPr>
                  <w:r>
                    <w:rPr>
                      <w:rFonts w:hint="eastAsia"/>
                      <w:color w:val="000000"/>
                      <w:szCs w:val="21"/>
                    </w:rPr>
                    <w:t>11</w:t>
                  </w:r>
                </w:p>
              </w:tc>
              <w:tc>
                <w:tcPr>
                  <w:tcW w:w="418" w:type="dxa"/>
                  <w:vAlign w:val="center"/>
                </w:tcPr>
                <w:p w14:paraId="10C97E90">
                  <w:pPr>
                    <w:spacing w:line="0" w:lineRule="atLeast"/>
                    <w:ind w:left="-105" w:leftChars="-50" w:right="-105" w:rightChars="-50"/>
                    <w:jc w:val="center"/>
                    <w:rPr>
                      <w:rFonts w:hint="eastAsia"/>
                      <w:color w:val="000000"/>
                      <w:szCs w:val="21"/>
                    </w:rPr>
                  </w:pPr>
                  <w:r>
                    <w:rPr>
                      <w:rFonts w:hint="eastAsia"/>
                      <w:color w:val="000000"/>
                      <w:szCs w:val="21"/>
                    </w:rPr>
                    <w:t>16</w:t>
                  </w:r>
                </w:p>
              </w:tc>
              <w:tc>
                <w:tcPr>
                  <w:tcW w:w="418" w:type="dxa"/>
                  <w:vAlign w:val="center"/>
                </w:tcPr>
                <w:p w14:paraId="4108A708">
                  <w:pPr>
                    <w:spacing w:line="0" w:lineRule="atLeast"/>
                    <w:ind w:left="-105" w:leftChars="-50" w:right="-105" w:rightChars="-50"/>
                    <w:jc w:val="center"/>
                    <w:rPr>
                      <w:rFonts w:hint="eastAsia"/>
                      <w:color w:val="000000"/>
                      <w:szCs w:val="21"/>
                    </w:rPr>
                  </w:pPr>
                  <w:r>
                    <w:rPr>
                      <w:rFonts w:hint="eastAsia"/>
                      <w:color w:val="000000"/>
                      <w:szCs w:val="21"/>
                    </w:rPr>
                    <w:t>8</w:t>
                  </w:r>
                </w:p>
              </w:tc>
              <w:tc>
                <w:tcPr>
                  <w:tcW w:w="418" w:type="dxa"/>
                  <w:vAlign w:val="center"/>
                </w:tcPr>
                <w:p w14:paraId="253E50A2">
                  <w:pPr>
                    <w:spacing w:line="0" w:lineRule="atLeast"/>
                    <w:ind w:left="-105" w:leftChars="-50" w:right="-105" w:rightChars="-50"/>
                    <w:jc w:val="center"/>
                    <w:rPr>
                      <w:rFonts w:hint="eastAsia"/>
                      <w:color w:val="000000"/>
                      <w:szCs w:val="21"/>
                    </w:rPr>
                  </w:pPr>
                  <w:r>
                    <w:rPr>
                      <w:rFonts w:hint="eastAsia"/>
                      <w:color w:val="000000"/>
                      <w:szCs w:val="21"/>
                    </w:rPr>
                    <w:t>5</w:t>
                  </w:r>
                </w:p>
              </w:tc>
              <w:tc>
                <w:tcPr>
                  <w:tcW w:w="418" w:type="dxa"/>
                  <w:vAlign w:val="center"/>
                </w:tcPr>
                <w:p w14:paraId="264DB807">
                  <w:pPr>
                    <w:spacing w:line="0" w:lineRule="atLeast"/>
                    <w:ind w:left="-105" w:leftChars="-50" w:right="-105" w:rightChars="-50"/>
                    <w:jc w:val="center"/>
                    <w:rPr>
                      <w:rFonts w:hint="eastAsia"/>
                      <w:color w:val="000000"/>
                      <w:szCs w:val="21"/>
                    </w:rPr>
                  </w:pPr>
                  <w:r>
                    <w:rPr>
                      <w:rFonts w:hint="eastAsia"/>
                      <w:color w:val="000000"/>
                      <w:szCs w:val="21"/>
                    </w:rPr>
                    <w:t>4</w:t>
                  </w:r>
                </w:p>
              </w:tc>
              <w:tc>
                <w:tcPr>
                  <w:tcW w:w="418" w:type="dxa"/>
                  <w:vAlign w:val="center"/>
                </w:tcPr>
                <w:p w14:paraId="676C0580">
                  <w:pPr>
                    <w:spacing w:line="0" w:lineRule="atLeast"/>
                    <w:ind w:left="-105" w:leftChars="-50" w:right="-105" w:rightChars="-50"/>
                    <w:jc w:val="center"/>
                    <w:rPr>
                      <w:rFonts w:hint="eastAsia"/>
                      <w:color w:val="000000"/>
                      <w:szCs w:val="21"/>
                    </w:rPr>
                  </w:pPr>
                  <w:r>
                    <w:rPr>
                      <w:rFonts w:hint="eastAsia"/>
                      <w:color w:val="000000"/>
                      <w:szCs w:val="21"/>
                    </w:rPr>
                    <w:t>3</w:t>
                  </w:r>
                </w:p>
              </w:tc>
            </w:tr>
            <w:tr w14:paraId="53359C3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570" w:type="dxa"/>
                  <w:vMerge w:val="restart"/>
                  <w:vAlign w:val="center"/>
                </w:tcPr>
                <w:p w14:paraId="15EB8D94">
                  <w:pPr>
                    <w:spacing w:line="0" w:lineRule="atLeast"/>
                    <w:jc w:val="center"/>
                    <w:rPr>
                      <w:color w:val="000000"/>
                      <w:szCs w:val="21"/>
                    </w:rPr>
                  </w:pPr>
                  <w:r>
                    <w:rPr>
                      <w:rFonts w:hint="eastAsia"/>
                      <w:color w:val="000000"/>
                      <w:szCs w:val="21"/>
                    </w:rPr>
                    <w:t>风能频率</w:t>
                  </w:r>
                </w:p>
              </w:tc>
              <w:tc>
                <w:tcPr>
                  <w:tcW w:w="1119" w:type="dxa"/>
                  <w:vAlign w:val="center"/>
                </w:tcPr>
                <w:p w14:paraId="6A83646E">
                  <w:pPr>
                    <w:spacing w:line="0" w:lineRule="atLeast"/>
                    <w:jc w:val="center"/>
                    <w:rPr>
                      <w:rFonts w:hint="eastAsia"/>
                      <w:color w:val="000000"/>
                      <w:szCs w:val="21"/>
                    </w:rPr>
                  </w:pPr>
                  <w:r>
                    <w:rPr>
                      <w:rFonts w:hint="eastAsia"/>
                      <w:color w:val="000000"/>
                      <w:szCs w:val="21"/>
                    </w:rPr>
                    <w:t>90</w:t>
                  </w:r>
                </w:p>
              </w:tc>
              <w:tc>
                <w:tcPr>
                  <w:tcW w:w="417" w:type="dxa"/>
                  <w:vAlign w:val="center"/>
                </w:tcPr>
                <w:p w14:paraId="12764795">
                  <w:pPr>
                    <w:spacing w:line="0" w:lineRule="atLeast"/>
                    <w:ind w:left="-105" w:leftChars="-50" w:right="-105" w:rightChars="-50"/>
                    <w:jc w:val="center"/>
                    <w:rPr>
                      <w:rFonts w:hint="eastAsia"/>
                      <w:color w:val="000000"/>
                      <w:szCs w:val="21"/>
                    </w:rPr>
                  </w:pPr>
                  <w:r>
                    <w:rPr>
                      <w:rFonts w:hint="eastAsia"/>
                      <w:color w:val="000000"/>
                      <w:szCs w:val="21"/>
                    </w:rPr>
                    <w:t>3</w:t>
                  </w:r>
                </w:p>
              </w:tc>
              <w:tc>
                <w:tcPr>
                  <w:tcW w:w="417" w:type="dxa"/>
                  <w:vAlign w:val="center"/>
                </w:tcPr>
                <w:p w14:paraId="21E6D6A5">
                  <w:pPr>
                    <w:spacing w:line="0" w:lineRule="atLeast"/>
                    <w:ind w:left="-105" w:leftChars="-50" w:right="-105" w:rightChars="-50"/>
                    <w:jc w:val="center"/>
                    <w:rPr>
                      <w:rFonts w:hint="eastAsia"/>
                      <w:color w:val="000000"/>
                      <w:szCs w:val="21"/>
                    </w:rPr>
                  </w:pPr>
                  <w:r>
                    <w:rPr>
                      <w:rFonts w:hint="eastAsia"/>
                      <w:color w:val="000000"/>
                      <w:szCs w:val="21"/>
                    </w:rPr>
                    <w:t>2</w:t>
                  </w:r>
                </w:p>
              </w:tc>
              <w:tc>
                <w:tcPr>
                  <w:tcW w:w="417" w:type="dxa"/>
                  <w:vAlign w:val="center"/>
                </w:tcPr>
                <w:p w14:paraId="6EDCE5B9">
                  <w:pPr>
                    <w:spacing w:line="0" w:lineRule="atLeast"/>
                    <w:ind w:left="-105" w:leftChars="-50" w:right="-105" w:rightChars="-50"/>
                    <w:jc w:val="center"/>
                    <w:rPr>
                      <w:rFonts w:hint="eastAsia"/>
                      <w:color w:val="000000"/>
                      <w:szCs w:val="21"/>
                    </w:rPr>
                  </w:pPr>
                  <w:r>
                    <w:rPr>
                      <w:rFonts w:hint="eastAsia"/>
                      <w:color w:val="000000"/>
                      <w:szCs w:val="21"/>
                    </w:rPr>
                    <w:t>3</w:t>
                  </w:r>
                </w:p>
              </w:tc>
              <w:tc>
                <w:tcPr>
                  <w:tcW w:w="417" w:type="dxa"/>
                  <w:vAlign w:val="center"/>
                </w:tcPr>
                <w:p w14:paraId="4896919C">
                  <w:pPr>
                    <w:spacing w:line="0" w:lineRule="atLeast"/>
                    <w:ind w:left="-105" w:leftChars="-50" w:right="-105" w:rightChars="-50"/>
                    <w:jc w:val="center"/>
                    <w:rPr>
                      <w:rFonts w:hint="eastAsia"/>
                      <w:color w:val="000000"/>
                      <w:szCs w:val="21"/>
                    </w:rPr>
                  </w:pPr>
                  <w:r>
                    <w:rPr>
                      <w:rFonts w:hint="eastAsia"/>
                      <w:color w:val="000000"/>
                      <w:szCs w:val="21"/>
                    </w:rPr>
                    <w:t>6</w:t>
                  </w:r>
                </w:p>
              </w:tc>
              <w:tc>
                <w:tcPr>
                  <w:tcW w:w="417" w:type="dxa"/>
                  <w:vAlign w:val="center"/>
                </w:tcPr>
                <w:p w14:paraId="5BF9CEF8">
                  <w:pPr>
                    <w:spacing w:line="0" w:lineRule="atLeast"/>
                    <w:ind w:left="-105" w:leftChars="-50" w:right="-105" w:rightChars="-50"/>
                    <w:jc w:val="center"/>
                    <w:rPr>
                      <w:rFonts w:hint="eastAsia"/>
                      <w:color w:val="000000"/>
                      <w:szCs w:val="21"/>
                    </w:rPr>
                  </w:pPr>
                  <w:r>
                    <w:rPr>
                      <w:rFonts w:hint="eastAsia"/>
                      <w:color w:val="000000"/>
                      <w:szCs w:val="21"/>
                    </w:rPr>
                    <w:t>5</w:t>
                  </w:r>
                </w:p>
              </w:tc>
              <w:tc>
                <w:tcPr>
                  <w:tcW w:w="417" w:type="dxa"/>
                  <w:vAlign w:val="center"/>
                </w:tcPr>
                <w:p w14:paraId="7D9867B0">
                  <w:pPr>
                    <w:spacing w:line="0" w:lineRule="atLeast"/>
                    <w:ind w:left="-105" w:leftChars="-50" w:right="-105" w:rightChars="-50"/>
                    <w:jc w:val="center"/>
                    <w:rPr>
                      <w:rFonts w:hint="eastAsia"/>
                      <w:color w:val="000000"/>
                      <w:szCs w:val="21"/>
                    </w:rPr>
                  </w:pPr>
                  <w:r>
                    <w:rPr>
                      <w:rFonts w:hint="eastAsia"/>
                      <w:color w:val="000000"/>
                      <w:szCs w:val="21"/>
                    </w:rPr>
                    <w:t>3</w:t>
                  </w:r>
                </w:p>
              </w:tc>
              <w:tc>
                <w:tcPr>
                  <w:tcW w:w="418" w:type="dxa"/>
                  <w:vAlign w:val="center"/>
                </w:tcPr>
                <w:p w14:paraId="473936D8">
                  <w:pPr>
                    <w:spacing w:line="0" w:lineRule="atLeast"/>
                    <w:ind w:left="-105" w:leftChars="-50" w:right="-105" w:rightChars="-50"/>
                    <w:jc w:val="center"/>
                    <w:rPr>
                      <w:rFonts w:hint="eastAsia"/>
                      <w:color w:val="000000"/>
                      <w:szCs w:val="21"/>
                    </w:rPr>
                  </w:pPr>
                  <w:r>
                    <w:rPr>
                      <w:rFonts w:hint="eastAsia"/>
                      <w:color w:val="000000"/>
                      <w:szCs w:val="21"/>
                    </w:rPr>
                    <w:t>5</w:t>
                  </w:r>
                </w:p>
              </w:tc>
              <w:tc>
                <w:tcPr>
                  <w:tcW w:w="418" w:type="dxa"/>
                  <w:vAlign w:val="center"/>
                </w:tcPr>
                <w:p w14:paraId="1833D675">
                  <w:pPr>
                    <w:spacing w:line="0" w:lineRule="atLeast"/>
                    <w:ind w:left="-105" w:leftChars="-50" w:right="-105" w:rightChars="-50"/>
                    <w:jc w:val="center"/>
                    <w:rPr>
                      <w:rFonts w:hint="eastAsia"/>
                      <w:color w:val="000000"/>
                      <w:szCs w:val="21"/>
                    </w:rPr>
                  </w:pPr>
                  <w:r>
                    <w:rPr>
                      <w:rFonts w:hint="eastAsia"/>
                      <w:color w:val="000000"/>
                      <w:szCs w:val="21"/>
                    </w:rPr>
                    <w:t>3</w:t>
                  </w:r>
                </w:p>
              </w:tc>
              <w:tc>
                <w:tcPr>
                  <w:tcW w:w="418" w:type="dxa"/>
                  <w:vAlign w:val="center"/>
                </w:tcPr>
                <w:p w14:paraId="1BFE1A43">
                  <w:pPr>
                    <w:spacing w:line="0" w:lineRule="atLeast"/>
                    <w:ind w:left="-105" w:leftChars="-50" w:right="-105" w:rightChars="-50"/>
                    <w:jc w:val="center"/>
                    <w:rPr>
                      <w:rFonts w:hint="eastAsia"/>
                      <w:color w:val="000000"/>
                      <w:szCs w:val="21"/>
                    </w:rPr>
                  </w:pPr>
                  <w:r>
                    <w:rPr>
                      <w:rFonts w:hint="eastAsia"/>
                      <w:color w:val="000000"/>
                      <w:szCs w:val="21"/>
                    </w:rPr>
                    <w:t>4</w:t>
                  </w:r>
                </w:p>
              </w:tc>
              <w:tc>
                <w:tcPr>
                  <w:tcW w:w="418" w:type="dxa"/>
                  <w:vAlign w:val="center"/>
                </w:tcPr>
                <w:p w14:paraId="1BC93933">
                  <w:pPr>
                    <w:spacing w:line="0" w:lineRule="atLeast"/>
                    <w:ind w:left="-105" w:leftChars="-50" w:right="-105" w:rightChars="-50"/>
                    <w:jc w:val="center"/>
                    <w:rPr>
                      <w:rFonts w:hint="eastAsia"/>
                      <w:color w:val="000000"/>
                      <w:szCs w:val="21"/>
                    </w:rPr>
                  </w:pPr>
                  <w:r>
                    <w:rPr>
                      <w:rFonts w:hint="eastAsia"/>
                      <w:color w:val="000000"/>
                      <w:szCs w:val="21"/>
                    </w:rPr>
                    <w:t>6</w:t>
                  </w:r>
                </w:p>
              </w:tc>
              <w:tc>
                <w:tcPr>
                  <w:tcW w:w="418" w:type="dxa"/>
                  <w:vAlign w:val="center"/>
                </w:tcPr>
                <w:p w14:paraId="377CE615">
                  <w:pPr>
                    <w:spacing w:line="0" w:lineRule="atLeast"/>
                    <w:ind w:left="-105" w:leftChars="-50" w:right="-105" w:rightChars="-50"/>
                    <w:jc w:val="center"/>
                    <w:rPr>
                      <w:rFonts w:hint="eastAsia"/>
                      <w:color w:val="000000"/>
                      <w:szCs w:val="21"/>
                    </w:rPr>
                  </w:pPr>
                  <w:r>
                    <w:rPr>
                      <w:rFonts w:hint="eastAsia"/>
                      <w:color w:val="000000"/>
                      <w:szCs w:val="21"/>
                    </w:rPr>
                    <w:t>11</w:t>
                  </w:r>
                </w:p>
              </w:tc>
              <w:tc>
                <w:tcPr>
                  <w:tcW w:w="418" w:type="dxa"/>
                  <w:vAlign w:val="center"/>
                </w:tcPr>
                <w:p w14:paraId="2BFA5887">
                  <w:pPr>
                    <w:spacing w:line="0" w:lineRule="atLeast"/>
                    <w:ind w:left="-105" w:leftChars="-50" w:right="-105" w:rightChars="-50"/>
                    <w:jc w:val="center"/>
                    <w:rPr>
                      <w:rFonts w:hint="eastAsia"/>
                      <w:color w:val="000000"/>
                      <w:szCs w:val="21"/>
                    </w:rPr>
                  </w:pPr>
                  <w:r>
                    <w:rPr>
                      <w:rFonts w:hint="eastAsia"/>
                      <w:color w:val="000000"/>
                      <w:szCs w:val="21"/>
                    </w:rPr>
                    <w:t>14</w:t>
                  </w:r>
                </w:p>
              </w:tc>
              <w:tc>
                <w:tcPr>
                  <w:tcW w:w="418" w:type="dxa"/>
                  <w:vAlign w:val="center"/>
                </w:tcPr>
                <w:p w14:paraId="1793DF5A">
                  <w:pPr>
                    <w:spacing w:line="0" w:lineRule="atLeast"/>
                    <w:ind w:left="-105" w:leftChars="-50" w:right="-105" w:rightChars="-50"/>
                    <w:jc w:val="center"/>
                    <w:rPr>
                      <w:rFonts w:hint="eastAsia"/>
                      <w:color w:val="000000"/>
                      <w:szCs w:val="21"/>
                    </w:rPr>
                  </w:pPr>
                  <w:r>
                    <w:rPr>
                      <w:rFonts w:hint="eastAsia"/>
                      <w:color w:val="000000"/>
                      <w:szCs w:val="21"/>
                    </w:rPr>
                    <w:t>20</w:t>
                  </w:r>
                </w:p>
              </w:tc>
              <w:tc>
                <w:tcPr>
                  <w:tcW w:w="418" w:type="dxa"/>
                  <w:vAlign w:val="center"/>
                </w:tcPr>
                <w:p w14:paraId="02C193A5">
                  <w:pPr>
                    <w:spacing w:line="0" w:lineRule="atLeast"/>
                    <w:ind w:left="-105" w:leftChars="-50" w:right="-105" w:rightChars="-50"/>
                    <w:jc w:val="center"/>
                    <w:rPr>
                      <w:rFonts w:hint="eastAsia"/>
                      <w:color w:val="000000"/>
                      <w:szCs w:val="21"/>
                    </w:rPr>
                  </w:pPr>
                  <w:r>
                    <w:rPr>
                      <w:rFonts w:hint="eastAsia"/>
                      <w:color w:val="000000"/>
                      <w:szCs w:val="21"/>
                    </w:rPr>
                    <w:t>9</w:t>
                  </w:r>
                </w:p>
              </w:tc>
              <w:tc>
                <w:tcPr>
                  <w:tcW w:w="418" w:type="dxa"/>
                  <w:vAlign w:val="center"/>
                </w:tcPr>
                <w:p w14:paraId="7C0F6BC6">
                  <w:pPr>
                    <w:spacing w:line="0" w:lineRule="atLeast"/>
                    <w:ind w:left="-105" w:leftChars="-50" w:right="-105" w:rightChars="-50"/>
                    <w:jc w:val="center"/>
                    <w:rPr>
                      <w:rFonts w:hint="eastAsia"/>
                      <w:color w:val="000000"/>
                      <w:szCs w:val="21"/>
                    </w:rPr>
                  </w:pPr>
                  <w:r>
                    <w:rPr>
                      <w:rFonts w:hint="eastAsia"/>
                      <w:color w:val="000000"/>
                      <w:szCs w:val="21"/>
                    </w:rPr>
                    <w:t>5</w:t>
                  </w:r>
                </w:p>
              </w:tc>
              <w:tc>
                <w:tcPr>
                  <w:tcW w:w="418" w:type="dxa"/>
                  <w:vAlign w:val="center"/>
                </w:tcPr>
                <w:p w14:paraId="7F2CFF5C">
                  <w:pPr>
                    <w:spacing w:line="0" w:lineRule="atLeast"/>
                    <w:ind w:left="-105" w:leftChars="-50" w:right="-105" w:rightChars="-50"/>
                    <w:jc w:val="center"/>
                    <w:rPr>
                      <w:rFonts w:hint="eastAsia"/>
                      <w:color w:val="000000"/>
                      <w:szCs w:val="21"/>
                    </w:rPr>
                  </w:pPr>
                  <w:r>
                    <w:rPr>
                      <w:rFonts w:hint="eastAsia"/>
                      <w:color w:val="000000"/>
                      <w:szCs w:val="21"/>
                    </w:rPr>
                    <w:t>3</w:t>
                  </w:r>
                </w:p>
              </w:tc>
              <w:tc>
                <w:tcPr>
                  <w:tcW w:w="418" w:type="dxa"/>
                  <w:vAlign w:val="center"/>
                </w:tcPr>
                <w:p w14:paraId="4E2B1FBE">
                  <w:pPr>
                    <w:spacing w:line="0" w:lineRule="atLeast"/>
                    <w:ind w:left="-105" w:leftChars="-50" w:right="-105" w:rightChars="-50"/>
                    <w:jc w:val="center"/>
                    <w:rPr>
                      <w:rFonts w:hint="eastAsia"/>
                      <w:color w:val="000000"/>
                      <w:szCs w:val="21"/>
                    </w:rPr>
                  </w:pPr>
                  <w:r>
                    <w:rPr>
                      <w:rFonts w:hint="eastAsia"/>
                      <w:color w:val="000000"/>
                      <w:szCs w:val="21"/>
                    </w:rPr>
                    <w:t>0</w:t>
                  </w:r>
                </w:p>
              </w:tc>
            </w:tr>
            <w:tr w14:paraId="3883CD5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570" w:type="dxa"/>
                  <w:vMerge w:val="continue"/>
                  <w:vAlign w:val="center"/>
                </w:tcPr>
                <w:p w14:paraId="04136EEB">
                  <w:pPr>
                    <w:spacing w:line="0" w:lineRule="atLeast"/>
                    <w:jc w:val="center"/>
                    <w:rPr>
                      <w:color w:val="000000"/>
                      <w:szCs w:val="21"/>
                    </w:rPr>
                  </w:pPr>
                </w:p>
              </w:tc>
              <w:tc>
                <w:tcPr>
                  <w:tcW w:w="1119" w:type="dxa"/>
                  <w:vAlign w:val="center"/>
                </w:tcPr>
                <w:p w14:paraId="4BE6B853">
                  <w:pPr>
                    <w:spacing w:line="0" w:lineRule="atLeast"/>
                    <w:jc w:val="center"/>
                    <w:rPr>
                      <w:rFonts w:hint="eastAsia"/>
                      <w:color w:val="000000"/>
                      <w:szCs w:val="21"/>
                    </w:rPr>
                  </w:pPr>
                  <w:r>
                    <w:rPr>
                      <w:rFonts w:hint="eastAsia"/>
                      <w:color w:val="000000"/>
                      <w:szCs w:val="21"/>
                    </w:rPr>
                    <w:t>10</w:t>
                  </w:r>
                </w:p>
              </w:tc>
              <w:tc>
                <w:tcPr>
                  <w:tcW w:w="417" w:type="dxa"/>
                  <w:vAlign w:val="center"/>
                </w:tcPr>
                <w:p w14:paraId="70E3839B">
                  <w:pPr>
                    <w:spacing w:line="0" w:lineRule="atLeast"/>
                    <w:ind w:left="-105" w:leftChars="-50" w:right="-105" w:rightChars="-50"/>
                    <w:jc w:val="center"/>
                    <w:rPr>
                      <w:rFonts w:hint="eastAsia"/>
                      <w:color w:val="000000"/>
                      <w:szCs w:val="21"/>
                    </w:rPr>
                  </w:pPr>
                  <w:r>
                    <w:rPr>
                      <w:rFonts w:hint="eastAsia"/>
                      <w:color w:val="000000"/>
                      <w:szCs w:val="21"/>
                    </w:rPr>
                    <w:t>3</w:t>
                  </w:r>
                </w:p>
              </w:tc>
              <w:tc>
                <w:tcPr>
                  <w:tcW w:w="417" w:type="dxa"/>
                  <w:vAlign w:val="center"/>
                </w:tcPr>
                <w:p w14:paraId="457671F6">
                  <w:pPr>
                    <w:spacing w:line="0" w:lineRule="atLeast"/>
                    <w:ind w:left="-105" w:leftChars="-50" w:right="-105" w:rightChars="-50"/>
                    <w:jc w:val="center"/>
                    <w:rPr>
                      <w:rFonts w:hint="eastAsia"/>
                      <w:color w:val="000000"/>
                      <w:szCs w:val="21"/>
                    </w:rPr>
                  </w:pPr>
                  <w:r>
                    <w:rPr>
                      <w:rFonts w:hint="eastAsia"/>
                      <w:color w:val="000000"/>
                      <w:szCs w:val="21"/>
                    </w:rPr>
                    <w:t>2</w:t>
                  </w:r>
                </w:p>
              </w:tc>
              <w:tc>
                <w:tcPr>
                  <w:tcW w:w="417" w:type="dxa"/>
                  <w:vAlign w:val="center"/>
                </w:tcPr>
                <w:p w14:paraId="775F4FF2">
                  <w:pPr>
                    <w:spacing w:line="0" w:lineRule="atLeast"/>
                    <w:ind w:left="-105" w:leftChars="-50" w:right="-105" w:rightChars="-50"/>
                    <w:jc w:val="center"/>
                    <w:rPr>
                      <w:rFonts w:hint="eastAsia"/>
                      <w:color w:val="000000"/>
                      <w:szCs w:val="21"/>
                    </w:rPr>
                  </w:pPr>
                  <w:r>
                    <w:rPr>
                      <w:rFonts w:hint="eastAsia"/>
                      <w:color w:val="000000"/>
                      <w:szCs w:val="21"/>
                    </w:rPr>
                    <w:t>4</w:t>
                  </w:r>
                </w:p>
              </w:tc>
              <w:tc>
                <w:tcPr>
                  <w:tcW w:w="417" w:type="dxa"/>
                  <w:vAlign w:val="center"/>
                </w:tcPr>
                <w:p w14:paraId="250B56B2">
                  <w:pPr>
                    <w:spacing w:line="0" w:lineRule="atLeast"/>
                    <w:ind w:left="-105" w:leftChars="-50" w:right="-105" w:rightChars="-50"/>
                    <w:jc w:val="center"/>
                    <w:rPr>
                      <w:rFonts w:hint="eastAsia"/>
                      <w:color w:val="000000"/>
                      <w:szCs w:val="21"/>
                    </w:rPr>
                  </w:pPr>
                  <w:r>
                    <w:rPr>
                      <w:rFonts w:hint="eastAsia"/>
                      <w:color w:val="000000"/>
                      <w:szCs w:val="21"/>
                    </w:rPr>
                    <w:t>7</w:t>
                  </w:r>
                </w:p>
              </w:tc>
              <w:tc>
                <w:tcPr>
                  <w:tcW w:w="417" w:type="dxa"/>
                  <w:vAlign w:val="center"/>
                </w:tcPr>
                <w:p w14:paraId="7770B8AE">
                  <w:pPr>
                    <w:spacing w:line="0" w:lineRule="atLeast"/>
                    <w:ind w:left="-105" w:leftChars="-50" w:right="-105" w:rightChars="-50"/>
                    <w:jc w:val="center"/>
                    <w:rPr>
                      <w:rFonts w:hint="eastAsia"/>
                      <w:color w:val="000000"/>
                      <w:szCs w:val="21"/>
                    </w:rPr>
                  </w:pPr>
                  <w:r>
                    <w:rPr>
                      <w:rFonts w:hint="eastAsia"/>
                      <w:color w:val="000000"/>
                      <w:szCs w:val="21"/>
                    </w:rPr>
                    <w:t>5</w:t>
                  </w:r>
                </w:p>
              </w:tc>
              <w:tc>
                <w:tcPr>
                  <w:tcW w:w="417" w:type="dxa"/>
                  <w:vAlign w:val="center"/>
                </w:tcPr>
                <w:p w14:paraId="0A22E375">
                  <w:pPr>
                    <w:spacing w:line="0" w:lineRule="atLeast"/>
                    <w:ind w:left="-105" w:leftChars="-50" w:right="-105" w:rightChars="-50"/>
                    <w:jc w:val="center"/>
                    <w:rPr>
                      <w:rFonts w:hint="eastAsia"/>
                      <w:color w:val="000000"/>
                      <w:szCs w:val="21"/>
                    </w:rPr>
                  </w:pPr>
                  <w:r>
                    <w:rPr>
                      <w:rFonts w:hint="eastAsia"/>
                      <w:color w:val="000000"/>
                      <w:szCs w:val="21"/>
                    </w:rPr>
                    <w:t>4</w:t>
                  </w:r>
                </w:p>
              </w:tc>
              <w:tc>
                <w:tcPr>
                  <w:tcW w:w="418" w:type="dxa"/>
                  <w:vAlign w:val="center"/>
                </w:tcPr>
                <w:p w14:paraId="3F9F874A">
                  <w:pPr>
                    <w:spacing w:line="0" w:lineRule="atLeast"/>
                    <w:ind w:left="-105" w:leftChars="-50" w:right="-105" w:rightChars="-50"/>
                    <w:jc w:val="center"/>
                    <w:rPr>
                      <w:rFonts w:hint="eastAsia"/>
                      <w:color w:val="000000"/>
                      <w:szCs w:val="21"/>
                    </w:rPr>
                  </w:pPr>
                  <w:r>
                    <w:rPr>
                      <w:rFonts w:hint="eastAsia"/>
                      <w:color w:val="000000"/>
                      <w:szCs w:val="21"/>
                    </w:rPr>
                    <w:t>4</w:t>
                  </w:r>
                </w:p>
              </w:tc>
              <w:tc>
                <w:tcPr>
                  <w:tcW w:w="418" w:type="dxa"/>
                  <w:vAlign w:val="center"/>
                </w:tcPr>
                <w:p w14:paraId="1E2D415E">
                  <w:pPr>
                    <w:spacing w:line="0" w:lineRule="atLeast"/>
                    <w:ind w:left="-105" w:leftChars="-50" w:right="-105" w:rightChars="-50"/>
                    <w:jc w:val="center"/>
                    <w:rPr>
                      <w:rFonts w:hint="eastAsia"/>
                      <w:color w:val="000000"/>
                      <w:szCs w:val="21"/>
                    </w:rPr>
                  </w:pPr>
                  <w:r>
                    <w:rPr>
                      <w:rFonts w:hint="eastAsia"/>
                      <w:color w:val="000000"/>
                      <w:szCs w:val="21"/>
                    </w:rPr>
                    <w:t>2</w:t>
                  </w:r>
                </w:p>
              </w:tc>
              <w:tc>
                <w:tcPr>
                  <w:tcW w:w="418" w:type="dxa"/>
                  <w:vAlign w:val="center"/>
                </w:tcPr>
                <w:p w14:paraId="5CFB739C">
                  <w:pPr>
                    <w:spacing w:line="0" w:lineRule="atLeast"/>
                    <w:ind w:left="-105" w:leftChars="-50" w:right="-105" w:rightChars="-50"/>
                    <w:jc w:val="center"/>
                    <w:rPr>
                      <w:rFonts w:hint="eastAsia"/>
                      <w:color w:val="000000"/>
                      <w:szCs w:val="21"/>
                    </w:rPr>
                  </w:pPr>
                  <w:r>
                    <w:rPr>
                      <w:rFonts w:hint="eastAsia"/>
                      <w:color w:val="000000"/>
                      <w:szCs w:val="21"/>
                    </w:rPr>
                    <w:t>4</w:t>
                  </w:r>
                </w:p>
              </w:tc>
              <w:tc>
                <w:tcPr>
                  <w:tcW w:w="418" w:type="dxa"/>
                  <w:vAlign w:val="center"/>
                </w:tcPr>
                <w:p w14:paraId="4D30D267">
                  <w:pPr>
                    <w:spacing w:line="0" w:lineRule="atLeast"/>
                    <w:ind w:left="-105" w:leftChars="-50" w:right="-105" w:rightChars="-50"/>
                    <w:jc w:val="center"/>
                    <w:rPr>
                      <w:rFonts w:hint="eastAsia"/>
                      <w:color w:val="000000"/>
                      <w:szCs w:val="21"/>
                    </w:rPr>
                  </w:pPr>
                  <w:r>
                    <w:rPr>
                      <w:rFonts w:hint="eastAsia"/>
                      <w:color w:val="000000"/>
                      <w:szCs w:val="21"/>
                    </w:rPr>
                    <w:t>5</w:t>
                  </w:r>
                </w:p>
              </w:tc>
              <w:tc>
                <w:tcPr>
                  <w:tcW w:w="418" w:type="dxa"/>
                  <w:vAlign w:val="center"/>
                </w:tcPr>
                <w:p w14:paraId="2BA8D27D">
                  <w:pPr>
                    <w:spacing w:line="0" w:lineRule="atLeast"/>
                    <w:ind w:left="-105" w:leftChars="-50" w:right="-105" w:rightChars="-50"/>
                    <w:jc w:val="center"/>
                    <w:rPr>
                      <w:rFonts w:hint="eastAsia"/>
                      <w:color w:val="000000"/>
                      <w:szCs w:val="21"/>
                    </w:rPr>
                  </w:pPr>
                  <w:r>
                    <w:rPr>
                      <w:rFonts w:hint="eastAsia"/>
                      <w:color w:val="000000"/>
                      <w:szCs w:val="21"/>
                    </w:rPr>
                    <w:t>8</w:t>
                  </w:r>
                </w:p>
              </w:tc>
              <w:tc>
                <w:tcPr>
                  <w:tcW w:w="418" w:type="dxa"/>
                  <w:vAlign w:val="center"/>
                </w:tcPr>
                <w:p w14:paraId="5613D585">
                  <w:pPr>
                    <w:spacing w:line="0" w:lineRule="atLeast"/>
                    <w:ind w:left="-105" w:leftChars="-50" w:right="-105" w:rightChars="-50"/>
                    <w:jc w:val="center"/>
                    <w:rPr>
                      <w:rFonts w:hint="eastAsia"/>
                      <w:color w:val="000000"/>
                      <w:szCs w:val="21"/>
                    </w:rPr>
                  </w:pPr>
                  <w:r>
                    <w:rPr>
                      <w:rFonts w:hint="eastAsia"/>
                      <w:color w:val="000000"/>
                      <w:szCs w:val="21"/>
                    </w:rPr>
                    <w:t>11</w:t>
                  </w:r>
                </w:p>
              </w:tc>
              <w:tc>
                <w:tcPr>
                  <w:tcW w:w="418" w:type="dxa"/>
                  <w:vAlign w:val="center"/>
                </w:tcPr>
                <w:p w14:paraId="60374E20">
                  <w:pPr>
                    <w:spacing w:line="0" w:lineRule="atLeast"/>
                    <w:ind w:left="-105" w:leftChars="-50" w:right="-105" w:rightChars="-50"/>
                    <w:jc w:val="center"/>
                    <w:rPr>
                      <w:rFonts w:hint="eastAsia"/>
                      <w:color w:val="000000"/>
                      <w:szCs w:val="21"/>
                    </w:rPr>
                  </w:pPr>
                  <w:r>
                    <w:rPr>
                      <w:rFonts w:hint="eastAsia"/>
                      <w:color w:val="000000"/>
                      <w:szCs w:val="21"/>
                    </w:rPr>
                    <w:t>21</w:t>
                  </w:r>
                </w:p>
              </w:tc>
              <w:tc>
                <w:tcPr>
                  <w:tcW w:w="418" w:type="dxa"/>
                  <w:vAlign w:val="center"/>
                </w:tcPr>
                <w:p w14:paraId="7278B7EA">
                  <w:pPr>
                    <w:spacing w:line="0" w:lineRule="atLeast"/>
                    <w:ind w:left="-105" w:leftChars="-50" w:right="-105" w:rightChars="-50"/>
                    <w:jc w:val="center"/>
                    <w:rPr>
                      <w:rFonts w:hint="eastAsia"/>
                      <w:color w:val="000000"/>
                      <w:szCs w:val="21"/>
                    </w:rPr>
                  </w:pPr>
                  <w:r>
                    <w:rPr>
                      <w:rFonts w:hint="eastAsia"/>
                      <w:color w:val="000000"/>
                      <w:szCs w:val="21"/>
                    </w:rPr>
                    <w:t>10</w:t>
                  </w:r>
                </w:p>
              </w:tc>
              <w:tc>
                <w:tcPr>
                  <w:tcW w:w="418" w:type="dxa"/>
                  <w:vAlign w:val="center"/>
                </w:tcPr>
                <w:p w14:paraId="23C3DE42">
                  <w:pPr>
                    <w:spacing w:line="0" w:lineRule="atLeast"/>
                    <w:ind w:left="-105" w:leftChars="-50" w:right="-105" w:rightChars="-50"/>
                    <w:jc w:val="center"/>
                    <w:rPr>
                      <w:rFonts w:hint="eastAsia"/>
                      <w:color w:val="000000"/>
                      <w:szCs w:val="21"/>
                    </w:rPr>
                  </w:pPr>
                  <w:r>
                    <w:rPr>
                      <w:rFonts w:hint="eastAsia"/>
                      <w:color w:val="000000"/>
                      <w:szCs w:val="21"/>
                    </w:rPr>
                    <w:t>7</w:t>
                  </w:r>
                </w:p>
              </w:tc>
              <w:tc>
                <w:tcPr>
                  <w:tcW w:w="418" w:type="dxa"/>
                  <w:vAlign w:val="center"/>
                </w:tcPr>
                <w:p w14:paraId="0DCAD31C">
                  <w:pPr>
                    <w:spacing w:line="0" w:lineRule="atLeast"/>
                    <w:ind w:left="-105" w:leftChars="-50" w:right="-105" w:rightChars="-50"/>
                    <w:jc w:val="center"/>
                    <w:rPr>
                      <w:rFonts w:hint="eastAsia"/>
                      <w:color w:val="000000"/>
                      <w:szCs w:val="21"/>
                    </w:rPr>
                  </w:pPr>
                  <w:r>
                    <w:rPr>
                      <w:rFonts w:hint="eastAsia"/>
                      <w:color w:val="000000"/>
                      <w:szCs w:val="21"/>
                    </w:rPr>
                    <w:t>4</w:t>
                  </w:r>
                </w:p>
              </w:tc>
              <w:tc>
                <w:tcPr>
                  <w:tcW w:w="418" w:type="dxa"/>
                  <w:vAlign w:val="center"/>
                </w:tcPr>
                <w:p w14:paraId="1356B39D">
                  <w:pPr>
                    <w:spacing w:line="0" w:lineRule="atLeast"/>
                    <w:ind w:left="-105" w:leftChars="-50" w:right="-105" w:rightChars="-50"/>
                    <w:jc w:val="center"/>
                    <w:rPr>
                      <w:rFonts w:hint="eastAsia"/>
                      <w:color w:val="000000"/>
                      <w:szCs w:val="21"/>
                    </w:rPr>
                  </w:pPr>
                  <w:r>
                    <w:rPr>
                      <w:rFonts w:hint="eastAsia"/>
                      <w:color w:val="000000"/>
                      <w:szCs w:val="21"/>
                    </w:rPr>
                    <w:t>0</w:t>
                  </w:r>
                </w:p>
              </w:tc>
            </w:tr>
          </w:tbl>
          <w:p w14:paraId="04C0E328">
            <w:pPr>
              <w:ind w:firstLine="480" w:firstLineChars="200"/>
              <w:rPr>
                <w:rFonts w:hint="eastAsia" w:hAnsi="宋体"/>
                <w:bCs/>
                <w:sz w:val="24"/>
              </w:rPr>
            </w:pPr>
          </w:p>
          <w:p w14:paraId="578F0EAD">
            <w:pPr>
              <w:ind w:firstLine="480" w:firstLineChars="200"/>
              <w:rPr>
                <w:rFonts w:hint="eastAsia" w:hAnsi="宋体"/>
                <w:bCs/>
                <w:sz w:val="24"/>
              </w:rPr>
            </w:pPr>
          </w:p>
          <w:p w14:paraId="5E8D3BC7">
            <w:pPr>
              <w:ind w:firstLine="480" w:firstLineChars="200"/>
              <w:rPr>
                <w:rFonts w:hint="eastAsia" w:hAnsi="宋体"/>
                <w:bCs/>
                <w:sz w:val="24"/>
              </w:rPr>
            </w:pPr>
          </w:p>
          <w:p w14:paraId="77A442D2">
            <w:pPr>
              <w:ind w:firstLine="480" w:firstLineChars="200"/>
              <w:rPr>
                <w:rFonts w:hint="eastAsia" w:hAnsi="宋体"/>
                <w:bCs/>
                <w:sz w:val="24"/>
              </w:rPr>
            </w:pPr>
          </w:p>
          <w:p w14:paraId="74367158">
            <w:pPr>
              <w:ind w:firstLine="480" w:firstLineChars="200"/>
              <w:rPr>
                <w:rFonts w:hint="eastAsia" w:hAnsi="宋体"/>
                <w:bCs/>
                <w:sz w:val="24"/>
              </w:rPr>
            </w:pPr>
          </w:p>
          <w:p w14:paraId="434F994B">
            <w:pPr>
              <w:ind w:firstLine="480" w:firstLineChars="200"/>
              <w:rPr>
                <w:rFonts w:hint="eastAsia" w:hAnsi="宋体"/>
                <w:bCs/>
                <w:sz w:val="24"/>
              </w:rPr>
            </w:pPr>
          </w:p>
          <w:p w14:paraId="1967AA23">
            <w:pPr>
              <w:ind w:firstLine="480" w:firstLineChars="200"/>
              <w:rPr>
                <w:rFonts w:hint="eastAsia" w:hAnsi="宋体"/>
                <w:bCs/>
                <w:sz w:val="24"/>
              </w:rPr>
            </w:pPr>
          </w:p>
          <w:p w14:paraId="0F9A7983">
            <w:pPr>
              <w:ind w:firstLine="480" w:firstLineChars="200"/>
              <w:rPr>
                <w:rFonts w:hint="eastAsia" w:hAnsi="宋体"/>
                <w:bCs/>
                <w:sz w:val="24"/>
              </w:rPr>
            </w:pPr>
          </w:p>
          <w:p w14:paraId="53294CBE">
            <w:pPr>
              <w:ind w:firstLine="482" w:firstLineChars="200"/>
              <w:rPr>
                <w:rFonts w:hint="eastAsia" w:hAnsi="宋体"/>
                <w:bCs/>
                <w:sz w:val="24"/>
              </w:rPr>
            </w:pPr>
            <w:r>
              <w:rPr>
                <w:b/>
                <w:color w:val="000000"/>
                <w:sz w:val="24"/>
                <w:lang w:val="en-US" w:eastAsia="zh-CN"/>
              </w:rPr>
              <w:pict>
                <v:group id="组合 737" o:spid="_x0000_s1040" o:spt="203" style="position:absolute;left:0pt;margin-left:15.55pt;margin-top:12.55pt;height:383.9pt;width:406.7pt;z-index:251665408;mso-width-relative:page;mso-height-relative:page;" coordorigin="1980,1636" coordsize="8134,7678">
                  <o:lock v:ext="edit"/>
                  <v:shape id="图片 738" o:spid="_x0000_s1041" o:spt="75" type="#_x0000_t75" style="position:absolute;left:1980;top:1636;height:4015;width:4260;" filled="f" o:preferrelative="t" stroked="f" coordsize="21600,21600">
                    <v:path/>
                    <v:fill on="f" focussize="0,0"/>
                    <v:stroke on="f" joinstyle="miter"/>
                    <v:imagedata r:id="rId8" cropleft="2621f" croptop="884f" cropright="874f" cropbottom="5523f" o:title=""/>
                    <o:lock v:ext="edit" aspectratio="t"/>
                  </v:shape>
                  <v:shape id="图片 739" o:spid="_x0000_s1042" o:spt="75" type="#_x0000_t75" style="position:absolute;left:6270;top:1861;height:3761;width:3844;" filled="f" o:preferrelative="t" stroked="f" coordsize="21600,21600">
                    <v:path/>
                    <v:fill on="f" focussize="0,0"/>
                    <v:stroke on="f" joinstyle="miter"/>
                    <v:imagedata r:id="rId9" cropleft="850f" croptop="645f" cropright="850f" cropbottom="1719f" o:title=""/>
                    <o:lock v:ext="edit" aspectratio="t"/>
                  </v:shape>
                  <v:shape id="图片 740" o:spid="_x0000_s1043" o:spt="75" type="#_x0000_t75" style="position:absolute;left:2100;top:5686;height:3625;width:3645;" filled="f" o:preferrelative="t" stroked="f" coordsize="21600,21600">
                    <v:path/>
                    <v:fill on="f" focussize="0,0"/>
                    <v:stroke on="f" joinstyle="miter"/>
                    <v:imagedata r:id="rId10" cropleft="1374f" croptop="794f" cropright="1178f" cropbottom="1389f" o:title=""/>
                    <o:lock v:ext="edit" aspectratio="t"/>
                  </v:shape>
                  <v:shape id="图片 741" o:spid="_x0000_s1044" o:spt="75" type="#_x0000_t75" style="position:absolute;left:6390;top:5594;height:3720;width:3710;" filled="f" o:preferrelative="t" stroked="f" coordsize="21600,21600">
                    <v:path/>
                    <v:fill on="f" focussize="0,0"/>
                    <v:stroke on="f" joinstyle="miter"/>
                    <v:imagedata r:id="rId11" cropleft="2554f" croptop="700f" cropright="464f" cropbottom="1866f" o:title=""/>
                    <o:lock v:ext="edit" aspectratio="t"/>
                  </v:shape>
                </v:group>
              </w:pict>
            </w:r>
          </w:p>
          <w:p w14:paraId="7F27E428">
            <w:pPr>
              <w:ind w:firstLine="480" w:firstLineChars="200"/>
              <w:rPr>
                <w:rFonts w:hint="eastAsia" w:hAnsi="宋体"/>
                <w:bCs/>
                <w:sz w:val="24"/>
              </w:rPr>
            </w:pPr>
          </w:p>
          <w:p w14:paraId="6A985E28">
            <w:pPr>
              <w:ind w:firstLine="480" w:firstLineChars="200"/>
              <w:rPr>
                <w:rFonts w:hint="eastAsia" w:hAnsi="宋体"/>
                <w:bCs/>
                <w:sz w:val="24"/>
              </w:rPr>
            </w:pPr>
          </w:p>
          <w:p w14:paraId="26DFE30B">
            <w:pPr>
              <w:ind w:firstLine="480" w:firstLineChars="200"/>
              <w:rPr>
                <w:rFonts w:hint="eastAsia" w:hAnsi="宋体"/>
                <w:bCs/>
                <w:sz w:val="24"/>
              </w:rPr>
            </w:pPr>
          </w:p>
          <w:p w14:paraId="084968BD">
            <w:pPr>
              <w:ind w:firstLine="480" w:firstLineChars="200"/>
              <w:rPr>
                <w:rFonts w:hint="eastAsia" w:hAnsi="宋体"/>
                <w:bCs/>
                <w:sz w:val="24"/>
              </w:rPr>
            </w:pPr>
          </w:p>
          <w:p w14:paraId="4EFF6A32">
            <w:pPr>
              <w:ind w:firstLine="480" w:firstLineChars="200"/>
              <w:rPr>
                <w:rFonts w:hint="eastAsia" w:hAnsi="宋体"/>
                <w:bCs/>
                <w:sz w:val="24"/>
              </w:rPr>
            </w:pPr>
          </w:p>
          <w:p w14:paraId="2091CB3D">
            <w:pPr>
              <w:ind w:firstLine="480" w:firstLineChars="200"/>
              <w:rPr>
                <w:rFonts w:hint="eastAsia" w:hAnsi="宋体"/>
                <w:bCs/>
                <w:sz w:val="24"/>
              </w:rPr>
            </w:pPr>
          </w:p>
          <w:p w14:paraId="0F536373">
            <w:pPr>
              <w:ind w:firstLine="480" w:firstLineChars="200"/>
              <w:rPr>
                <w:rFonts w:hint="eastAsia" w:hAnsi="宋体"/>
                <w:bCs/>
                <w:sz w:val="24"/>
              </w:rPr>
            </w:pPr>
          </w:p>
          <w:p w14:paraId="6F16A021">
            <w:pPr>
              <w:ind w:firstLine="480" w:firstLineChars="200"/>
              <w:rPr>
                <w:rFonts w:hint="eastAsia" w:hAnsi="宋体"/>
                <w:bCs/>
                <w:sz w:val="24"/>
              </w:rPr>
            </w:pPr>
          </w:p>
          <w:p w14:paraId="22E9737F">
            <w:pPr>
              <w:ind w:firstLine="480" w:firstLineChars="200"/>
              <w:rPr>
                <w:rFonts w:hint="eastAsia" w:hAnsi="宋体"/>
                <w:bCs/>
                <w:sz w:val="24"/>
              </w:rPr>
            </w:pPr>
          </w:p>
          <w:p w14:paraId="4CD8636F">
            <w:pPr>
              <w:ind w:firstLine="480" w:firstLineChars="200"/>
              <w:rPr>
                <w:rFonts w:hint="eastAsia" w:hAnsi="宋体"/>
                <w:bCs/>
                <w:sz w:val="24"/>
              </w:rPr>
            </w:pPr>
          </w:p>
          <w:p w14:paraId="4FDD2E37">
            <w:pPr>
              <w:ind w:firstLine="480" w:firstLineChars="200"/>
              <w:rPr>
                <w:rFonts w:hint="eastAsia" w:hAnsi="宋体"/>
                <w:bCs/>
                <w:sz w:val="24"/>
              </w:rPr>
            </w:pPr>
          </w:p>
          <w:p w14:paraId="25500368">
            <w:pPr>
              <w:ind w:firstLine="480" w:firstLineChars="200"/>
              <w:rPr>
                <w:rFonts w:hint="eastAsia" w:hAnsi="宋体"/>
                <w:bCs/>
                <w:sz w:val="24"/>
              </w:rPr>
            </w:pPr>
          </w:p>
          <w:p w14:paraId="0B25608D">
            <w:pPr>
              <w:ind w:firstLine="480" w:firstLineChars="200"/>
              <w:rPr>
                <w:rFonts w:hint="eastAsia" w:hAnsi="宋体"/>
                <w:bCs/>
                <w:sz w:val="24"/>
              </w:rPr>
            </w:pPr>
          </w:p>
          <w:p w14:paraId="783C8AC9">
            <w:pPr>
              <w:ind w:firstLine="480" w:firstLineChars="200"/>
              <w:rPr>
                <w:rFonts w:hint="eastAsia" w:hAnsi="宋体"/>
                <w:bCs/>
                <w:sz w:val="24"/>
              </w:rPr>
            </w:pPr>
          </w:p>
          <w:p w14:paraId="46AD9647">
            <w:pPr>
              <w:ind w:firstLine="480" w:firstLineChars="200"/>
              <w:rPr>
                <w:rFonts w:hint="eastAsia" w:hAnsi="宋体"/>
                <w:bCs/>
                <w:sz w:val="24"/>
              </w:rPr>
            </w:pPr>
          </w:p>
          <w:p w14:paraId="06B49C1C">
            <w:pPr>
              <w:ind w:firstLine="480" w:firstLineChars="200"/>
              <w:rPr>
                <w:rFonts w:hint="eastAsia" w:hAnsi="宋体"/>
                <w:bCs/>
                <w:sz w:val="24"/>
              </w:rPr>
            </w:pPr>
          </w:p>
          <w:p w14:paraId="582BBF5C">
            <w:pPr>
              <w:jc w:val="center"/>
              <w:rPr>
                <w:rFonts w:hint="eastAsia" w:ascii="黑体" w:hAnsi="黑体" w:eastAsia="黑体"/>
                <w:color w:val="000000"/>
                <w:sz w:val="24"/>
              </w:rPr>
            </w:pPr>
            <w:r>
              <w:rPr>
                <w:rFonts w:hint="eastAsia" w:ascii="黑体" w:hAnsi="黑体" w:eastAsia="黑体"/>
                <w:color w:val="000000"/>
                <w:sz w:val="24"/>
              </w:rPr>
              <w:t>图7    2</w:t>
            </w:r>
            <w:r>
              <w:rPr>
                <w:rFonts w:ascii="黑体" w:hAnsi="黑体" w:eastAsia="黑体"/>
                <w:color w:val="000000"/>
                <w:sz w:val="24"/>
              </w:rPr>
              <w:t>#</w:t>
            </w:r>
            <w:r>
              <w:rPr>
                <w:rFonts w:hint="eastAsia" w:ascii="黑体" w:hAnsi="黑体" w:eastAsia="黑体"/>
                <w:color w:val="000000"/>
                <w:sz w:val="24"/>
              </w:rPr>
              <w:t>测风塔实测风向及风能玫瑰图</w:t>
            </w:r>
          </w:p>
          <w:p w14:paraId="1B41BCC5">
            <w:pPr>
              <w:ind w:firstLine="480" w:firstLineChars="200"/>
              <w:rPr>
                <w:rFonts w:hint="eastAsia" w:hAnsi="宋体"/>
                <w:bCs/>
                <w:sz w:val="24"/>
              </w:rPr>
            </w:pPr>
            <w:r>
              <w:rPr>
                <w:rFonts w:hint="eastAsia" w:hAnsi="宋体"/>
                <w:bCs/>
                <w:sz w:val="24"/>
              </w:rPr>
              <w:t>4、地质条件</w:t>
            </w:r>
          </w:p>
          <w:p w14:paraId="611BEEEB">
            <w:pPr>
              <w:ind w:firstLine="480" w:firstLineChars="200"/>
              <w:rPr>
                <w:rFonts w:hint="eastAsia" w:hAnsi="宋体"/>
                <w:bCs/>
                <w:sz w:val="24"/>
              </w:rPr>
            </w:pPr>
            <w:r>
              <w:rPr>
                <w:rFonts w:hint="eastAsia" w:hAnsi="宋体"/>
                <w:bCs/>
                <w:sz w:val="24"/>
              </w:rPr>
              <w:t>苏尼特左旗地质结构稳定，无沙土液化及震陷特性，水文地质条件简单，地基岩土种类较少，分布均匀稳定，无环境及地质灾害问题，构造稳定性良好，历年来少地震，仅有的两次地震的最高震级为里氏3级左右，地质结构较为稳定。</w:t>
            </w:r>
          </w:p>
          <w:p w14:paraId="511ADDCB">
            <w:pPr>
              <w:ind w:firstLine="480" w:firstLineChars="200"/>
              <w:rPr>
                <w:rFonts w:hint="eastAsia" w:hAnsi="宋体"/>
                <w:bCs/>
                <w:sz w:val="24"/>
              </w:rPr>
            </w:pPr>
            <w:r>
              <w:rPr>
                <w:rFonts w:hint="eastAsia" w:hAnsi="宋体"/>
                <w:bCs/>
                <w:sz w:val="24"/>
              </w:rPr>
              <w:t>风电场场址地质条件一带地层岩性主要为更新世的拉斑玄武岩岩及第四系洪积层、风成砂土，现将各地层分述如下：</w:t>
            </w:r>
          </w:p>
          <w:p w14:paraId="0E263CEB">
            <w:pPr>
              <w:ind w:firstLine="480" w:firstLineChars="200"/>
              <w:rPr>
                <w:rFonts w:hint="eastAsia" w:hAnsi="宋体"/>
                <w:bCs/>
                <w:sz w:val="24"/>
              </w:rPr>
            </w:pPr>
            <w:r>
              <w:rPr>
                <w:rFonts w:hint="eastAsia" w:hAnsi="宋体"/>
                <w:bCs/>
                <w:sz w:val="24"/>
              </w:rPr>
              <w:t>第①层粉土：褐色；稍湿；稍密。含少量粉砂，有植物根茎，下部夹粉砂。该层较薄，只局部分布，揭露厚度为0.3～0.8m；</w:t>
            </w:r>
          </w:p>
          <w:p w14:paraId="52AD1302">
            <w:pPr>
              <w:ind w:firstLine="480" w:firstLineChars="200"/>
              <w:rPr>
                <w:rFonts w:hint="eastAsia" w:hAnsi="宋体"/>
                <w:bCs/>
                <w:sz w:val="24"/>
              </w:rPr>
            </w:pPr>
            <w:r>
              <w:rPr>
                <w:rFonts w:hint="eastAsia" w:hAnsi="宋体"/>
                <w:bCs/>
                <w:sz w:val="24"/>
              </w:rPr>
              <w:t>第②层细砂：褐色；稍湿；稍密。砂质不纯，含少量粉土。层厚为0.5～5.0m；</w:t>
            </w:r>
          </w:p>
          <w:p w14:paraId="4BC8A149">
            <w:pPr>
              <w:ind w:firstLine="480" w:firstLineChars="200"/>
              <w:rPr>
                <w:rFonts w:hint="eastAsia" w:hAnsi="宋体"/>
                <w:bCs/>
                <w:sz w:val="24"/>
              </w:rPr>
            </w:pPr>
            <w:r>
              <w:rPr>
                <w:rFonts w:hint="eastAsia" w:hAnsi="宋体"/>
                <w:bCs/>
                <w:sz w:val="24"/>
              </w:rPr>
              <w:t>第③层粗砂：褐色；稍湿；稍密-中密。砂质较纯，级配良好。该层厚度较大，层地埋深大于15.0m；</w:t>
            </w:r>
          </w:p>
          <w:p w14:paraId="0E5AF467">
            <w:pPr>
              <w:ind w:firstLine="480" w:firstLineChars="200"/>
              <w:rPr>
                <w:rFonts w:hint="eastAsia" w:hAnsi="宋体"/>
                <w:bCs/>
                <w:sz w:val="24"/>
              </w:rPr>
            </w:pPr>
            <w:r>
              <w:rPr>
                <w:rFonts w:hint="eastAsia" w:hAnsi="宋体"/>
                <w:bCs/>
                <w:sz w:val="24"/>
              </w:rPr>
              <w:t>第④层拉斑玄武岩：强风化；灰绿、紫灰色；斑状结构；隐晶质，裂隙发育，岩层破碎，岩块坚硬。层厚为1.5～6.4m；</w:t>
            </w:r>
          </w:p>
          <w:p w14:paraId="23224799">
            <w:pPr>
              <w:ind w:firstLine="480" w:firstLineChars="200"/>
              <w:rPr>
                <w:rFonts w:hint="eastAsia" w:hAnsi="宋体"/>
                <w:bCs/>
                <w:sz w:val="24"/>
              </w:rPr>
            </w:pPr>
            <w:r>
              <w:rPr>
                <w:rFonts w:hint="eastAsia" w:hAnsi="宋体"/>
                <w:bCs/>
                <w:sz w:val="24"/>
              </w:rPr>
              <w:t>第⑤层拉斑玄武岩：中风化；灰绿、紫灰色；斑状结构；隐晶质，裂隙发育一般，岩芯呈柱状，岩块坚硬。</w:t>
            </w:r>
          </w:p>
          <w:p w14:paraId="686DECB5">
            <w:pPr>
              <w:ind w:firstLine="480" w:firstLineChars="200"/>
              <w:rPr>
                <w:rFonts w:hint="eastAsia" w:hAnsi="宋体"/>
                <w:bCs/>
                <w:sz w:val="24"/>
              </w:rPr>
            </w:pPr>
            <w:r>
              <w:rPr>
                <w:rFonts w:hint="eastAsia" w:hAnsi="宋体"/>
                <w:bCs/>
                <w:sz w:val="24"/>
              </w:rPr>
              <w:t>5、水资源</w:t>
            </w:r>
          </w:p>
          <w:p w14:paraId="1E01AC0B">
            <w:pPr>
              <w:ind w:firstLine="480" w:firstLineChars="200"/>
              <w:rPr>
                <w:rFonts w:hint="eastAsia" w:hAnsi="宋体"/>
                <w:bCs/>
                <w:sz w:val="24"/>
              </w:rPr>
            </w:pPr>
            <w:r>
              <w:rPr>
                <w:rFonts w:hint="eastAsia" w:hAnsi="宋体"/>
                <w:bCs/>
                <w:sz w:val="24"/>
              </w:rPr>
              <w:t>苏尼特左旗处于半干旱、干旱荒漠草原地区，而且属于内陆河流域区，所以水资源可开采总量按平均土地面积计算是欠丰富的。苏尼特左旗水资源总量为35613万m</w:t>
            </w:r>
            <w:r>
              <w:rPr>
                <w:rFonts w:hint="eastAsia" w:hAnsi="宋体"/>
                <w:bCs/>
                <w:sz w:val="24"/>
                <w:vertAlign w:val="superscript"/>
              </w:rPr>
              <w:t>3</w:t>
            </w:r>
            <w:r>
              <w:rPr>
                <w:rFonts w:hint="eastAsia" w:hAnsi="宋体"/>
                <w:bCs/>
                <w:sz w:val="24"/>
              </w:rPr>
              <w:t>，苏尼特左旗可利用水资源总水量为17070万m</w:t>
            </w:r>
            <w:r>
              <w:rPr>
                <w:rFonts w:hint="eastAsia" w:hAnsi="宋体"/>
                <w:bCs/>
                <w:sz w:val="24"/>
                <w:vertAlign w:val="superscript"/>
              </w:rPr>
              <w:t>3</w:t>
            </w:r>
            <w:r>
              <w:rPr>
                <w:rFonts w:hint="eastAsia" w:hAnsi="宋体"/>
                <w:bCs/>
                <w:sz w:val="24"/>
              </w:rPr>
              <w:t>。苏尼特左旗水系不发育，境内仅有一条内陆河—努格斯河，常年性淖尔13个，泉眼55处，泉水年涌水大约80万m</w:t>
            </w:r>
            <w:r>
              <w:rPr>
                <w:rFonts w:hint="eastAsia" w:hAnsi="宋体"/>
                <w:bCs/>
                <w:sz w:val="24"/>
                <w:vertAlign w:val="superscript"/>
              </w:rPr>
              <w:t>3</w:t>
            </w:r>
            <w:r>
              <w:rPr>
                <w:rFonts w:hint="eastAsia" w:hAnsi="宋体"/>
                <w:bCs/>
                <w:sz w:val="24"/>
              </w:rPr>
              <w:t>。</w:t>
            </w:r>
          </w:p>
          <w:p w14:paraId="501E9344">
            <w:pPr>
              <w:ind w:firstLine="480" w:firstLineChars="200"/>
              <w:rPr>
                <w:rFonts w:hint="eastAsia" w:hAnsi="宋体"/>
                <w:bCs/>
                <w:sz w:val="24"/>
              </w:rPr>
            </w:pPr>
            <w:r>
              <w:rPr>
                <w:rFonts w:hint="eastAsia" w:hAnsi="宋体"/>
                <w:bCs/>
                <w:sz w:val="24"/>
              </w:rPr>
              <w:t>6、自然资源</w:t>
            </w:r>
          </w:p>
          <w:p w14:paraId="29CCCFB8">
            <w:pPr>
              <w:ind w:firstLine="480" w:firstLineChars="200"/>
              <w:rPr>
                <w:rFonts w:hint="eastAsia" w:hAnsi="宋体"/>
                <w:bCs/>
                <w:sz w:val="24"/>
              </w:rPr>
            </w:pPr>
            <w:r>
              <w:rPr>
                <w:rFonts w:hint="eastAsia" w:hAnsi="宋体"/>
                <w:bCs/>
                <w:sz w:val="24"/>
              </w:rPr>
              <w:t>苏尼特左旗自然资源丰富，石油、煤炭、金、水晶、铁、钨、石膏、芒硝、原碱、食盐、云母等三十几种矿产储量较大。甘草、麻黄、银柴胡等药用植物达百种以上。名贵藻类植物“发菜”以产量多，质量好闻名遐迩。报春花、山丹、干蕨菜等几十种野生植物，既是野生观赏花卉，又是经济价值很高的植物资源。</w:t>
            </w:r>
          </w:p>
          <w:p w14:paraId="58E23DD8">
            <w:pPr>
              <w:rPr>
                <w:rFonts w:hint="eastAsia"/>
                <w:color w:val="000000"/>
              </w:rPr>
            </w:pPr>
          </w:p>
          <w:p w14:paraId="0D35CF57">
            <w:pPr>
              <w:rPr>
                <w:rFonts w:hint="eastAsia"/>
                <w:color w:val="000000"/>
              </w:rPr>
            </w:pPr>
          </w:p>
          <w:p w14:paraId="3E3FA25B">
            <w:pPr>
              <w:rPr>
                <w:rFonts w:hint="eastAsia"/>
                <w:color w:val="000000"/>
              </w:rPr>
            </w:pPr>
          </w:p>
          <w:p w14:paraId="1054F42F">
            <w:pPr>
              <w:rPr>
                <w:rFonts w:hint="eastAsia"/>
                <w:color w:val="000000"/>
              </w:rPr>
            </w:pPr>
          </w:p>
          <w:p w14:paraId="761EE1DD">
            <w:pPr>
              <w:rPr>
                <w:rFonts w:hint="eastAsia"/>
                <w:color w:val="000000"/>
              </w:rPr>
            </w:pPr>
          </w:p>
          <w:p w14:paraId="251311D5">
            <w:pPr>
              <w:rPr>
                <w:rFonts w:hint="eastAsia"/>
                <w:color w:val="000000"/>
              </w:rPr>
            </w:pPr>
          </w:p>
          <w:p w14:paraId="50045AA9">
            <w:pPr>
              <w:rPr>
                <w:rFonts w:hint="eastAsia"/>
                <w:color w:val="000000"/>
              </w:rPr>
            </w:pPr>
          </w:p>
          <w:p w14:paraId="5A9F501D">
            <w:pPr>
              <w:rPr>
                <w:rFonts w:hint="eastAsia"/>
                <w:color w:val="000000"/>
              </w:rPr>
            </w:pPr>
          </w:p>
          <w:p w14:paraId="34459C86">
            <w:pPr>
              <w:rPr>
                <w:rFonts w:hint="eastAsia"/>
                <w:color w:val="000000"/>
              </w:rPr>
            </w:pPr>
          </w:p>
          <w:p w14:paraId="09E508F3">
            <w:pPr>
              <w:rPr>
                <w:rFonts w:hint="eastAsia"/>
                <w:color w:val="000000"/>
              </w:rPr>
            </w:pPr>
          </w:p>
          <w:p w14:paraId="4155B96C">
            <w:pPr>
              <w:rPr>
                <w:rFonts w:hint="eastAsia"/>
                <w:color w:val="000000"/>
              </w:rPr>
            </w:pPr>
          </w:p>
          <w:p w14:paraId="5454FBDE">
            <w:pPr>
              <w:rPr>
                <w:rFonts w:hint="eastAsia"/>
                <w:color w:val="000000"/>
              </w:rPr>
            </w:pPr>
          </w:p>
          <w:p w14:paraId="3DC150C0">
            <w:pPr>
              <w:rPr>
                <w:rFonts w:hint="eastAsia"/>
                <w:color w:val="000000"/>
              </w:rPr>
            </w:pPr>
          </w:p>
          <w:p w14:paraId="6045A7CD">
            <w:pPr>
              <w:rPr>
                <w:color w:val="000000"/>
              </w:rPr>
            </w:pPr>
          </w:p>
        </w:tc>
      </w:tr>
    </w:tbl>
    <w:p w14:paraId="4C85C44F">
      <w:pPr>
        <w:rPr>
          <w:b/>
          <w:color w:val="000000"/>
          <w:sz w:val="28"/>
          <w:szCs w:val="28"/>
        </w:rPr>
      </w:pPr>
      <w:r>
        <w:rPr>
          <w:b/>
          <w:color w:val="000000"/>
          <w:sz w:val="28"/>
          <w:szCs w:val="28"/>
        </w:rPr>
        <w:t>建设项目所在地环境现状</w:t>
      </w:r>
    </w:p>
    <w:tbl>
      <w:tblPr>
        <w:tblStyle w:val="25"/>
        <w:tblW w:w="0" w:type="auto"/>
        <w:tblInd w:w="-25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72"/>
      </w:tblGrid>
      <w:tr w14:paraId="106136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99" w:hRule="atLeast"/>
        </w:trPr>
        <w:tc>
          <w:tcPr>
            <w:tcW w:w="9072" w:type="dxa"/>
          </w:tcPr>
          <w:p w14:paraId="4E0E35BF">
            <w:pPr>
              <w:rPr>
                <w:b/>
                <w:color w:val="000000"/>
                <w:sz w:val="28"/>
                <w:szCs w:val="28"/>
              </w:rPr>
            </w:pPr>
            <w:r>
              <w:rPr>
                <w:b/>
                <w:color w:val="000000"/>
                <w:sz w:val="28"/>
                <w:szCs w:val="28"/>
              </w:rPr>
              <w:t>建设项目所在地区域环境质量现状及主要环境问题（环境空气、地面水、地下水、声环境、生态环境等）</w:t>
            </w:r>
          </w:p>
          <w:p w14:paraId="21BADD8B">
            <w:pPr>
              <w:spacing w:beforeLines="50"/>
              <w:ind w:firstLine="480" w:firstLineChars="200"/>
              <w:rPr>
                <w:sz w:val="24"/>
              </w:rPr>
            </w:pPr>
            <w:r>
              <w:rPr>
                <w:sz w:val="24"/>
              </w:rPr>
              <w:t>1、环境空气</w:t>
            </w:r>
          </w:p>
          <w:p w14:paraId="661CE1AD">
            <w:pPr>
              <w:ind w:firstLine="480" w:firstLineChars="200"/>
              <w:rPr>
                <w:color w:val="FF0000"/>
                <w:sz w:val="24"/>
              </w:rPr>
            </w:pPr>
            <w:r>
              <w:rPr>
                <w:rFonts w:hint="eastAsia"/>
                <w:sz w:val="24"/>
              </w:rPr>
              <w:t>风电场位于锡林郭勒盟苏尼特左旗满都拉图镇东北</w:t>
            </w:r>
            <w:r>
              <w:rPr>
                <w:sz w:val="24"/>
              </w:rPr>
              <w:t>2</w:t>
            </w:r>
            <w:r>
              <w:rPr>
                <w:rFonts w:hint="eastAsia"/>
                <w:sz w:val="24"/>
              </w:rPr>
              <w:t>6</w:t>
            </w:r>
            <w:r>
              <w:rPr>
                <w:sz w:val="24"/>
              </w:rPr>
              <w:t>km</w:t>
            </w:r>
            <w:r>
              <w:rPr>
                <w:rFonts w:hint="eastAsia"/>
                <w:sz w:val="24"/>
              </w:rPr>
              <w:t>处，根据现场调查，场地较为空旷，</w:t>
            </w:r>
            <w:r>
              <w:rPr>
                <w:sz w:val="24"/>
              </w:rPr>
              <w:t>地势较平坦，空气扩散能力较强，</w:t>
            </w:r>
            <w:r>
              <w:rPr>
                <w:rFonts w:hint="eastAsia"/>
                <w:sz w:val="24"/>
              </w:rPr>
              <w:t>项目</w:t>
            </w:r>
            <w:r>
              <w:rPr>
                <w:sz w:val="24"/>
              </w:rPr>
              <w:t>周围无</w:t>
            </w:r>
            <w:r>
              <w:rPr>
                <w:rFonts w:hint="eastAsia"/>
                <w:sz w:val="24"/>
              </w:rPr>
              <w:t>工业污染源，</w:t>
            </w:r>
            <w:r>
              <w:rPr>
                <w:sz w:val="24"/>
              </w:rPr>
              <w:t>污染</w:t>
            </w:r>
            <w:r>
              <w:rPr>
                <w:rFonts w:hint="eastAsia"/>
                <w:sz w:val="24"/>
              </w:rPr>
              <w:t>因子TSP、PM</w:t>
            </w:r>
            <w:r>
              <w:rPr>
                <w:rFonts w:hint="eastAsia"/>
                <w:sz w:val="24"/>
                <w:vertAlign w:val="subscript"/>
              </w:rPr>
              <w:t>10</w:t>
            </w:r>
            <w:r>
              <w:rPr>
                <w:sz w:val="24"/>
              </w:rPr>
              <w:t>、</w:t>
            </w:r>
            <w:r>
              <w:rPr>
                <w:rFonts w:hint="eastAsia"/>
                <w:sz w:val="24"/>
              </w:rPr>
              <w:t>PM</w:t>
            </w:r>
            <w:r>
              <w:rPr>
                <w:rFonts w:hint="eastAsia"/>
                <w:sz w:val="24"/>
                <w:vertAlign w:val="subscript"/>
              </w:rPr>
              <w:t>2.5</w:t>
            </w:r>
            <w:r>
              <w:rPr>
                <w:sz w:val="24"/>
              </w:rPr>
              <w:t>、</w:t>
            </w:r>
            <w:r>
              <w:rPr>
                <w:rFonts w:hint="eastAsia"/>
                <w:sz w:val="24"/>
              </w:rPr>
              <w:t>CO</w:t>
            </w:r>
            <w:r>
              <w:rPr>
                <w:sz w:val="24"/>
              </w:rPr>
              <w:t>、SO</w:t>
            </w:r>
            <w:r>
              <w:rPr>
                <w:sz w:val="24"/>
                <w:vertAlign w:val="subscript"/>
              </w:rPr>
              <w:t>2</w:t>
            </w:r>
            <w:r>
              <w:rPr>
                <w:sz w:val="24"/>
              </w:rPr>
              <w:t>、NO</w:t>
            </w:r>
            <w:r>
              <w:rPr>
                <w:rFonts w:hint="eastAsia"/>
                <w:sz w:val="24"/>
                <w:vertAlign w:val="subscript"/>
              </w:rPr>
              <w:t>x</w:t>
            </w:r>
            <w:r>
              <w:rPr>
                <w:sz w:val="24"/>
              </w:rPr>
              <w:t>等均</w:t>
            </w:r>
            <w:r>
              <w:rPr>
                <w:rFonts w:hint="eastAsia"/>
                <w:sz w:val="24"/>
              </w:rPr>
              <w:t>满足</w:t>
            </w:r>
            <w:r>
              <w:rPr>
                <w:sz w:val="24"/>
              </w:rPr>
              <w:t>《环境空气质量标准》（GB3095-2012）二级标准，区域大气质量较好。</w:t>
            </w:r>
          </w:p>
          <w:p w14:paraId="3A044E5C">
            <w:pPr>
              <w:ind w:firstLine="480" w:firstLineChars="200"/>
              <w:rPr>
                <w:sz w:val="24"/>
              </w:rPr>
            </w:pPr>
            <w:r>
              <w:rPr>
                <w:sz w:val="24"/>
              </w:rPr>
              <w:t>2、声环境现状</w:t>
            </w:r>
          </w:p>
          <w:p w14:paraId="6A006D04">
            <w:pPr>
              <w:ind w:firstLine="480" w:firstLineChars="200"/>
              <w:rPr>
                <w:rFonts w:hint="eastAsia"/>
                <w:sz w:val="24"/>
              </w:rPr>
            </w:pPr>
            <w:r>
              <w:rPr>
                <w:rFonts w:hint="eastAsia"/>
                <w:sz w:val="24"/>
              </w:rPr>
              <w:t>（1）声环境质量现状监测</w:t>
            </w:r>
          </w:p>
          <w:p w14:paraId="34528B99">
            <w:pPr>
              <w:ind w:firstLine="480" w:firstLineChars="200"/>
              <w:rPr>
                <w:rFonts w:hint="eastAsia"/>
                <w:sz w:val="24"/>
              </w:rPr>
            </w:pPr>
            <w:r>
              <w:rPr>
                <w:rFonts w:hint="eastAsia"/>
                <w:sz w:val="24"/>
              </w:rPr>
              <w:t>本项目声环境质量现状监测工作由内蒙古和合环境科技有限公司负责完成，该机构具有CMA计量认证资质，监测时间为2017年12月24日至12月25日，监测数据有效。</w:t>
            </w:r>
          </w:p>
          <w:p w14:paraId="637C72EA">
            <w:pPr>
              <w:ind w:firstLine="480" w:firstLineChars="200"/>
              <w:rPr>
                <w:rFonts w:hint="eastAsia"/>
                <w:sz w:val="24"/>
              </w:rPr>
            </w:pPr>
            <w:r>
              <w:rPr>
                <w:rFonts w:hint="eastAsia"/>
                <w:sz w:val="24"/>
              </w:rPr>
              <w:t>① 监测点布设</w:t>
            </w:r>
          </w:p>
          <w:p w14:paraId="42475A1D">
            <w:pPr>
              <w:ind w:firstLine="480" w:firstLineChars="200"/>
              <w:rPr>
                <w:rFonts w:hint="eastAsia"/>
                <w:sz w:val="24"/>
              </w:rPr>
            </w:pPr>
            <w:r>
              <w:rPr>
                <w:rFonts w:hint="eastAsia"/>
                <w:sz w:val="24"/>
              </w:rPr>
              <w:t>根据本项目的特点，确定共布设2个噪声监测点，其中升压站处布设1个，阿钦郭勒布设1个，具体位置见图8。</w:t>
            </w:r>
          </w:p>
          <w:p w14:paraId="126B4A01">
            <w:pPr>
              <w:ind w:firstLine="480" w:firstLineChars="200"/>
              <w:rPr>
                <w:rFonts w:hint="eastAsia"/>
                <w:sz w:val="24"/>
              </w:rPr>
            </w:pPr>
            <w:r>
              <w:rPr>
                <w:rFonts w:hint="eastAsia"/>
                <w:sz w:val="24"/>
              </w:rPr>
              <w:t>② 监测时间及频次</w:t>
            </w:r>
          </w:p>
          <w:p w14:paraId="4A84DAE1">
            <w:pPr>
              <w:ind w:firstLine="480" w:firstLineChars="200"/>
              <w:rPr>
                <w:rFonts w:hint="eastAsia"/>
                <w:sz w:val="24"/>
              </w:rPr>
            </w:pPr>
            <w:r>
              <w:rPr>
                <w:rFonts w:hint="eastAsia"/>
                <w:sz w:val="24"/>
              </w:rPr>
              <w:t>监测时间为2017年12月24日至12月25日，连续监测2天，昼间、夜间各监测1次。</w:t>
            </w:r>
          </w:p>
          <w:p w14:paraId="3963CF9E">
            <w:pPr>
              <w:ind w:firstLine="480" w:firstLineChars="200"/>
              <w:rPr>
                <w:rFonts w:hint="eastAsia"/>
                <w:sz w:val="24"/>
              </w:rPr>
            </w:pPr>
            <w:r>
              <w:rPr>
                <w:rFonts w:hint="eastAsia"/>
                <w:sz w:val="24"/>
              </w:rPr>
              <w:t>③ 监测项目</w:t>
            </w:r>
          </w:p>
          <w:p w14:paraId="39FAD45E">
            <w:pPr>
              <w:ind w:firstLine="480" w:firstLineChars="200"/>
              <w:rPr>
                <w:rFonts w:hint="eastAsia"/>
                <w:sz w:val="24"/>
              </w:rPr>
            </w:pPr>
            <w:r>
              <w:rPr>
                <w:rFonts w:hint="eastAsia"/>
                <w:sz w:val="24"/>
              </w:rPr>
              <w:t>等效连续A声级。</w:t>
            </w:r>
          </w:p>
          <w:p w14:paraId="2EDD86C6">
            <w:pPr>
              <w:ind w:firstLine="480" w:firstLineChars="200"/>
              <w:rPr>
                <w:rFonts w:hint="eastAsia"/>
                <w:sz w:val="24"/>
              </w:rPr>
            </w:pPr>
            <w:r>
              <w:rPr>
                <w:rFonts w:hint="eastAsia"/>
                <w:sz w:val="24"/>
              </w:rPr>
              <w:t>④ 监测方法</w:t>
            </w:r>
          </w:p>
          <w:p w14:paraId="23D307FB">
            <w:pPr>
              <w:ind w:firstLine="480" w:firstLineChars="200"/>
              <w:rPr>
                <w:rFonts w:hint="eastAsia"/>
                <w:color w:val="FF0000"/>
                <w:sz w:val="24"/>
              </w:rPr>
            </w:pPr>
            <w:r>
              <w:rPr>
                <w:rFonts w:hint="eastAsia"/>
                <w:sz w:val="24"/>
              </w:rPr>
              <w:t>按照《声环境质量标准》（GB3096-2008）规定进行。</w:t>
            </w:r>
          </w:p>
          <w:p w14:paraId="2BFF37C9">
            <w:pPr>
              <w:ind w:firstLine="480" w:firstLineChars="200"/>
              <w:rPr>
                <w:rFonts w:hint="eastAsia"/>
                <w:sz w:val="24"/>
              </w:rPr>
            </w:pPr>
            <w:r>
              <w:rPr>
                <w:rFonts w:hint="eastAsia"/>
                <w:sz w:val="24"/>
              </w:rPr>
              <w:t>（2）声环境质量评价</w:t>
            </w:r>
          </w:p>
          <w:p w14:paraId="6542AE11">
            <w:pPr>
              <w:ind w:firstLine="480" w:firstLineChars="200"/>
              <w:rPr>
                <w:rFonts w:hint="eastAsia"/>
                <w:sz w:val="24"/>
              </w:rPr>
            </w:pPr>
            <w:r>
              <w:rPr>
                <w:rFonts w:hint="eastAsia"/>
                <w:sz w:val="24"/>
              </w:rPr>
              <w:t>① 评价方法</w:t>
            </w:r>
          </w:p>
          <w:p w14:paraId="7C4B9DE9">
            <w:pPr>
              <w:ind w:firstLine="480" w:firstLineChars="200"/>
              <w:rPr>
                <w:rFonts w:hint="eastAsia"/>
                <w:color w:val="FF0000"/>
                <w:sz w:val="24"/>
              </w:rPr>
            </w:pPr>
            <w:r>
              <w:rPr>
                <w:rFonts w:hint="eastAsia"/>
                <w:sz w:val="24"/>
              </w:rPr>
              <w:t>采用等效声级与相应标准值比较的方法，评价标准采用《声环境质量标准》（GB3096-2008）中的1类标准。</w:t>
            </w:r>
          </w:p>
          <w:p w14:paraId="03B1F8DC">
            <w:pPr>
              <w:ind w:firstLine="480" w:firstLineChars="200"/>
              <w:rPr>
                <w:rFonts w:hint="eastAsia"/>
                <w:sz w:val="24"/>
              </w:rPr>
            </w:pPr>
            <w:r>
              <w:rPr>
                <w:rFonts w:hint="eastAsia"/>
                <w:sz w:val="24"/>
              </w:rPr>
              <w:t>② 监测与评价结果</w:t>
            </w:r>
          </w:p>
          <w:p w14:paraId="72EBE7C2">
            <w:pPr>
              <w:ind w:firstLine="480" w:firstLineChars="200"/>
              <w:rPr>
                <w:rFonts w:hint="eastAsia"/>
                <w:color w:val="FF0000"/>
                <w:sz w:val="24"/>
              </w:rPr>
            </w:pPr>
            <w:r>
              <w:rPr>
                <w:rFonts w:hint="eastAsia"/>
                <w:sz w:val="24"/>
              </w:rPr>
              <w:t>监测及评价结果见表14。</w:t>
            </w:r>
          </w:p>
          <w:p w14:paraId="706D4B6D">
            <w:pPr>
              <w:ind w:firstLine="480" w:firstLineChars="200"/>
              <w:rPr>
                <w:rFonts w:hint="eastAsia" w:ascii="黑体" w:hAnsi="黑体" w:eastAsia="黑体"/>
                <w:sz w:val="24"/>
              </w:rPr>
            </w:pPr>
            <w:r>
              <w:rPr>
                <w:rFonts w:ascii="黑体" w:hAnsi="黑体" w:eastAsia="黑体"/>
                <w:sz w:val="24"/>
              </w:rPr>
              <w:t>表</w:t>
            </w:r>
            <w:r>
              <w:rPr>
                <w:rFonts w:hint="eastAsia" w:ascii="黑体" w:hAnsi="黑体" w:eastAsia="黑体"/>
                <w:sz w:val="24"/>
              </w:rPr>
              <w:t>14              声环境现状监测及评价结果一览表       单位：dB（A）</w:t>
            </w:r>
          </w:p>
          <w:tbl>
            <w:tblPr>
              <w:tblStyle w:val="25"/>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28" w:type="dxa"/>
                <w:bottom w:w="0" w:type="dxa"/>
                <w:right w:w="28" w:type="dxa"/>
              </w:tblCellMar>
            </w:tblPr>
            <w:tblGrid>
              <w:gridCol w:w="1316"/>
              <w:gridCol w:w="1284"/>
              <w:gridCol w:w="992"/>
              <w:gridCol w:w="984"/>
              <w:gridCol w:w="977"/>
              <w:gridCol w:w="1089"/>
              <w:gridCol w:w="1044"/>
              <w:gridCol w:w="1095"/>
            </w:tblGrid>
            <w:tr w14:paraId="2A84199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1316" w:type="dxa"/>
                  <w:vMerge w:val="restart"/>
                  <w:vAlign w:val="center"/>
                </w:tcPr>
                <w:p w14:paraId="58F15F9A">
                  <w:pPr>
                    <w:spacing w:line="0" w:lineRule="atLeast"/>
                    <w:jc w:val="center"/>
                    <w:rPr>
                      <w:rFonts w:hint="eastAsia"/>
                      <w:szCs w:val="21"/>
                    </w:rPr>
                  </w:pPr>
                  <w:r>
                    <w:rPr>
                      <w:rFonts w:hint="eastAsia"/>
                      <w:szCs w:val="21"/>
                    </w:rPr>
                    <w:t>监测位置</w:t>
                  </w:r>
                </w:p>
              </w:tc>
              <w:tc>
                <w:tcPr>
                  <w:tcW w:w="1284" w:type="dxa"/>
                  <w:vMerge w:val="restart"/>
                  <w:vAlign w:val="center"/>
                </w:tcPr>
                <w:p w14:paraId="5CEA2357">
                  <w:pPr>
                    <w:spacing w:line="0" w:lineRule="atLeast"/>
                    <w:jc w:val="center"/>
                    <w:rPr>
                      <w:rFonts w:hint="eastAsia"/>
                      <w:szCs w:val="21"/>
                    </w:rPr>
                  </w:pPr>
                  <w:r>
                    <w:rPr>
                      <w:rFonts w:hint="eastAsia"/>
                      <w:szCs w:val="21"/>
                    </w:rPr>
                    <w:t>监测时段</w:t>
                  </w:r>
                </w:p>
              </w:tc>
              <w:tc>
                <w:tcPr>
                  <w:tcW w:w="2953" w:type="dxa"/>
                  <w:gridSpan w:val="3"/>
                  <w:vAlign w:val="center"/>
                </w:tcPr>
                <w:p w14:paraId="10777DFD">
                  <w:pPr>
                    <w:spacing w:line="0" w:lineRule="atLeast"/>
                    <w:jc w:val="center"/>
                    <w:rPr>
                      <w:rFonts w:hint="eastAsia"/>
                      <w:szCs w:val="21"/>
                    </w:rPr>
                  </w:pPr>
                  <w:r>
                    <w:rPr>
                      <w:rFonts w:hint="eastAsia" w:hAnsi="宋体"/>
                      <w:szCs w:val="21"/>
                    </w:rPr>
                    <w:t>昼 间</w:t>
                  </w:r>
                </w:p>
              </w:tc>
              <w:tc>
                <w:tcPr>
                  <w:tcW w:w="3228" w:type="dxa"/>
                  <w:gridSpan w:val="3"/>
                  <w:vAlign w:val="center"/>
                </w:tcPr>
                <w:p w14:paraId="5870D9BA">
                  <w:pPr>
                    <w:spacing w:line="0" w:lineRule="atLeast"/>
                    <w:jc w:val="center"/>
                    <w:rPr>
                      <w:rFonts w:hint="eastAsia"/>
                      <w:szCs w:val="21"/>
                    </w:rPr>
                  </w:pPr>
                  <w:r>
                    <w:rPr>
                      <w:rFonts w:hint="eastAsia" w:hAnsi="宋体"/>
                      <w:szCs w:val="21"/>
                    </w:rPr>
                    <w:t>夜 间</w:t>
                  </w:r>
                </w:p>
              </w:tc>
            </w:tr>
            <w:tr w14:paraId="399F873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1316" w:type="dxa"/>
                  <w:vMerge w:val="continue"/>
                  <w:vAlign w:val="center"/>
                </w:tcPr>
                <w:p w14:paraId="7F4EDB27">
                  <w:pPr>
                    <w:spacing w:line="0" w:lineRule="atLeast"/>
                    <w:jc w:val="center"/>
                    <w:rPr>
                      <w:rFonts w:hint="eastAsia"/>
                      <w:szCs w:val="21"/>
                    </w:rPr>
                  </w:pPr>
                </w:p>
              </w:tc>
              <w:tc>
                <w:tcPr>
                  <w:tcW w:w="1284" w:type="dxa"/>
                  <w:vMerge w:val="continue"/>
                  <w:vAlign w:val="center"/>
                </w:tcPr>
                <w:p w14:paraId="16D3A3B1">
                  <w:pPr>
                    <w:spacing w:line="0" w:lineRule="atLeast"/>
                    <w:jc w:val="center"/>
                    <w:rPr>
                      <w:rFonts w:hint="eastAsia"/>
                      <w:szCs w:val="21"/>
                    </w:rPr>
                  </w:pPr>
                </w:p>
              </w:tc>
              <w:tc>
                <w:tcPr>
                  <w:tcW w:w="992" w:type="dxa"/>
                  <w:vAlign w:val="center"/>
                </w:tcPr>
                <w:p w14:paraId="177B8B98">
                  <w:pPr>
                    <w:spacing w:line="0" w:lineRule="atLeast"/>
                    <w:jc w:val="center"/>
                    <w:rPr>
                      <w:rFonts w:hint="eastAsia"/>
                      <w:szCs w:val="21"/>
                    </w:rPr>
                  </w:pPr>
                  <w:r>
                    <w:rPr>
                      <w:rFonts w:hint="eastAsia"/>
                      <w:szCs w:val="21"/>
                    </w:rPr>
                    <w:t>监测值</w:t>
                  </w:r>
                </w:p>
              </w:tc>
              <w:tc>
                <w:tcPr>
                  <w:tcW w:w="984" w:type="dxa"/>
                  <w:vAlign w:val="center"/>
                </w:tcPr>
                <w:p w14:paraId="3594D2B0">
                  <w:pPr>
                    <w:spacing w:line="0" w:lineRule="atLeast"/>
                    <w:jc w:val="center"/>
                    <w:rPr>
                      <w:rFonts w:hint="eastAsia"/>
                      <w:szCs w:val="21"/>
                    </w:rPr>
                  </w:pPr>
                  <w:r>
                    <w:rPr>
                      <w:rFonts w:hint="eastAsia"/>
                      <w:szCs w:val="21"/>
                    </w:rPr>
                    <w:t>标准值</w:t>
                  </w:r>
                </w:p>
              </w:tc>
              <w:tc>
                <w:tcPr>
                  <w:tcW w:w="977" w:type="dxa"/>
                  <w:vAlign w:val="center"/>
                </w:tcPr>
                <w:p w14:paraId="33FA5169">
                  <w:pPr>
                    <w:spacing w:line="0" w:lineRule="atLeast"/>
                    <w:jc w:val="center"/>
                    <w:rPr>
                      <w:rFonts w:hint="eastAsia"/>
                      <w:szCs w:val="21"/>
                    </w:rPr>
                  </w:pPr>
                  <w:r>
                    <w:rPr>
                      <w:rFonts w:hint="eastAsia"/>
                      <w:szCs w:val="21"/>
                    </w:rPr>
                    <w:t>评价结果</w:t>
                  </w:r>
                </w:p>
              </w:tc>
              <w:tc>
                <w:tcPr>
                  <w:tcW w:w="1089" w:type="dxa"/>
                  <w:vAlign w:val="center"/>
                </w:tcPr>
                <w:p w14:paraId="708C925C">
                  <w:pPr>
                    <w:spacing w:line="0" w:lineRule="atLeast"/>
                    <w:jc w:val="center"/>
                    <w:rPr>
                      <w:rFonts w:hint="eastAsia"/>
                      <w:szCs w:val="21"/>
                    </w:rPr>
                  </w:pPr>
                  <w:r>
                    <w:rPr>
                      <w:rFonts w:hint="eastAsia"/>
                      <w:szCs w:val="21"/>
                    </w:rPr>
                    <w:t>监测值</w:t>
                  </w:r>
                </w:p>
              </w:tc>
              <w:tc>
                <w:tcPr>
                  <w:tcW w:w="1044" w:type="dxa"/>
                  <w:vAlign w:val="center"/>
                </w:tcPr>
                <w:p w14:paraId="3CF98B5D">
                  <w:pPr>
                    <w:spacing w:line="0" w:lineRule="atLeast"/>
                    <w:jc w:val="center"/>
                    <w:rPr>
                      <w:rFonts w:hint="eastAsia"/>
                      <w:szCs w:val="21"/>
                    </w:rPr>
                  </w:pPr>
                  <w:r>
                    <w:rPr>
                      <w:rFonts w:hint="eastAsia"/>
                      <w:szCs w:val="21"/>
                    </w:rPr>
                    <w:t>标准值</w:t>
                  </w:r>
                </w:p>
              </w:tc>
              <w:tc>
                <w:tcPr>
                  <w:tcW w:w="1095" w:type="dxa"/>
                  <w:vAlign w:val="center"/>
                </w:tcPr>
                <w:p w14:paraId="582DDCDE">
                  <w:pPr>
                    <w:spacing w:line="0" w:lineRule="atLeast"/>
                    <w:jc w:val="center"/>
                    <w:rPr>
                      <w:rFonts w:hint="eastAsia"/>
                      <w:szCs w:val="21"/>
                    </w:rPr>
                  </w:pPr>
                  <w:r>
                    <w:rPr>
                      <w:rFonts w:hint="eastAsia"/>
                      <w:szCs w:val="21"/>
                    </w:rPr>
                    <w:t>评价结果</w:t>
                  </w:r>
                </w:p>
              </w:tc>
            </w:tr>
            <w:tr w14:paraId="29B6892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1316" w:type="dxa"/>
                  <w:vMerge w:val="restart"/>
                  <w:vAlign w:val="center"/>
                </w:tcPr>
                <w:p w14:paraId="2FDEF72E">
                  <w:pPr>
                    <w:spacing w:line="0" w:lineRule="atLeast"/>
                    <w:jc w:val="center"/>
                    <w:rPr>
                      <w:rFonts w:hint="eastAsia"/>
                      <w:szCs w:val="21"/>
                    </w:rPr>
                  </w:pPr>
                  <w:r>
                    <w:rPr>
                      <w:rFonts w:hint="eastAsia"/>
                      <w:szCs w:val="21"/>
                    </w:rPr>
                    <w:t>阿钦郭勒</w:t>
                  </w:r>
                </w:p>
              </w:tc>
              <w:tc>
                <w:tcPr>
                  <w:tcW w:w="1284" w:type="dxa"/>
                  <w:vAlign w:val="center"/>
                </w:tcPr>
                <w:p w14:paraId="7AA8B2E4">
                  <w:pPr>
                    <w:spacing w:line="0" w:lineRule="atLeast"/>
                    <w:jc w:val="center"/>
                    <w:rPr>
                      <w:rFonts w:hint="eastAsia"/>
                      <w:szCs w:val="21"/>
                    </w:rPr>
                  </w:pPr>
                  <w:r>
                    <w:rPr>
                      <w:rFonts w:hint="eastAsia"/>
                      <w:szCs w:val="21"/>
                    </w:rPr>
                    <w:t>12月24日</w:t>
                  </w:r>
                </w:p>
              </w:tc>
              <w:tc>
                <w:tcPr>
                  <w:tcW w:w="992" w:type="dxa"/>
                  <w:vAlign w:val="center"/>
                </w:tcPr>
                <w:p w14:paraId="09715608">
                  <w:pPr>
                    <w:spacing w:line="0" w:lineRule="atLeast"/>
                    <w:jc w:val="center"/>
                    <w:rPr>
                      <w:rFonts w:hint="eastAsia"/>
                      <w:szCs w:val="21"/>
                    </w:rPr>
                  </w:pPr>
                  <w:r>
                    <w:rPr>
                      <w:rFonts w:hint="eastAsia"/>
                      <w:szCs w:val="21"/>
                    </w:rPr>
                    <w:t>51.5</w:t>
                  </w:r>
                </w:p>
              </w:tc>
              <w:tc>
                <w:tcPr>
                  <w:tcW w:w="984" w:type="dxa"/>
                  <w:vMerge w:val="restart"/>
                  <w:vAlign w:val="center"/>
                </w:tcPr>
                <w:p w14:paraId="058AE728">
                  <w:pPr>
                    <w:spacing w:line="0" w:lineRule="atLeast"/>
                    <w:jc w:val="center"/>
                    <w:rPr>
                      <w:rFonts w:hint="eastAsia"/>
                      <w:szCs w:val="21"/>
                    </w:rPr>
                  </w:pPr>
                  <w:r>
                    <w:rPr>
                      <w:rFonts w:hint="eastAsia"/>
                      <w:szCs w:val="21"/>
                    </w:rPr>
                    <w:t>55</w:t>
                  </w:r>
                </w:p>
              </w:tc>
              <w:tc>
                <w:tcPr>
                  <w:tcW w:w="977" w:type="dxa"/>
                  <w:vMerge w:val="restart"/>
                  <w:vAlign w:val="center"/>
                </w:tcPr>
                <w:p w14:paraId="6250E70B">
                  <w:pPr>
                    <w:spacing w:line="0" w:lineRule="atLeast"/>
                    <w:jc w:val="center"/>
                    <w:rPr>
                      <w:rFonts w:hint="eastAsia"/>
                      <w:szCs w:val="21"/>
                    </w:rPr>
                  </w:pPr>
                  <w:r>
                    <w:rPr>
                      <w:rFonts w:hint="eastAsia"/>
                      <w:szCs w:val="21"/>
                    </w:rPr>
                    <w:t>达标</w:t>
                  </w:r>
                </w:p>
              </w:tc>
              <w:tc>
                <w:tcPr>
                  <w:tcW w:w="1089" w:type="dxa"/>
                  <w:vAlign w:val="center"/>
                </w:tcPr>
                <w:p w14:paraId="1882A782">
                  <w:pPr>
                    <w:spacing w:line="0" w:lineRule="atLeast"/>
                    <w:jc w:val="center"/>
                    <w:rPr>
                      <w:rFonts w:hint="eastAsia"/>
                      <w:szCs w:val="21"/>
                    </w:rPr>
                  </w:pPr>
                  <w:r>
                    <w:rPr>
                      <w:rFonts w:hint="eastAsia"/>
                      <w:szCs w:val="21"/>
                    </w:rPr>
                    <w:t>42.7</w:t>
                  </w:r>
                </w:p>
              </w:tc>
              <w:tc>
                <w:tcPr>
                  <w:tcW w:w="1044" w:type="dxa"/>
                  <w:vMerge w:val="restart"/>
                  <w:vAlign w:val="center"/>
                </w:tcPr>
                <w:p w14:paraId="78D1AD6D">
                  <w:pPr>
                    <w:spacing w:line="0" w:lineRule="atLeast"/>
                    <w:jc w:val="center"/>
                    <w:rPr>
                      <w:rFonts w:hint="eastAsia"/>
                      <w:szCs w:val="21"/>
                    </w:rPr>
                  </w:pPr>
                  <w:r>
                    <w:rPr>
                      <w:rFonts w:hint="eastAsia"/>
                      <w:szCs w:val="21"/>
                    </w:rPr>
                    <w:t>45</w:t>
                  </w:r>
                </w:p>
              </w:tc>
              <w:tc>
                <w:tcPr>
                  <w:tcW w:w="1095" w:type="dxa"/>
                  <w:vMerge w:val="restart"/>
                  <w:vAlign w:val="center"/>
                </w:tcPr>
                <w:p w14:paraId="7BD91F39">
                  <w:pPr>
                    <w:spacing w:line="0" w:lineRule="atLeast"/>
                    <w:jc w:val="center"/>
                    <w:rPr>
                      <w:rFonts w:hint="eastAsia"/>
                      <w:szCs w:val="21"/>
                    </w:rPr>
                  </w:pPr>
                  <w:r>
                    <w:rPr>
                      <w:rFonts w:hint="eastAsia"/>
                      <w:szCs w:val="21"/>
                    </w:rPr>
                    <w:t>达标</w:t>
                  </w:r>
                </w:p>
              </w:tc>
            </w:tr>
            <w:tr w14:paraId="5405634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1316" w:type="dxa"/>
                  <w:vMerge w:val="continue"/>
                  <w:vAlign w:val="center"/>
                </w:tcPr>
                <w:p w14:paraId="0A06D53C">
                  <w:pPr>
                    <w:spacing w:line="0" w:lineRule="atLeast"/>
                    <w:jc w:val="center"/>
                    <w:rPr>
                      <w:rFonts w:hint="eastAsia"/>
                      <w:szCs w:val="21"/>
                    </w:rPr>
                  </w:pPr>
                </w:p>
              </w:tc>
              <w:tc>
                <w:tcPr>
                  <w:tcW w:w="1284" w:type="dxa"/>
                  <w:vAlign w:val="center"/>
                </w:tcPr>
                <w:p w14:paraId="051E66D0">
                  <w:pPr>
                    <w:spacing w:line="0" w:lineRule="atLeast"/>
                    <w:jc w:val="center"/>
                    <w:rPr>
                      <w:rFonts w:hint="eastAsia"/>
                      <w:szCs w:val="21"/>
                    </w:rPr>
                  </w:pPr>
                  <w:r>
                    <w:rPr>
                      <w:rFonts w:hint="eastAsia"/>
                      <w:szCs w:val="21"/>
                    </w:rPr>
                    <w:t>12月25日</w:t>
                  </w:r>
                </w:p>
              </w:tc>
              <w:tc>
                <w:tcPr>
                  <w:tcW w:w="992" w:type="dxa"/>
                  <w:vAlign w:val="center"/>
                </w:tcPr>
                <w:p w14:paraId="2AD0107F">
                  <w:pPr>
                    <w:spacing w:line="0" w:lineRule="atLeast"/>
                    <w:jc w:val="center"/>
                    <w:rPr>
                      <w:rFonts w:hint="eastAsia"/>
                      <w:szCs w:val="21"/>
                    </w:rPr>
                  </w:pPr>
                  <w:r>
                    <w:rPr>
                      <w:rFonts w:hint="eastAsia"/>
                      <w:szCs w:val="21"/>
                    </w:rPr>
                    <w:t>50.8</w:t>
                  </w:r>
                </w:p>
              </w:tc>
              <w:tc>
                <w:tcPr>
                  <w:tcW w:w="984" w:type="dxa"/>
                  <w:vMerge w:val="continue"/>
                  <w:vAlign w:val="center"/>
                </w:tcPr>
                <w:p w14:paraId="7A3A0377">
                  <w:pPr>
                    <w:spacing w:line="0" w:lineRule="atLeast"/>
                    <w:jc w:val="center"/>
                    <w:rPr>
                      <w:rFonts w:hint="eastAsia"/>
                      <w:szCs w:val="21"/>
                    </w:rPr>
                  </w:pPr>
                </w:p>
              </w:tc>
              <w:tc>
                <w:tcPr>
                  <w:tcW w:w="977" w:type="dxa"/>
                  <w:vMerge w:val="continue"/>
                  <w:vAlign w:val="center"/>
                </w:tcPr>
                <w:p w14:paraId="399E7C49">
                  <w:pPr>
                    <w:spacing w:line="0" w:lineRule="atLeast"/>
                    <w:jc w:val="center"/>
                    <w:rPr>
                      <w:rFonts w:hint="eastAsia"/>
                      <w:szCs w:val="21"/>
                    </w:rPr>
                  </w:pPr>
                </w:p>
              </w:tc>
              <w:tc>
                <w:tcPr>
                  <w:tcW w:w="1089" w:type="dxa"/>
                  <w:vAlign w:val="center"/>
                </w:tcPr>
                <w:p w14:paraId="7EAC89C2">
                  <w:pPr>
                    <w:spacing w:line="0" w:lineRule="atLeast"/>
                    <w:jc w:val="center"/>
                    <w:rPr>
                      <w:rFonts w:hint="eastAsia"/>
                      <w:szCs w:val="21"/>
                    </w:rPr>
                  </w:pPr>
                  <w:r>
                    <w:rPr>
                      <w:rFonts w:hint="eastAsia"/>
                      <w:szCs w:val="21"/>
                    </w:rPr>
                    <w:t>40.7</w:t>
                  </w:r>
                </w:p>
              </w:tc>
              <w:tc>
                <w:tcPr>
                  <w:tcW w:w="1044" w:type="dxa"/>
                  <w:vMerge w:val="continue"/>
                  <w:vAlign w:val="center"/>
                </w:tcPr>
                <w:p w14:paraId="7C5E5CAB">
                  <w:pPr>
                    <w:spacing w:line="0" w:lineRule="atLeast"/>
                    <w:jc w:val="center"/>
                    <w:rPr>
                      <w:rFonts w:hint="eastAsia"/>
                      <w:szCs w:val="21"/>
                    </w:rPr>
                  </w:pPr>
                </w:p>
              </w:tc>
              <w:tc>
                <w:tcPr>
                  <w:tcW w:w="1095" w:type="dxa"/>
                  <w:vMerge w:val="continue"/>
                  <w:vAlign w:val="center"/>
                </w:tcPr>
                <w:p w14:paraId="2EB07EAC">
                  <w:pPr>
                    <w:spacing w:line="0" w:lineRule="atLeast"/>
                    <w:jc w:val="center"/>
                    <w:rPr>
                      <w:rFonts w:hint="eastAsia"/>
                      <w:szCs w:val="21"/>
                    </w:rPr>
                  </w:pPr>
                </w:p>
              </w:tc>
            </w:tr>
            <w:tr w14:paraId="65A5311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1316" w:type="dxa"/>
                  <w:vMerge w:val="restart"/>
                  <w:vAlign w:val="center"/>
                </w:tcPr>
                <w:p w14:paraId="383B121C">
                  <w:pPr>
                    <w:spacing w:line="0" w:lineRule="atLeast"/>
                    <w:jc w:val="center"/>
                    <w:rPr>
                      <w:rFonts w:hint="eastAsia"/>
                      <w:szCs w:val="21"/>
                    </w:rPr>
                  </w:pPr>
                  <w:r>
                    <w:rPr>
                      <w:rFonts w:hint="eastAsia"/>
                      <w:szCs w:val="21"/>
                    </w:rPr>
                    <w:t>升压站</w:t>
                  </w:r>
                </w:p>
              </w:tc>
              <w:tc>
                <w:tcPr>
                  <w:tcW w:w="1284" w:type="dxa"/>
                  <w:vAlign w:val="center"/>
                </w:tcPr>
                <w:p w14:paraId="24B1D019">
                  <w:pPr>
                    <w:spacing w:line="0" w:lineRule="atLeast"/>
                    <w:jc w:val="center"/>
                    <w:rPr>
                      <w:rFonts w:hint="eastAsia"/>
                      <w:szCs w:val="21"/>
                    </w:rPr>
                  </w:pPr>
                  <w:r>
                    <w:rPr>
                      <w:rFonts w:hint="eastAsia"/>
                      <w:szCs w:val="21"/>
                    </w:rPr>
                    <w:t>12月24日</w:t>
                  </w:r>
                </w:p>
              </w:tc>
              <w:tc>
                <w:tcPr>
                  <w:tcW w:w="992" w:type="dxa"/>
                  <w:vAlign w:val="center"/>
                </w:tcPr>
                <w:p w14:paraId="5DF8F20B">
                  <w:pPr>
                    <w:spacing w:line="0" w:lineRule="atLeast"/>
                    <w:jc w:val="center"/>
                    <w:rPr>
                      <w:rFonts w:hint="eastAsia"/>
                      <w:szCs w:val="21"/>
                    </w:rPr>
                  </w:pPr>
                  <w:r>
                    <w:rPr>
                      <w:rFonts w:hint="eastAsia"/>
                      <w:szCs w:val="21"/>
                    </w:rPr>
                    <w:t>47.3</w:t>
                  </w:r>
                </w:p>
              </w:tc>
              <w:tc>
                <w:tcPr>
                  <w:tcW w:w="984" w:type="dxa"/>
                  <w:vMerge w:val="continue"/>
                  <w:vAlign w:val="center"/>
                </w:tcPr>
                <w:p w14:paraId="693CF342">
                  <w:pPr>
                    <w:spacing w:line="0" w:lineRule="atLeast"/>
                    <w:jc w:val="center"/>
                    <w:rPr>
                      <w:rFonts w:hint="eastAsia"/>
                      <w:szCs w:val="21"/>
                    </w:rPr>
                  </w:pPr>
                </w:p>
              </w:tc>
              <w:tc>
                <w:tcPr>
                  <w:tcW w:w="977" w:type="dxa"/>
                  <w:vMerge w:val="restart"/>
                  <w:vAlign w:val="center"/>
                </w:tcPr>
                <w:p w14:paraId="45E60EFC">
                  <w:pPr>
                    <w:spacing w:line="0" w:lineRule="atLeast"/>
                    <w:jc w:val="center"/>
                    <w:rPr>
                      <w:rFonts w:hint="eastAsia"/>
                      <w:szCs w:val="21"/>
                    </w:rPr>
                  </w:pPr>
                  <w:r>
                    <w:rPr>
                      <w:rFonts w:hint="eastAsia"/>
                      <w:szCs w:val="21"/>
                    </w:rPr>
                    <w:t>达标</w:t>
                  </w:r>
                </w:p>
              </w:tc>
              <w:tc>
                <w:tcPr>
                  <w:tcW w:w="1089" w:type="dxa"/>
                  <w:vAlign w:val="center"/>
                </w:tcPr>
                <w:p w14:paraId="322EC43F">
                  <w:pPr>
                    <w:spacing w:line="0" w:lineRule="atLeast"/>
                    <w:jc w:val="center"/>
                    <w:rPr>
                      <w:rFonts w:hint="eastAsia"/>
                      <w:szCs w:val="21"/>
                    </w:rPr>
                  </w:pPr>
                  <w:r>
                    <w:rPr>
                      <w:rFonts w:hint="eastAsia"/>
                      <w:szCs w:val="21"/>
                    </w:rPr>
                    <w:t>40.9</w:t>
                  </w:r>
                </w:p>
              </w:tc>
              <w:tc>
                <w:tcPr>
                  <w:tcW w:w="1044" w:type="dxa"/>
                  <w:vMerge w:val="continue"/>
                  <w:vAlign w:val="center"/>
                </w:tcPr>
                <w:p w14:paraId="7893787F">
                  <w:pPr>
                    <w:spacing w:line="0" w:lineRule="atLeast"/>
                    <w:jc w:val="center"/>
                    <w:rPr>
                      <w:rFonts w:hint="eastAsia"/>
                      <w:szCs w:val="21"/>
                    </w:rPr>
                  </w:pPr>
                </w:p>
              </w:tc>
              <w:tc>
                <w:tcPr>
                  <w:tcW w:w="1095" w:type="dxa"/>
                  <w:vMerge w:val="restart"/>
                  <w:vAlign w:val="center"/>
                </w:tcPr>
                <w:p w14:paraId="2FADD4FC">
                  <w:pPr>
                    <w:spacing w:line="0" w:lineRule="atLeast"/>
                    <w:jc w:val="center"/>
                    <w:rPr>
                      <w:rFonts w:hint="eastAsia"/>
                      <w:szCs w:val="21"/>
                    </w:rPr>
                  </w:pPr>
                  <w:r>
                    <w:rPr>
                      <w:rFonts w:hint="eastAsia"/>
                      <w:szCs w:val="21"/>
                    </w:rPr>
                    <w:t>达标</w:t>
                  </w:r>
                </w:p>
              </w:tc>
            </w:tr>
            <w:tr w14:paraId="37FFDC6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1316" w:type="dxa"/>
                  <w:vMerge w:val="continue"/>
                  <w:vAlign w:val="center"/>
                </w:tcPr>
                <w:p w14:paraId="5F407ED6">
                  <w:pPr>
                    <w:spacing w:line="0" w:lineRule="atLeast"/>
                    <w:jc w:val="center"/>
                    <w:rPr>
                      <w:rFonts w:hint="eastAsia"/>
                      <w:szCs w:val="21"/>
                    </w:rPr>
                  </w:pPr>
                </w:p>
              </w:tc>
              <w:tc>
                <w:tcPr>
                  <w:tcW w:w="1284" w:type="dxa"/>
                  <w:vAlign w:val="center"/>
                </w:tcPr>
                <w:p w14:paraId="1E0DEE2F">
                  <w:pPr>
                    <w:spacing w:line="0" w:lineRule="atLeast"/>
                    <w:jc w:val="center"/>
                    <w:rPr>
                      <w:rFonts w:hint="eastAsia"/>
                      <w:szCs w:val="21"/>
                    </w:rPr>
                  </w:pPr>
                  <w:r>
                    <w:rPr>
                      <w:rFonts w:hint="eastAsia"/>
                      <w:szCs w:val="21"/>
                    </w:rPr>
                    <w:t>12月25日</w:t>
                  </w:r>
                </w:p>
              </w:tc>
              <w:tc>
                <w:tcPr>
                  <w:tcW w:w="992" w:type="dxa"/>
                  <w:vAlign w:val="center"/>
                </w:tcPr>
                <w:p w14:paraId="54FBF8B8">
                  <w:pPr>
                    <w:spacing w:line="0" w:lineRule="atLeast"/>
                    <w:jc w:val="center"/>
                    <w:rPr>
                      <w:rFonts w:hint="eastAsia"/>
                      <w:szCs w:val="21"/>
                    </w:rPr>
                  </w:pPr>
                  <w:r>
                    <w:rPr>
                      <w:rFonts w:hint="eastAsia"/>
                      <w:szCs w:val="21"/>
                    </w:rPr>
                    <w:t>49.2</w:t>
                  </w:r>
                </w:p>
              </w:tc>
              <w:tc>
                <w:tcPr>
                  <w:tcW w:w="984" w:type="dxa"/>
                  <w:vMerge w:val="continue"/>
                  <w:vAlign w:val="center"/>
                </w:tcPr>
                <w:p w14:paraId="36F36576">
                  <w:pPr>
                    <w:spacing w:line="0" w:lineRule="atLeast"/>
                    <w:jc w:val="center"/>
                    <w:rPr>
                      <w:rFonts w:hint="eastAsia"/>
                      <w:szCs w:val="21"/>
                    </w:rPr>
                  </w:pPr>
                </w:p>
              </w:tc>
              <w:tc>
                <w:tcPr>
                  <w:tcW w:w="977" w:type="dxa"/>
                  <w:vMerge w:val="continue"/>
                  <w:vAlign w:val="center"/>
                </w:tcPr>
                <w:p w14:paraId="541B115A">
                  <w:pPr>
                    <w:spacing w:line="0" w:lineRule="atLeast"/>
                    <w:jc w:val="center"/>
                    <w:rPr>
                      <w:rFonts w:hint="eastAsia"/>
                      <w:szCs w:val="21"/>
                    </w:rPr>
                  </w:pPr>
                </w:p>
              </w:tc>
              <w:tc>
                <w:tcPr>
                  <w:tcW w:w="1089" w:type="dxa"/>
                  <w:vAlign w:val="center"/>
                </w:tcPr>
                <w:p w14:paraId="415CAEFD">
                  <w:pPr>
                    <w:spacing w:line="0" w:lineRule="atLeast"/>
                    <w:jc w:val="center"/>
                    <w:rPr>
                      <w:rFonts w:hint="eastAsia"/>
                      <w:szCs w:val="21"/>
                    </w:rPr>
                  </w:pPr>
                  <w:r>
                    <w:rPr>
                      <w:rFonts w:hint="eastAsia"/>
                      <w:szCs w:val="21"/>
                    </w:rPr>
                    <w:t>40.0</w:t>
                  </w:r>
                </w:p>
              </w:tc>
              <w:tc>
                <w:tcPr>
                  <w:tcW w:w="1044" w:type="dxa"/>
                  <w:vMerge w:val="continue"/>
                  <w:vAlign w:val="center"/>
                </w:tcPr>
                <w:p w14:paraId="6E825DD9">
                  <w:pPr>
                    <w:spacing w:line="0" w:lineRule="atLeast"/>
                    <w:jc w:val="center"/>
                    <w:rPr>
                      <w:rFonts w:hint="eastAsia"/>
                      <w:szCs w:val="21"/>
                    </w:rPr>
                  </w:pPr>
                </w:p>
              </w:tc>
              <w:tc>
                <w:tcPr>
                  <w:tcW w:w="1095" w:type="dxa"/>
                  <w:vMerge w:val="continue"/>
                  <w:vAlign w:val="center"/>
                </w:tcPr>
                <w:p w14:paraId="3119E5E3">
                  <w:pPr>
                    <w:spacing w:line="0" w:lineRule="atLeast"/>
                    <w:jc w:val="center"/>
                    <w:rPr>
                      <w:rFonts w:hint="eastAsia"/>
                      <w:szCs w:val="21"/>
                    </w:rPr>
                  </w:pPr>
                </w:p>
              </w:tc>
            </w:tr>
          </w:tbl>
          <w:p w14:paraId="0955E9C0">
            <w:pPr>
              <w:spacing w:beforeLines="50"/>
              <w:ind w:firstLine="480" w:firstLineChars="200"/>
              <w:rPr>
                <w:rFonts w:hint="eastAsia"/>
                <w:sz w:val="24"/>
              </w:rPr>
            </w:pPr>
            <w:r>
              <w:rPr>
                <w:rFonts w:hint="eastAsia"/>
                <w:sz w:val="24"/>
              </w:rPr>
              <w:t>由表14分析可知，阿钦郭勒和拟建升压站噪声监测值昼间为47.3～51.5dB（A），夜间为40.0～42.7dB（A），满足《声环境质量标准》（GB3096-2008）1类标准要求。</w:t>
            </w:r>
          </w:p>
          <w:p w14:paraId="11329DB6">
            <w:pPr>
              <w:ind w:firstLine="480" w:firstLineChars="200"/>
              <w:rPr>
                <w:rFonts w:hint="eastAsia"/>
                <w:sz w:val="24"/>
              </w:rPr>
            </w:pPr>
            <w:r>
              <w:rPr>
                <w:rFonts w:hint="eastAsia"/>
                <w:sz w:val="24"/>
              </w:rPr>
              <w:t>3</w:t>
            </w:r>
            <w:r>
              <w:rPr>
                <w:sz w:val="24"/>
              </w:rPr>
              <w:t>、生态现状</w:t>
            </w:r>
          </w:p>
          <w:p w14:paraId="37048B35">
            <w:pPr>
              <w:ind w:firstLine="480" w:firstLineChars="200"/>
              <w:rPr>
                <w:rFonts w:hint="eastAsia"/>
                <w:sz w:val="24"/>
              </w:rPr>
            </w:pPr>
            <w:r>
              <w:rPr>
                <w:rFonts w:hint="eastAsia"/>
                <w:sz w:val="24"/>
              </w:rPr>
              <w:t>（1）基础信息获取</w:t>
            </w:r>
          </w:p>
          <w:p w14:paraId="455BC0DA">
            <w:pPr>
              <w:ind w:firstLine="480" w:firstLineChars="200"/>
              <w:rPr>
                <w:rFonts w:hint="eastAsia"/>
                <w:sz w:val="24"/>
              </w:rPr>
            </w:pPr>
            <w:r>
              <w:rPr>
                <w:rFonts w:hint="eastAsia"/>
                <w:color w:val="FF0000"/>
                <w:sz w:val="24"/>
              </w:rPr>
              <w:t>本次环评生态现状评价范围为沿风电场范围边界外扩1km，评价区面积15532.22hm</w:t>
            </w:r>
            <w:r>
              <w:rPr>
                <w:rFonts w:hint="eastAsia"/>
                <w:color w:val="FF0000"/>
                <w:sz w:val="24"/>
                <w:vertAlign w:val="superscript"/>
              </w:rPr>
              <w:t>2</w:t>
            </w:r>
            <w:r>
              <w:rPr>
                <w:rFonts w:hint="eastAsia"/>
                <w:color w:val="FF0000"/>
                <w:sz w:val="24"/>
              </w:rPr>
              <w:t>。</w:t>
            </w:r>
            <w:r>
              <w:rPr>
                <w:rFonts w:hint="eastAsia"/>
                <w:sz w:val="24"/>
              </w:rPr>
              <w:t>生态现状调查采用卫星遥感和现场调查法进行调查。拟建项目生态现状调查解译使用的信息源主要为陆地卫星8遥感影像，分辨率为15m，融合成像时间2016年7月28日，利用5、4、3波段合成假彩色，后与8波段融合，主要考虑到这一时期的地表类型差异是一年中较明显的时候，该时间段具有地物区分显着、地表信息丰富的特点，有利于对各生态环境因子的判断，遥感影像见图9。</w:t>
            </w:r>
          </w:p>
          <w:p w14:paraId="450E63F0">
            <w:pPr>
              <w:ind w:firstLine="480" w:firstLineChars="200"/>
              <w:rPr>
                <w:rFonts w:hint="eastAsia"/>
                <w:sz w:val="24"/>
              </w:rPr>
            </w:pPr>
            <w:r>
              <w:rPr>
                <w:rFonts w:hint="eastAsia"/>
                <w:sz w:val="24"/>
              </w:rPr>
              <w:t>地面调查主要采取以实地调查为主，收集资料为辅相结合的方法。实地调查掌握项目区范围内自然生态的基本情况以及各种水土保持项目的情况。在实地调查的基础上，结合卫星影像图，取得植被组成、土地利用现状等第一手资料，最后利用REGION MANAGER处理软件绘制评价区1:50000相关生态图件和数据统计表。</w:t>
            </w:r>
          </w:p>
          <w:p w14:paraId="2FF10214">
            <w:pPr>
              <w:ind w:firstLine="480" w:firstLineChars="200"/>
              <w:rPr>
                <w:rFonts w:hint="eastAsia"/>
                <w:sz w:val="24"/>
              </w:rPr>
            </w:pPr>
          </w:p>
          <w:p w14:paraId="57D1C371">
            <w:pPr>
              <w:ind w:firstLine="480" w:firstLineChars="200"/>
              <w:rPr>
                <w:rFonts w:hint="eastAsia"/>
                <w:sz w:val="24"/>
              </w:rPr>
            </w:pPr>
          </w:p>
          <w:p w14:paraId="106F6AD0">
            <w:pPr>
              <w:ind w:firstLine="480" w:firstLineChars="200"/>
              <w:rPr>
                <w:rFonts w:hint="eastAsia"/>
                <w:sz w:val="24"/>
              </w:rPr>
            </w:pPr>
          </w:p>
          <w:p w14:paraId="14DD045B">
            <w:pPr>
              <w:ind w:firstLine="480" w:firstLineChars="200"/>
              <w:rPr>
                <w:rFonts w:hint="eastAsia"/>
                <w:sz w:val="24"/>
              </w:rPr>
            </w:pPr>
          </w:p>
          <w:p w14:paraId="16E49CD8">
            <w:pPr>
              <w:ind w:firstLine="480" w:firstLineChars="200"/>
              <w:rPr>
                <w:rFonts w:hint="eastAsia"/>
                <w:sz w:val="24"/>
              </w:rPr>
            </w:pPr>
          </w:p>
          <w:p w14:paraId="0EB51A52">
            <w:pPr>
              <w:ind w:firstLine="480" w:firstLineChars="200"/>
              <w:rPr>
                <w:rFonts w:hint="eastAsia"/>
                <w:sz w:val="24"/>
              </w:rPr>
            </w:pPr>
          </w:p>
          <w:p w14:paraId="59541E27">
            <w:pPr>
              <w:ind w:firstLine="480" w:firstLineChars="200"/>
              <w:rPr>
                <w:rFonts w:hint="eastAsia"/>
                <w:sz w:val="24"/>
              </w:rPr>
            </w:pPr>
          </w:p>
          <w:p w14:paraId="23CD8171">
            <w:pPr>
              <w:ind w:firstLine="420" w:firstLineChars="200"/>
              <w:rPr>
                <w:rFonts w:hint="eastAsia"/>
                <w:sz w:val="24"/>
              </w:rPr>
            </w:pPr>
            <w:r>
              <w:drawing>
                <wp:anchor distT="0" distB="0" distL="114300" distR="114300" simplePos="0" relativeHeight="251666432" behindDoc="0" locked="0" layoutInCell="1" allowOverlap="1">
                  <wp:simplePos x="0" y="0"/>
                  <wp:positionH relativeFrom="column">
                    <wp:posOffset>-1297305</wp:posOffset>
                  </wp:positionH>
                  <wp:positionV relativeFrom="paragraph">
                    <wp:posOffset>1469390</wp:posOffset>
                  </wp:positionV>
                  <wp:extent cx="8202295" cy="5505450"/>
                  <wp:effectExtent l="0" t="1371600" r="0" b="1371600"/>
                  <wp:wrapNone/>
                  <wp:docPr id="21" name="图片 742" descr="遥感影像图+风机点位A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742" descr="遥感影像图+风机点位A3"/>
                          <pic:cNvPicPr>
                            <a:picLocks noChangeAspect="1" noChangeArrowheads="1"/>
                          </pic:cNvPicPr>
                        </pic:nvPicPr>
                        <pic:blipFill>
                          <a:blip r:embed="rId12" cstate="print"/>
                          <a:srcRect l="5870" t="7736" r="5466" b="8023"/>
                          <a:stretch>
                            <a:fillRect/>
                          </a:stretch>
                        </pic:blipFill>
                        <pic:spPr>
                          <a:xfrm rot="16200000">
                            <a:off x="0" y="0"/>
                            <a:ext cx="8202295" cy="5505450"/>
                          </a:xfrm>
                          <a:prstGeom prst="rect">
                            <a:avLst/>
                          </a:prstGeom>
                          <a:noFill/>
                          <a:ln w="12700">
                            <a:solidFill>
                              <a:srgbClr val="000000"/>
                            </a:solidFill>
                            <a:miter lim="800000"/>
                            <a:headEnd/>
                            <a:tailEnd/>
                          </a:ln>
                        </pic:spPr>
                      </pic:pic>
                    </a:graphicData>
                  </a:graphic>
                </wp:anchor>
              </w:drawing>
            </w:r>
          </w:p>
          <w:p w14:paraId="0199210F">
            <w:pPr>
              <w:ind w:firstLine="480" w:firstLineChars="200"/>
              <w:rPr>
                <w:rFonts w:hint="eastAsia"/>
                <w:sz w:val="24"/>
              </w:rPr>
            </w:pPr>
          </w:p>
          <w:p w14:paraId="2225ABF4">
            <w:pPr>
              <w:ind w:firstLine="480" w:firstLineChars="200"/>
              <w:rPr>
                <w:rFonts w:hint="eastAsia"/>
                <w:sz w:val="24"/>
              </w:rPr>
            </w:pPr>
          </w:p>
          <w:p w14:paraId="23B95824">
            <w:pPr>
              <w:ind w:firstLine="480" w:firstLineChars="200"/>
              <w:rPr>
                <w:rFonts w:hint="eastAsia"/>
                <w:sz w:val="24"/>
              </w:rPr>
            </w:pPr>
          </w:p>
          <w:p w14:paraId="3E2D50FF">
            <w:pPr>
              <w:ind w:firstLine="480" w:firstLineChars="200"/>
              <w:rPr>
                <w:rFonts w:hint="eastAsia"/>
                <w:sz w:val="24"/>
              </w:rPr>
            </w:pPr>
          </w:p>
          <w:p w14:paraId="688490F2">
            <w:pPr>
              <w:ind w:firstLine="480" w:firstLineChars="200"/>
              <w:rPr>
                <w:rFonts w:hint="eastAsia"/>
                <w:sz w:val="24"/>
              </w:rPr>
            </w:pPr>
          </w:p>
          <w:p w14:paraId="27534F81">
            <w:pPr>
              <w:ind w:firstLine="480" w:firstLineChars="200"/>
              <w:rPr>
                <w:rFonts w:hint="eastAsia"/>
                <w:sz w:val="24"/>
              </w:rPr>
            </w:pPr>
          </w:p>
          <w:p w14:paraId="385F936B">
            <w:pPr>
              <w:ind w:firstLine="480" w:firstLineChars="200"/>
              <w:rPr>
                <w:rFonts w:hint="eastAsia"/>
                <w:sz w:val="24"/>
              </w:rPr>
            </w:pPr>
          </w:p>
          <w:p w14:paraId="2B2B9713">
            <w:pPr>
              <w:ind w:firstLine="480" w:firstLineChars="200"/>
              <w:rPr>
                <w:rFonts w:hint="eastAsia"/>
                <w:sz w:val="24"/>
              </w:rPr>
            </w:pPr>
          </w:p>
          <w:p w14:paraId="2322F563">
            <w:pPr>
              <w:ind w:firstLine="480" w:firstLineChars="200"/>
              <w:rPr>
                <w:rFonts w:hint="eastAsia"/>
                <w:sz w:val="24"/>
              </w:rPr>
            </w:pPr>
          </w:p>
          <w:p w14:paraId="45EFC1FE">
            <w:pPr>
              <w:ind w:firstLine="480" w:firstLineChars="200"/>
              <w:rPr>
                <w:rFonts w:hint="eastAsia"/>
                <w:sz w:val="24"/>
              </w:rPr>
            </w:pPr>
          </w:p>
          <w:p w14:paraId="760B9975">
            <w:pPr>
              <w:ind w:firstLine="480" w:firstLineChars="200"/>
              <w:rPr>
                <w:rFonts w:hint="eastAsia"/>
                <w:sz w:val="24"/>
              </w:rPr>
            </w:pPr>
          </w:p>
          <w:p w14:paraId="73FAA8C1">
            <w:pPr>
              <w:ind w:firstLine="480" w:firstLineChars="200"/>
              <w:rPr>
                <w:rFonts w:hint="eastAsia"/>
                <w:sz w:val="24"/>
              </w:rPr>
            </w:pPr>
          </w:p>
          <w:p w14:paraId="6B2F8057">
            <w:pPr>
              <w:ind w:firstLine="480" w:firstLineChars="200"/>
              <w:rPr>
                <w:rFonts w:hint="eastAsia"/>
                <w:sz w:val="24"/>
              </w:rPr>
            </w:pPr>
          </w:p>
          <w:p w14:paraId="4F6D984D">
            <w:pPr>
              <w:ind w:firstLine="480" w:firstLineChars="200"/>
              <w:rPr>
                <w:rFonts w:hint="eastAsia"/>
                <w:sz w:val="24"/>
              </w:rPr>
            </w:pPr>
          </w:p>
          <w:p w14:paraId="74161227">
            <w:pPr>
              <w:ind w:firstLine="480" w:firstLineChars="200"/>
              <w:rPr>
                <w:rFonts w:hint="eastAsia"/>
                <w:sz w:val="24"/>
              </w:rPr>
            </w:pPr>
          </w:p>
          <w:p w14:paraId="5DA4CDB9">
            <w:pPr>
              <w:ind w:firstLine="480" w:firstLineChars="200"/>
              <w:rPr>
                <w:rFonts w:hint="eastAsia"/>
                <w:sz w:val="24"/>
              </w:rPr>
            </w:pPr>
          </w:p>
          <w:p w14:paraId="559F8358">
            <w:pPr>
              <w:ind w:firstLine="480" w:firstLineChars="200"/>
              <w:rPr>
                <w:rFonts w:hint="eastAsia"/>
                <w:sz w:val="24"/>
              </w:rPr>
            </w:pPr>
          </w:p>
          <w:p w14:paraId="75B98097">
            <w:pPr>
              <w:ind w:firstLine="480" w:firstLineChars="200"/>
              <w:rPr>
                <w:rFonts w:hint="eastAsia"/>
                <w:sz w:val="24"/>
              </w:rPr>
            </w:pPr>
          </w:p>
          <w:p w14:paraId="0E6051B7">
            <w:pPr>
              <w:ind w:firstLine="480" w:firstLineChars="200"/>
              <w:rPr>
                <w:rFonts w:hint="eastAsia"/>
                <w:sz w:val="24"/>
              </w:rPr>
            </w:pPr>
          </w:p>
          <w:p w14:paraId="7348524F">
            <w:pPr>
              <w:ind w:firstLine="480" w:firstLineChars="200"/>
              <w:rPr>
                <w:rFonts w:hint="eastAsia"/>
                <w:sz w:val="24"/>
              </w:rPr>
            </w:pPr>
          </w:p>
          <w:p w14:paraId="623AADA5">
            <w:pPr>
              <w:ind w:firstLine="480" w:firstLineChars="200"/>
              <w:rPr>
                <w:rFonts w:hint="eastAsia"/>
                <w:sz w:val="24"/>
              </w:rPr>
            </w:pPr>
          </w:p>
          <w:p w14:paraId="662D647C">
            <w:pPr>
              <w:ind w:firstLine="480" w:firstLineChars="200"/>
              <w:rPr>
                <w:rFonts w:hint="eastAsia"/>
                <w:sz w:val="24"/>
              </w:rPr>
            </w:pPr>
          </w:p>
          <w:p w14:paraId="36753880">
            <w:pPr>
              <w:ind w:firstLine="480" w:firstLineChars="200"/>
              <w:rPr>
                <w:rFonts w:hint="eastAsia"/>
                <w:sz w:val="24"/>
              </w:rPr>
            </w:pPr>
          </w:p>
          <w:p w14:paraId="1F695FDE">
            <w:pPr>
              <w:ind w:firstLine="480" w:firstLineChars="200"/>
              <w:rPr>
                <w:rFonts w:hint="eastAsia"/>
                <w:sz w:val="24"/>
              </w:rPr>
            </w:pPr>
          </w:p>
          <w:p w14:paraId="6935D72C">
            <w:pPr>
              <w:ind w:firstLine="480" w:firstLineChars="200"/>
              <w:rPr>
                <w:rFonts w:hint="eastAsia"/>
                <w:sz w:val="24"/>
              </w:rPr>
            </w:pPr>
          </w:p>
          <w:p w14:paraId="0E99C968">
            <w:pPr>
              <w:ind w:firstLine="480" w:firstLineChars="200"/>
              <w:rPr>
                <w:rFonts w:hint="eastAsia"/>
                <w:sz w:val="24"/>
              </w:rPr>
            </w:pPr>
          </w:p>
          <w:p w14:paraId="310030CC">
            <w:pPr>
              <w:ind w:firstLine="480" w:firstLineChars="200"/>
              <w:rPr>
                <w:rFonts w:hint="eastAsia"/>
                <w:sz w:val="24"/>
              </w:rPr>
            </w:pPr>
          </w:p>
          <w:p w14:paraId="6A5DC895">
            <w:pPr>
              <w:jc w:val="center"/>
              <w:rPr>
                <w:rFonts w:hint="eastAsia" w:ascii="黑体" w:hAnsi="黑体" w:eastAsia="黑体"/>
                <w:color w:val="000000"/>
                <w:sz w:val="24"/>
              </w:rPr>
            </w:pPr>
            <w:r>
              <w:rPr>
                <w:rFonts w:hint="eastAsia" w:ascii="黑体" w:hAnsi="黑体" w:eastAsia="黑体"/>
                <w:color w:val="000000"/>
                <w:sz w:val="24"/>
              </w:rPr>
              <w:t>图9</w:t>
            </w:r>
            <w:r>
              <w:rPr>
                <w:rFonts w:ascii="黑体" w:hAnsi="黑体" w:eastAsia="黑体"/>
                <w:color w:val="000000"/>
                <w:sz w:val="24"/>
              </w:rPr>
              <w:t xml:space="preserve">    </w:t>
            </w:r>
            <w:r>
              <w:rPr>
                <w:rFonts w:hint="eastAsia" w:ascii="黑体" w:hAnsi="黑体" w:eastAsia="黑体"/>
                <w:color w:val="000000"/>
                <w:sz w:val="24"/>
              </w:rPr>
              <w:t>评价范围遥感影像图</w:t>
            </w:r>
          </w:p>
          <w:p w14:paraId="481F55CA">
            <w:pPr>
              <w:ind w:firstLine="480" w:firstLineChars="200"/>
              <w:rPr>
                <w:rFonts w:hint="eastAsia"/>
                <w:sz w:val="24"/>
              </w:rPr>
            </w:pPr>
            <w:r>
              <w:rPr>
                <w:rFonts w:hint="eastAsia"/>
                <w:sz w:val="24"/>
              </w:rPr>
              <w:t>（2）植被现状调查与评价</w:t>
            </w:r>
          </w:p>
          <w:p w14:paraId="734B3DA1">
            <w:pPr>
              <w:ind w:firstLine="480" w:firstLineChars="200"/>
              <w:rPr>
                <w:rFonts w:hint="eastAsia"/>
                <w:color w:val="000000"/>
                <w:sz w:val="24"/>
              </w:rPr>
            </w:pPr>
            <w:r>
              <w:rPr>
                <w:rFonts w:hint="eastAsia"/>
                <w:color w:val="000000"/>
                <w:sz w:val="24"/>
              </w:rPr>
              <w:t>① 评价区植被现状遥感解译</w:t>
            </w:r>
          </w:p>
          <w:p w14:paraId="26111143">
            <w:pPr>
              <w:ind w:firstLine="480" w:firstLineChars="200"/>
              <w:rPr>
                <w:rFonts w:hint="eastAsia"/>
                <w:color w:val="000000"/>
                <w:sz w:val="24"/>
              </w:rPr>
            </w:pPr>
            <w:r>
              <w:rPr>
                <w:rFonts w:hint="eastAsia"/>
                <w:color w:val="000000"/>
                <w:sz w:val="24"/>
              </w:rPr>
              <w:t>根据现场调查和卫星影像分析，评价区内植被类型主要为典型草原，植被类型及分布见图10，植被类型统计见表14。</w:t>
            </w:r>
          </w:p>
          <w:p w14:paraId="2B26694E">
            <w:pPr>
              <w:ind w:firstLine="480" w:firstLineChars="200"/>
              <w:rPr>
                <w:rFonts w:hint="eastAsia" w:ascii="黑体" w:hAnsi="黑体" w:eastAsia="黑体"/>
                <w:color w:val="000000"/>
                <w:sz w:val="24"/>
              </w:rPr>
            </w:pPr>
            <w:r>
              <w:rPr>
                <w:rFonts w:hint="eastAsia" w:ascii="黑体" w:hAnsi="黑体" w:eastAsia="黑体"/>
                <w:color w:val="000000"/>
                <w:sz w:val="24"/>
              </w:rPr>
              <w:t>表14               评价范围内植被类型及分布统计</w:t>
            </w:r>
          </w:p>
          <w:tbl>
            <w:tblPr>
              <w:tblStyle w:val="25"/>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28" w:type="dxa"/>
                <w:bottom w:w="0" w:type="dxa"/>
                <w:right w:w="28" w:type="dxa"/>
              </w:tblCellMar>
            </w:tblPr>
            <w:tblGrid>
              <w:gridCol w:w="999"/>
              <w:gridCol w:w="2573"/>
              <w:gridCol w:w="2516"/>
              <w:gridCol w:w="896"/>
              <w:gridCol w:w="913"/>
              <w:gridCol w:w="892"/>
            </w:tblGrid>
            <w:tr w14:paraId="4BCBD78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Merge w:val="restart"/>
                  <w:vAlign w:val="center"/>
                </w:tcPr>
                <w:p w14:paraId="32AC4429">
                  <w:pPr>
                    <w:pStyle w:val="111"/>
                    <w:spacing w:line="240" w:lineRule="auto"/>
                    <w:ind w:left="-105" w:leftChars="-50" w:right="-105" w:rightChars="-50" w:firstLine="0" w:firstLineChars="0"/>
                    <w:jc w:val="center"/>
                    <w:rPr>
                      <w:rFonts w:hint="eastAsia"/>
                      <w:bCs/>
                      <w:snapToGrid w:val="0"/>
                      <w:kern w:val="24"/>
                      <w:sz w:val="21"/>
                      <w:szCs w:val="21"/>
                      <w:lang w:val="pt-BR"/>
                    </w:rPr>
                  </w:pPr>
                  <w:r>
                    <w:rPr>
                      <w:rFonts w:hint="eastAsia"/>
                      <w:bCs/>
                      <w:snapToGrid w:val="0"/>
                      <w:kern w:val="24"/>
                      <w:sz w:val="21"/>
                      <w:szCs w:val="21"/>
                      <w:lang w:val="pt-BR"/>
                    </w:rPr>
                    <w:t>区域</w:t>
                  </w:r>
                </w:p>
                <w:p w14:paraId="5E3EA798">
                  <w:pPr>
                    <w:spacing w:line="0" w:lineRule="atLeast"/>
                    <w:jc w:val="center"/>
                    <w:rPr>
                      <w:rFonts w:hint="eastAsia"/>
                    </w:rPr>
                  </w:pPr>
                  <w:r>
                    <w:rPr>
                      <w:rFonts w:hint="eastAsia"/>
                      <w:bCs/>
                      <w:snapToGrid w:val="0"/>
                      <w:kern w:val="24"/>
                      <w:szCs w:val="21"/>
                      <w:lang w:val="pt-BR"/>
                    </w:rPr>
                    <w:t>名称</w:t>
                  </w:r>
                </w:p>
              </w:tc>
              <w:tc>
                <w:tcPr>
                  <w:tcW w:w="5089" w:type="dxa"/>
                  <w:gridSpan w:val="2"/>
                  <w:vAlign w:val="center"/>
                </w:tcPr>
                <w:p w14:paraId="5E1F003F">
                  <w:pPr>
                    <w:spacing w:line="0" w:lineRule="atLeast"/>
                    <w:ind w:left="-105" w:leftChars="-50" w:right="-105" w:rightChars="-50"/>
                    <w:jc w:val="center"/>
                    <w:rPr>
                      <w:color w:val="000000"/>
                      <w:szCs w:val="21"/>
                    </w:rPr>
                  </w:pPr>
                  <w:r>
                    <w:rPr>
                      <w:bCs/>
                      <w:snapToGrid w:val="0"/>
                      <w:kern w:val="24"/>
                      <w:szCs w:val="21"/>
                      <w:lang w:val="pt-BR"/>
                    </w:rPr>
                    <w:t>植被类型</w:t>
                  </w:r>
                </w:p>
              </w:tc>
              <w:tc>
                <w:tcPr>
                  <w:tcW w:w="896" w:type="dxa"/>
                  <w:vMerge w:val="restart"/>
                  <w:vAlign w:val="center"/>
                </w:tcPr>
                <w:p w14:paraId="142B1A42">
                  <w:pPr>
                    <w:pStyle w:val="111"/>
                    <w:spacing w:line="240" w:lineRule="auto"/>
                    <w:ind w:firstLine="0" w:firstLineChars="0"/>
                    <w:jc w:val="center"/>
                    <w:rPr>
                      <w:rFonts w:hint="eastAsia"/>
                      <w:bCs/>
                      <w:snapToGrid w:val="0"/>
                      <w:kern w:val="24"/>
                      <w:sz w:val="21"/>
                      <w:szCs w:val="21"/>
                      <w:lang w:val="pt-BR"/>
                    </w:rPr>
                  </w:pPr>
                  <w:r>
                    <w:rPr>
                      <w:rFonts w:hint="eastAsia"/>
                      <w:bCs/>
                      <w:snapToGrid w:val="0"/>
                      <w:kern w:val="24"/>
                      <w:sz w:val="21"/>
                      <w:szCs w:val="21"/>
                      <w:lang w:val="pt-BR"/>
                    </w:rPr>
                    <w:t>斑块数</w:t>
                  </w:r>
                </w:p>
                <w:p w14:paraId="7CD1BC4A">
                  <w:pPr>
                    <w:spacing w:line="0" w:lineRule="atLeast"/>
                    <w:ind w:left="-105" w:leftChars="-50" w:right="-105" w:rightChars="-50"/>
                    <w:jc w:val="center"/>
                    <w:rPr>
                      <w:color w:val="000000"/>
                      <w:szCs w:val="21"/>
                    </w:rPr>
                  </w:pPr>
                  <w:r>
                    <w:rPr>
                      <w:rFonts w:hint="eastAsia"/>
                      <w:bCs/>
                      <w:snapToGrid w:val="0"/>
                      <w:kern w:val="24"/>
                      <w:szCs w:val="21"/>
                      <w:lang w:val="pt-BR"/>
                    </w:rPr>
                    <w:t>（个）</w:t>
                  </w:r>
                </w:p>
              </w:tc>
              <w:tc>
                <w:tcPr>
                  <w:tcW w:w="913" w:type="dxa"/>
                  <w:vMerge w:val="restart"/>
                  <w:vAlign w:val="center"/>
                </w:tcPr>
                <w:p w14:paraId="6325880E">
                  <w:pPr>
                    <w:pStyle w:val="111"/>
                    <w:spacing w:line="240" w:lineRule="auto"/>
                    <w:ind w:firstLine="0" w:firstLineChars="0"/>
                    <w:jc w:val="center"/>
                    <w:rPr>
                      <w:rFonts w:hint="eastAsia"/>
                      <w:bCs/>
                      <w:snapToGrid w:val="0"/>
                      <w:kern w:val="24"/>
                      <w:sz w:val="21"/>
                      <w:szCs w:val="21"/>
                      <w:lang w:val="pt-BR"/>
                    </w:rPr>
                  </w:pPr>
                  <w:r>
                    <w:rPr>
                      <w:rFonts w:hint="eastAsia"/>
                      <w:bCs/>
                      <w:snapToGrid w:val="0"/>
                      <w:kern w:val="24"/>
                      <w:sz w:val="21"/>
                      <w:szCs w:val="21"/>
                      <w:lang w:val="pt-BR"/>
                    </w:rPr>
                    <w:t>面积</w:t>
                  </w:r>
                </w:p>
                <w:p w14:paraId="1EB500FA">
                  <w:pPr>
                    <w:spacing w:line="0" w:lineRule="atLeast"/>
                    <w:ind w:left="-105" w:leftChars="-50" w:right="-105" w:rightChars="-50"/>
                    <w:jc w:val="center"/>
                    <w:rPr>
                      <w:color w:val="000000"/>
                      <w:szCs w:val="21"/>
                    </w:rPr>
                  </w:pPr>
                  <w:r>
                    <w:rPr>
                      <w:rFonts w:hint="eastAsia"/>
                      <w:bCs/>
                      <w:snapToGrid w:val="0"/>
                      <w:kern w:val="24"/>
                      <w:szCs w:val="21"/>
                      <w:lang w:val="pt-BR"/>
                    </w:rPr>
                    <w:t>（hm</w:t>
                  </w:r>
                  <w:r>
                    <w:rPr>
                      <w:rFonts w:hint="eastAsia"/>
                      <w:bCs/>
                      <w:snapToGrid w:val="0"/>
                      <w:kern w:val="24"/>
                      <w:szCs w:val="21"/>
                      <w:vertAlign w:val="superscript"/>
                      <w:lang w:val="pt-BR"/>
                    </w:rPr>
                    <w:t>2</w:t>
                  </w:r>
                  <w:r>
                    <w:rPr>
                      <w:rFonts w:hint="eastAsia"/>
                      <w:bCs/>
                      <w:snapToGrid w:val="0"/>
                      <w:kern w:val="24"/>
                      <w:szCs w:val="21"/>
                      <w:lang w:val="pt-BR"/>
                    </w:rPr>
                    <w:t>）</w:t>
                  </w:r>
                </w:p>
              </w:tc>
              <w:tc>
                <w:tcPr>
                  <w:tcW w:w="892" w:type="dxa"/>
                  <w:vMerge w:val="restart"/>
                  <w:vAlign w:val="center"/>
                </w:tcPr>
                <w:p w14:paraId="119B0F3F">
                  <w:pPr>
                    <w:pStyle w:val="111"/>
                    <w:spacing w:line="240" w:lineRule="auto"/>
                    <w:ind w:firstLine="0" w:firstLineChars="0"/>
                    <w:jc w:val="center"/>
                    <w:rPr>
                      <w:rFonts w:hint="eastAsia"/>
                      <w:bCs/>
                      <w:snapToGrid w:val="0"/>
                      <w:kern w:val="24"/>
                      <w:sz w:val="21"/>
                      <w:szCs w:val="21"/>
                      <w:lang w:val="pt-BR"/>
                    </w:rPr>
                  </w:pPr>
                  <w:r>
                    <w:rPr>
                      <w:rFonts w:hint="eastAsia"/>
                      <w:bCs/>
                      <w:snapToGrid w:val="0"/>
                      <w:kern w:val="24"/>
                      <w:sz w:val="21"/>
                      <w:szCs w:val="21"/>
                      <w:lang w:val="pt-BR"/>
                    </w:rPr>
                    <w:t>比例</w:t>
                  </w:r>
                </w:p>
                <w:p w14:paraId="4EBD49CF">
                  <w:pPr>
                    <w:spacing w:line="0" w:lineRule="atLeast"/>
                    <w:ind w:left="-105" w:leftChars="-50" w:right="-105" w:rightChars="-50"/>
                    <w:jc w:val="center"/>
                    <w:rPr>
                      <w:rFonts w:hint="eastAsia"/>
                      <w:color w:val="000000"/>
                      <w:szCs w:val="21"/>
                    </w:rPr>
                  </w:pPr>
                  <w:r>
                    <w:rPr>
                      <w:rFonts w:hint="eastAsia"/>
                      <w:bCs/>
                      <w:snapToGrid w:val="0"/>
                      <w:kern w:val="24"/>
                      <w:szCs w:val="21"/>
                      <w:lang w:val="pt-BR"/>
                    </w:rPr>
                    <w:t>（%）</w:t>
                  </w:r>
                </w:p>
              </w:tc>
            </w:tr>
            <w:tr w14:paraId="3AEC683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Merge w:val="continue"/>
                  <w:vAlign w:val="center"/>
                </w:tcPr>
                <w:p w14:paraId="7744A835">
                  <w:pPr>
                    <w:spacing w:line="0" w:lineRule="atLeast"/>
                    <w:jc w:val="center"/>
                    <w:rPr>
                      <w:rFonts w:hint="eastAsia"/>
                    </w:rPr>
                  </w:pPr>
                </w:p>
              </w:tc>
              <w:tc>
                <w:tcPr>
                  <w:tcW w:w="2573" w:type="dxa"/>
                  <w:vAlign w:val="center"/>
                </w:tcPr>
                <w:p w14:paraId="70D7F226">
                  <w:pPr>
                    <w:spacing w:line="0" w:lineRule="atLeast"/>
                    <w:ind w:left="-105" w:leftChars="-50" w:right="-105" w:rightChars="-50"/>
                    <w:jc w:val="center"/>
                    <w:rPr>
                      <w:color w:val="000000"/>
                      <w:szCs w:val="21"/>
                    </w:rPr>
                  </w:pPr>
                  <w:r>
                    <w:rPr>
                      <w:rFonts w:hint="eastAsia"/>
                      <w:bCs/>
                      <w:snapToGrid w:val="0"/>
                      <w:kern w:val="24"/>
                      <w:szCs w:val="21"/>
                      <w:lang w:val="pt-BR"/>
                    </w:rPr>
                    <w:t>一级</w:t>
                  </w:r>
                </w:p>
              </w:tc>
              <w:tc>
                <w:tcPr>
                  <w:tcW w:w="2516" w:type="dxa"/>
                  <w:vAlign w:val="center"/>
                </w:tcPr>
                <w:p w14:paraId="5017B3C2">
                  <w:pPr>
                    <w:spacing w:line="0" w:lineRule="atLeast"/>
                    <w:ind w:left="-105" w:leftChars="-50" w:right="-105" w:rightChars="-50"/>
                    <w:jc w:val="center"/>
                    <w:rPr>
                      <w:color w:val="000000"/>
                      <w:szCs w:val="21"/>
                    </w:rPr>
                  </w:pPr>
                  <w:r>
                    <w:rPr>
                      <w:rFonts w:hint="eastAsia"/>
                      <w:bCs/>
                      <w:snapToGrid w:val="0"/>
                      <w:kern w:val="24"/>
                      <w:szCs w:val="21"/>
                      <w:lang w:val="pt-BR"/>
                    </w:rPr>
                    <w:t>二级</w:t>
                  </w:r>
                </w:p>
              </w:tc>
              <w:tc>
                <w:tcPr>
                  <w:tcW w:w="896" w:type="dxa"/>
                  <w:vMerge w:val="continue"/>
                  <w:vAlign w:val="center"/>
                </w:tcPr>
                <w:p w14:paraId="7155EC5B">
                  <w:pPr>
                    <w:spacing w:line="0" w:lineRule="atLeast"/>
                    <w:ind w:left="-105" w:leftChars="-50" w:right="-105" w:rightChars="-50"/>
                    <w:jc w:val="center"/>
                    <w:rPr>
                      <w:color w:val="000000"/>
                      <w:szCs w:val="21"/>
                    </w:rPr>
                  </w:pPr>
                </w:p>
              </w:tc>
              <w:tc>
                <w:tcPr>
                  <w:tcW w:w="913" w:type="dxa"/>
                  <w:vMerge w:val="continue"/>
                  <w:vAlign w:val="center"/>
                </w:tcPr>
                <w:p w14:paraId="2488AFDD">
                  <w:pPr>
                    <w:spacing w:line="0" w:lineRule="atLeast"/>
                    <w:ind w:left="-105" w:leftChars="-50" w:right="-105" w:rightChars="-50"/>
                    <w:jc w:val="center"/>
                    <w:rPr>
                      <w:color w:val="000000"/>
                      <w:szCs w:val="21"/>
                    </w:rPr>
                  </w:pPr>
                </w:p>
              </w:tc>
              <w:tc>
                <w:tcPr>
                  <w:tcW w:w="892" w:type="dxa"/>
                  <w:vMerge w:val="continue"/>
                  <w:vAlign w:val="center"/>
                </w:tcPr>
                <w:p w14:paraId="21C0359E">
                  <w:pPr>
                    <w:spacing w:line="0" w:lineRule="atLeast"/>
                    <w:ind w:left="-105" w:leftChars="-50" w:right="-105" w:rightChars="-50"/>
                    <w:jc w:val="center"/>
                    <w:rPr>
                      <w:rFonts w:hint="eastAsia"/>
                      <w:color w:val="000000"/>
                      <w:szCs w:val="21"/>
                    </w:rPr>
                  </w:pPr>
                </w:p>
              </w:tc>
            </w:tr>
            <w:tr w14:paraId="1B6365B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Merge w:val="restart"/>
                  <w:vAlign w:val="center"/>
                </w:tcPr>
                <w:p w14:paraId="5064D1D7">
                  <w:pPr>
                    <w:spacing w:line="0" w:lineRule="atLeast"/>
                    <w:jc w:val="center"/>
                    <w:rPr>
                      <w:rFonts w:hint="eastAsia"/>
                    </w:rPr>
                  </w:pPr>
                  <w:r>
                    <w:rPr>
                      <w:rFonts w:hint="eastAsia"/>
                      <w:bCs/>
                      <w:snapToGrid w:val="0"/>
                      <w:kern w:val="24"/>
                      <w:szCs w:val="21"/>
                      <w:lang w:val="pt-BR"/>
                    </w:rPr>
                    <w:t>评价区</w:t>
                  </w:r>
                </w:p>
              </w:tc>
              <w:tc>
                <w:tcPr>
                  <w:tcW w:w="2573" w:type="dxa"/>
                  <w:vMerge w:val="restart"/>
                  <w:vAlign w:val="center"/>
                </w:tcPr>
                <w:p w14:paraId="1C692372">
                  <w:pPr>
                    <w:spacing w:line="0" w:lineRule="atLeast"/>
                    <w:ind w:left="-105" w:leftChars="-50" w:right="-105" w:rightChars="-50"/>
                    <w:jc w:val="center"/>
                    <w:rPr>
                      <w:color w:val="000000"/>
                      <w:szCs w:val="21"/>
                    </w:rPr>
                  </w:pPr>
                  <w:r>
                    <w:rPr>
                      <w:rFonts w:hint="eastAsia"/>
                      <w:color w:val="000000"/>
                      <w:szCs w:val="21"/>
                    </w:rPr>
                    <w:t>典型草原</w:t>
                  </w:r>
                </w:p>
              </w:tc>
              <w:tc>
                <w:tcPr>
                  <w:tcW w:w="2516" w:type="dxa"/>
                  <w:vAlign w:val="center"/>
                </w:tcPr>
                <w:p w14:paraId="33E4E8CA">
                  <w:pPr>
                    <w:spacing w:line="0" w:lineRule="atLeast"/>
                    <w:ind w:left="-105" w:leftChars="-50" w:right="-105" w:rightChars="-50"/>
                    <w:jc w:val="center"/>
                    <w:rPr>
                      <w:color w:val="000000"/>
                      <w:szCs w:val="21"/>
                    </w:rPr>
                  </w:pPr>
                  <w:r>
                    <w:rPr>
                      <w:rFonts w:hint="eastAsia"/>
                      <w:color w:val="000000"/>
                      <w:szCs w:val="21"/>
                    </w:rPr>
                    <w:t>糙隐子草+冷蒿群落</w:t>
                  </w:r>
                </w:p>
              </w:tc>
              <w:tc>
                <w:tcPr>
                  <w:tcW w:w="896" w:type="dxa"/>
                  <w:vAlign w:val="center"/>
                </w:tcPr>
                <w:p w14:paraId="75AA208A">
                  <w:pPr>
                    <w:spacing w:line="0" w:lineRule="atLeast"/>
                    <w:ind w:left="-105" w:leftChars="-50" w:right="-105" w:rightChars="-50"/>
                    <w:jc w:val="center"/>
                    <w:rPr>
                      <w:color w:val="000000"/>
                      <w:szCs w:val="21"/>
                    </w:rPr>
                  </w:pPr>
                  <w:r>
                    <w:rPr>
                      <w:rFonts w:hint="eastAsia"/>
                      <w:color w:val="000000"/>
                      <w:szCs w:val="21"/>
                    </w:rPr>
                    <w:t>6</w:t>
                  </w:r>
                </w:p>
              </w:tc>
              <w:tc>
                <w:tcPr>
                  <w:tcW w:w="913" w:type="dxa"/>
                  <w:vAlign w:val="center"/>
                </w:tcPr>
                <w:p w14:paraId="11ED017C">
                  <w:pPr>
                    <w:spacing w:line="0" w:lineRule="atLeast"/>
                    <w:ind w:left="-105" w:leftChars="-50" w:right="-105" w:rightChars="-50"/>
                    <w:jc w:val="center"/>
                    <w:rPr>
                      <w:color w:val="000000"/>
                      <w:szCs w:val="21"/>
                    </w:rPr>
                  </w:pPr>
                  <w:r>
                    <w:rPr>
                      <w:rFonts w:hint="eastAsia"/>
                      <w:color w:val="000000"/>
                      <w:szCs w:val="21"/>
                    </w:rPr>
                    <w:t xml:space="preserve">6666.04 </w:t>
                  </w:r>
                </w:p>
              </w:tc>
              <w:tc>
                <w:tcPr>
                  <w:tcW w:w="892" w:type="dxa"/>
                  <w:vAlign w:val="center"/>
                </w:tcPr>
                <w:p w14:paraId="3626223D">
                  <w:pPr>
                    <w:spacing w:line="0" w:lineRule="atLeast"/>
                    <w:ind w:left="-105" w:leftChars="-50" w:right="-105" w:rightChars="-50"/>
                    <w:jc w:val="center"/>
                    <w:rPr>
                      <w:color w:val="000000"/>
                      <w:szCs w:val="21"/>
                    </w:rPr>
                  </w:pPr>
                  <w:r>
                    <w:rPr>
                      <w:rFonts w:hint="eastAsia"/>
                      <w:color w:val="000000"/>
                      <w:szCs w:val="21"/>
                    </w:rPr>
                    <w:t xml:space="preserve">42.92 </w:t>
                  </w:r>
                </w:p>
              </w:tc>
            </w:tr>
            <w:tr w14:paraId="78679CB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Merge w:val="continue"/>
                  <w:vAlign w:val="center"/>
                </w:tcPr>
                <w:p w14:paraId="0FF60E49">
                  <w:pPr>
                    <w:spacing w:line="0" w:lineRule="atLeast"/>
                    <w:jc w:val="center"/>
                    <w:rPr>
                      <w:rFonts w:hint="eastAsia"/>
                      <w:bCs/>
                      <w:snapToGrid w:val="0"/>
                      <w:kern w:val="24"/>
                      <w:szCs w:val="21"/>
                      <w:lang w:val="pt-BR"/>
                    </w:rPr>
                  </w:pPr>
                </w:p>
              </w:tc>
              <w:tc>
                <w:tcPr>
                  <w:tcW w:w="2573" w:type="dxa"/>
                  <w:vMerge w:val="continue"/>
                  <w:vAlign w:val="center"/>
                </w:tcPr>
                <w:p w14:paraId="52E46D7D">
                  <w:pPr>
                    <w:spacing w:line="0" w:lineRule="atLeast"/>
                    <w:ind w:left="-105" w:leftChars="-50" w:right="-105" w:rightChars="-50"/>
                    <w:jc w:val="center"/>
                    <w:rPr>
                      <w:rFonts w:hint="eastAsia"/>
                      <w:color w:val="000000"/>
                      <w:szCs w:val="21"/>
                    </w:rPr>
                  </w:pPr>
                </w:p>
              </w:tc>
              <w:tc>
                <w:tcPr>
                  <w:tcW w:w="2516" w:type="dxa"/>
                  <w:vAlign w:val="center"/>
                </w:tcPr>
                <w:p w14:paraId="6278A877">
                  <w:pPr>
                    <w:spacing w:line="0" w:lineRule="atLeast"/>
                    <w:ind w:left="-105" w:leftChars="-50" w:right="-105" w:rightChars="-50"/>
                    <w:jc w:val="center"/>
                    <w:rPr>
                      <w:color w:val="000000"/>
                      <w:szCs w:val="21"/>
                    </w:rPr>
                  </w:pPr>
                  <w:r>
                    <w:rPr>
                      <w:rFonts w:hint="eastAsia"/>
                      <w:color w:val="000000"/>
                      <w:szCs w:val="21"/>
                    </w:rPr>
                    <w:t>糙隐子草+戈壁针茅群落</w:t>
                  </w:r>
                </w:p>
              </w:tc>
              <w:tc>
                <w:tcPr>
                  <w:tcW w:w="896" w:type="dxa"/>
                  <w:vAlign w:val="center"/>
                </w:tcPr>
                <w:p w14:paraId="1E3B1748">
                  <w:pPr>
                    <w:spacing w:line="0" w:lineRule="atLeast"/>
                    <w:ind w:left="-105" w:leftChars="-50" w:right="-105" w:rightChars="-50"/>
                    <w:jc w:val="center"/>
                    <w:rPr>
                      <w:color w:val="000000"/>
                      <w:szCs w:val="21"/>
                    </w:rPr>
                  </w:pPr>
                  <w:r>
                    <w:rPr>
                      <w:rFonts w:hint="eastAsia"/>
                      <w:color w:val="000000"/>
                      <w:szCs w:val="21"/>
                    </w:rPr>
                    <w:t>4</w:t>
                  </w:r>
                </w:p>
              </w:tc>
              <w:tc>
                <w:tcPr>
                  <w:tcW w:w="913" w:type="dxa"/>
                  <w:vAlign w:val="center"/>
                </w:tcPr>
                <w:p w14:paraId="3CD9C3AA">
                  <w:pPr>
                    <w:spacing w:line="0" w:lineRule="atLeast"/>
                    <w:ind w:left="-105" w:leftChars="-50" w:right="-105" w:rightChars="-50"/>
                    <w:jc w:val="center"/>
                    <w:rPr>
                      <w:color w:val="000000"/>
                      <w:szCs w:val="21"/>
                    </w:rPr>
                  </w:pPr>
                  <w:r>
                    <w:rPr>
                      <w:rFonts w:hint="eastAsia"/>
                      <w:color w:val="000000"/>
                      <w:szCs w:val="21"/>
                    </w:rPr>
                    <w:t xml:space="preserve">8133.13 </w:t>
                  </w:r>
                </w:p>
              </w:tc>
              <w:tc>
                <w:tcPr>
                  <w:tcW w:w="892" w:type="dxa"/>
                  <w:vAlign w:val="center"/>
                </w:tcPr>
                <w:p w14:paraId="1BCA98D3">
                  <w:pPr>
                    <w:spacing w:line="0" w:lineRule="atLeast"/>
                    <w:ind w:left="-105" w:leftChars="-50" w:right="-105" w:rightChars="-50"/>
                    <w:jc w:val="center"/>
                    <w:rPr>
                      <w:color w:val="000000"/>
                      <w:szCs w:val="21"/>
                    </w:rPr>
                  </w:pPr>
                  <w:r>
                    <w:rPr>
                      <w:rFonts w:hint="eastAsia"/>
                      <w:color w:val="000000"/>
                      <w:szCs w:val="21"/>
                    </w:rPr>
                    <w:t xml:space="preserve">52.36 </w:t>
                  </w:r>
                </w:p>
              </w:tc>
            </w:tr>
            <w:tr w14:paraId="6F708B6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Merge w:val="continue"/>
                  <w:vAlign w:val="center"/>
                </w:tcPr>
                <w:p w14:paraId="770D8F63">
                  <w:pPr>
                    <w:spacing w:line="0" w:lineRule="atLeast"/>
                    <w:jc w:val="center"/>
                    <w:rPr>
                      <w:rFonts w:hint="eastAsia"/>
                      <w:bCs/>
                      <w:snapToGrid w:val="0"/>
                      <w:kern w:val="24"/>
                      <w:szCs w:val="21"/>
                      <w:lang w:val="pt-BR"/>
                    </w:rPr>
                  </w:pPr>
                </w:p>
              </w:tc>
              <w:tc>
                <w:tcPr>
                  <w:tcW w:w="2573" w:type="dxa"/>
                  <w:vAlign w:val="center"/>
                </w:tcPr>
                <w:p w14:paraId="0084D551">
                  <w:pPr>
                    <w:spacing w:line="0" w:lineRule="atLeast"/>
                    <w:ind w:left="-105" w:leftChars="-50" w:right="-105" w:rightChars="-50"/>
                    <w:jc w:val="center"/>
                    <w:rPr>
                      <w:color w:val="000000"/>
                      <w:szCs w:val="21"/>
                    </w:rPr>
                  </w:pPr>
                  <w:r>
                    <w:rPr>
                      <w:rFonts w:hint="eastAsia"/>
                      <w:color w:val="000000"/>
                      <w:szCs w:val="21"/>
                    </w:rPr>
                    <w:t>盐化草甸</w:t>
                  </w:r>
                </w:p>
              </w:tc>
              <w:tc>
                <w:tcPr>
                  <w:tcW w:w="2516" w:type="dxa"/>
                  <w:vAlign w:val="center"/>
                </w:tcPr>
                <w:p w14:paraId="0A28D0E9">
                  <w:pPr>
                    <w:spacing w:line="0" w:lineRule="atLeast"/>
                    <w:ind w:left="-105" w:leftChars="-50" w:right="-105" w:rightChars="-50"/>
                    <w:jc w:val="center"/>
                    <w:rPr>
                      <w:color w:val="000000"/>
                      <w:szCs w:val="21"/>
                    </w:rPr>
                  </w:pPr>
                  <w:r>
                    <w:rPr>
                      <w:rFonts w:hint="eastAsia"/>
                      <w:color w:val="000000"/>
                      <w:szCs w:val="21"/>
                    </w:rPr>
                    <w:t>芨芨草群落</w:t>
                  </w:r>
                </w:p>
              </w:tc>
              <w:tc>
                <w:tcPr>
                  <w:tcW w:w="896" w:type="dxa"/>
                  <w:vAlign w:val="center"/>
                </w:tcPr>
                <w:p w14:paraId="6745704F">
                  <w:pPr>
                    <w:spacing w:line="0" w:lineRule="atLeast"/>
                    <w:ind w:left="-105" w:leftChars="-50" w:right="-105" w:rightChars="-50"/>
                    <w:jc w:val="center"/>
                    <w:rPr>
                      <w:color w:val="000000"/>
                      <w:szCs w:val="21"/>
                    </w:rPr>
                  </w:pPr>
                  <w:r>
                    <w:rPr>
                      <w:rFonts w:hint="eastAsia"/>
                      <w:color w:val="000000"/>
                      <w:szCs w:val="21"/>
                    </w:rPr>
                    <w:t>17</w:t>
                  </w:r>
                </w:p>
              </w:tc>
              <w:tc>
                <w:tcPr>
                  <w:tcW w:w="913" w:type="dxa"/>
                  <w:vAlign w:val="center"/>
                </w:tcPr>
                <w:p w14:paraId="683FDE0C">
                  <w:pPr>
                    <w:spacing w:line="0" w:lineRule="atLeast"/>
                    <w:ind w:left="-105" w:leftChars="-50" w:right="-105" w:rightChars="-50"/>
                    <w:jc w:val="center"/>
                    <w:rPr>
                      <w:color w:val="000000"/>
                      <w:szCs w:val="21"/>
                    </w:rPr>
                  </w:pPr>
                  <w:r>
                    <w:rPr>
                      <w:rFonts w:hint="eastAsia"/>
                      <w:color w:val="000000"/>
                      <w:szCs w:val="21"/>
                    </w:rPr>
                    <w:t xml:space="preserve">585.53 </w:t>
                  </w:r>
                </w:p>
              </w:tc>
              <w:tc>
                <w:tcPr>
                  <w:tcW w:w="892" w:type="dxa"/>
                  <w:vAlign w:val="center"/>
                </w:tcPr>
                <w:p w14:paraId="5C3DF668">
                  <w:pPr>
                    <w:spacing w:line="0" w:lineRule="atLeast"/>
                    <w:ind w:left="-105" w:leftChars="-50" w:right="-105" w:rightChars="-50"/>
                    <w:jc w:val="center"/>
                    <w:rPr>
                      <w:color w:val="000000"/>
                      <w:szCs w:val="21"/>
                    </w:rPr>
                  </w:pPr>
                  <w:r>
                    <w:rPr>
                      <w:rFonts w:hint="eastAsia"/>
                      <w:color w:val="000000"/>
                      <w:szCs w:val="21"/>
                    </w:rPr>
                    <w:t xml:space="preserve">3.77 </w:t>
                  </w:r>
                </w:p>
              </w:tc>
            </w:tr>
            <w:tr w14:paraId="18E5E11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Merge w:val="continue"/>
                  <w:vAlign w:val="center"/>
                </w:tcPr>
                <w:p w14:paraId="0E0D6589">
                  <w:pPr>
                    <w:spacing w:line="0" w:lineRule="atLeast"/>
                    <w:jc w:val="center"/>
                    <w:rPr>
                      <w:rFonts w:hint="eastAsia"/>
                      <w:bCs/>
                      <w:snapToGrid w:val="0"/>
                      <w:kern w:val="24"/>
                      <w:szCs w:val="21"/>
                      <w:lang w:val="pt-BR"/>
                    </w:rPr>
                  </w:pPr>
                </w:p>
              </w:tc>
              <w:tc>
                <w:tcPr>
                  <w:tcW w:w="2573" w:type="dxa"/>
                  <w:vMerge w:val="restart"/>
                  <w:vAlign w:val="center"/>
                </w:tcPr>
                <w:p w14:paraId="7ABC4849">
                  <w:pPr>
                    <w:spacing w:line="0" w:lineRule="atLeast"/>
                    <w:ind w:left="-105" w:leftChars="-50" w:right="-105" w:rightChars="-50"/>
                    <w:jc w:val="center"/>
                    <w:rPr>
                      <w:rFonts w:hint="eastAsia"/>
                      <w:color w:val="000000"/>
                      <w:szCs w:val="21"/>
                    </w:rPr>
                  </w:pPr>
                  <w:r>
                    <w:rPr>
                      <w:rFonts w:hint="eastAsia"/>
                      <w:color w:val="000000"/>
                      <w:szCs w:val="21"/>
                    </w:rPr>
                    <w:t>其他</w:t>
                  </w:r>
                </w:p>
              </w:tc>
              <w:tc>
                <w:tcPr>
                  <w:tcW w:w="2516" w:type="dxa"/>
                  <w:vAlign w:val="center"/>
                </w:tcPr>
                <w:p w14:paraId="266E3944">
                  <w:pPr>
                    <w:spacing w:line="0" w:lineRule="atLeast"/>
                    <w:ind w:left="-105" w:leftChars="-50" w:right="-105" w:rightChars="-50"/>
                    <w:jc w:val="center"/>
                    <w:rPr>
                      <w:color w:val="000000"/>
                      <w:szCs w:val="21"/>
                    </w:rPr>
                  </w:pPr>
                  <w:r>
                    <w:rPr>
                      <w:rFonts w:hint="eastAsia"/>
                      <w:color w:val="000000"/>
                      <w:szCs w:val="21"/>
                    </w:rPr>
                    <w:t>工业用地</w:t>
                  </w:r>
                </w:p>
              </w:tc>
              <w:tc>
                <w:tcPr>
                  <w:tcW w:w="896" w:type="dxa"/>
                  <w:vAlign w:val="center"/>
                </w:tcPr>
                <w:p w14:paraId="63644E2A">
                  <w:pPr>
                    <w:spacing w:line="0" w:lineRule="atLeast"/>
                    <w:ind w:left="-105" w:leftChars="-50" w:right="-105" w:rightChars="-50"/>
                    <w:jc w:val="center"/>
                    <w:rPr>
                      <w:color w:val="000000"/>
                      <w:szCs w:val="21"/>
                    </w:rPr>
                  </w:pPr>
                  <w:r>
                    <w:rPr>
                      <w:rFonts w:hint="eastAsia"/>
                      <w:color w:val="000000"/>
                      <w:szCs w:val="21"/>
                    </w:rPr>
                    <w:t>4</w:t>
                  </w:r>
                </w:p>
              </w:tc>
              <w:tc>
                <w:tcPr>
                  <w:tcW w:w="913" w:type="dxa"/>
                  <w:vAlign w:val="center"/>
                </w:tcPr>
                <w:p w14:paraId="01B93E4D">
                  <w:pPr>
                    <w:spacing w:line="0" w:lineRule="atLeast"/>
                    <w:ind w:left="-105" w:leftChars="-50" w:right="-105" w:rightChars="-50"/>
                    <w:jc w:val="center"/>
                    <w:rPr>
                      <w:color w:val="000000"/>
                      <w:szCs w:val="21"/>
                    </w:rPr>
                  </w:pPr>
                  <w:r>
                    <w:rPr>
                      <w:rFonts w:hint="eastAsia"/>
                      <w:color w:val="000000"/>
                      <w:szCs w:val="21"/>
                    </w:rPr>
                    <w:t xml:space="preserve">11.89 </w:t>
                  </w:r>
                </w:p>
              </w:tc>
              <w:tc>
                <w:tcPr>
                  <w:tcW w:w="892" w:type="dxa"/>
                  <w:vAlign w:val="center"/>
                </w:tcPr>
                <w:p w14:paraId="43F23E17">
                  <w:pPr>
                    <w:spacing w:line="0" w:lineRule="atLeast"/>
                    <w:ind w:left="-105" w:leftChars="-50" w:right="-105" w:rightChars="-50"/>
                    <w:jc w:val="center"/>
                    <w:rPr>
                      <w:color w:val="000000"/>
                      <w:szCs w:val="21"/>
                    </w:rPr>
                  </w:pPr>
                  <w:r>
                    <w:rPr>
                      <w:rFonts w:hint="eastAsia"/>
                      <w:color w:val="000000"/>
                      <w:szCs w:val="21"/>
                    </w:rPr>
                    <w:t xml:space="preserve">0.08 </w:t>
                  </w:r>
                </w:p>
              </w:tc>
            </w:tr>
            <w:tr w14:paraId="56EA24E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Merge w:val="continue"/>
                  <w:vAlign w:val="center"/>
                </w:tcPr>
                <w:p w14:paraId="5FAAAA28">
                  <w:pPr>
                    <w:spacing w:line="0" w:lineRule="atLeast"/>
                    <w:jc w:val="center"/>
                    <w:rPr>
                      <w:rFonts w:hint="eastAsia"/>
                      <w:bCs/>
                      <w:snapToGrid w:val="0"/>
                      <w:kern w:val="24"/>
                      <w:szCs w:val="21"/>
                      <w:lang w:val="pt-BR"/>
                    </w:rPr>
                  </w:pPr>
                </w:p>
              </w:tc>
              <w:tc>
                <w:tcPr>
                  <w:tcW w:w="2573" w:type="dxa"/>
                  <w:vMerge w:val="continue"/>
                  <w:vAlign w:val="center"/>
                </w:tcPr>
                <w:p w14:paraId="3509DB23">
                  <w:pPr>
                    <w:spacing w:line="0" w:lineRule="atLeast"/>
                    <w:ind w:left="-105" w:leftChars="-50" w:right="-105" w:rightChars="-50"/>
                    <w:jc w:val="center"/>
                    <w:rPr>
                      <w:rFonts w:hint="eastAsia"/>
                      <w:color w:val="000000"/>
                      <w:szCs w:val="21"/>
                    </w:rPr>
                  </w:pPr>
                </w:p>
              </w:tc>
              <w:tc>
                <w:tcPr>
                  <w:tcW w:w="2516" w:type="dxa"/>
                  <w:vAlign w:val="center"/>
                </w:tcPr>
                <w:p w14:paraId="7DA40894">
                  <w:pPr>
                    <w:spacing w:line="0" w:lineRule="atLeast"/>
                    <w:ind w:left="-105" w:leftChars="-50" w:right="-105" w:rightChars="-50"/>
                    <w:jc w:val="center"/>
                    <w:rPr>
                      <w:color w:val="000000"/>
                      <w:szCs w:val="21"/>
                    </w:rPr>
                  </w:pPr>
                  <w:r>
                    <w:rPr>
                      <w:rFonts w:hint="eastAsia"/>
                      <w:color w:val="000000"/>
                      <w:szCs w:val="21"/>
                    </w:rPr>
                    <w:t>牧户</w:t>
                  </w:r>
                </w:p>
              </w:tc>
              <w:tc>
                <w:tcPr>
                  <w:tcW w:w="896" w:type="dxa"/>
                  <w:vAlign w:val="center"/>
                </w:tcPr>
                <w:p w14:paraId="2B72C5AE">
                  <w:pPr>
                    <w:spacing w:line="0" w:lineRule="atLeast"/>
                    <w:ind w:left="-105" w:leftChars="-50" w:right="-105" w:rightChars="-50"/>
                    <w:jc w:val="center"/>
                    <w:rPr>
                      <w:color w:val="000000"/>
                      <w:szCs w:val="21"/>
                    </w:rPr>
                  </w:pPr>
                  <w:r>
                    <w:rPr>
                      <w:rFonts w:hint="eastAsia"/>
                      <w:color w:val="000000"/>
                      <w:szCs w:val="21"/>
                    </w:rPr>
                    <w:t>23</w:t>
                  </w:r>
                </w:p>
              </w:tc>
              <w:tc>
                <w:tcPr>
                  <w:tcW w:w="913" w:type="dxa"/>
                  <w:vAlign w:val="center"/>
                </w:tcPr>
                <w:p w14:paraId="23391513">
                  <w:pPr>
                    <w:spacing w:line="0" w:lineRule="atLeast"/>
                    <w:ind w:left="-105" w:leftChars="-50" w:right="-105" w:rightChars="-50"/>
                    <w:jc w:val="center"/>
                    <w:rPr>
                      <w:color w:val="000000"/>
                      <w:szCs w:val="21"/>
                    </w:rPr>
                  </w:pPr>
                  <w:r>
                    <w:rPr>
                      <w:rFonts w:hint="eastAsia"/>
                      <w:color w:val="000000"/>
                      <w:szCs w:val="21"/>
                    </w:rPr>
                    <w:t xml:space="preserve">25.89 </w:t>
                  </w:r>
                </w:p>
              </w:tc>
              <w:tc>
                <w:tcPr>
                  <w:tcW w:w="892" w:type="dxa"/>
                  <w:vAlign w:val="center"/>
                </w:tcPr>
                <w:p w14:paraId="7628EAFD">
                  <w:pPr>
                    <w:spacing w:line="0" w:lineRule="atLeast"/>
                    <w:ind w:left="-105" w:leftChars="-50" w:right="-105" w:rightChars="-50"/>
                    <w:jc w:val="center"/>
                    <w:rPr>
                      <w:color w:val="000000"/>
                      <w:szCs w:val="21"/>
                    </w:rPr>
                  </w:pPr>
                  <w:r>
                    <w:rPr>
                      <w:rFonts w:hint="eastAsia"/>
                      <w:color w:val="000000"/>
                      <w:szCs w:val="21"/>
                    </w:rPr>
                    <w:t xml:space="preserve">0.17 </w:t>
                  </w:r>
                </w:p>
              </w:tc>
            </w:tr>
            <w:tr w14:paraId="221734A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Merge w:val="continue"/>
                  <w:vAlign w:val="center"/>
                </w:tcPr>
                <w:p w14:paraId="7A3539EA">
                  <w:pPr>
                    <w:spacing w:line="0" w:lineRule="atLeast"/>
                    <w:jc w:val="center"/>
                    <w:rPr>
                      <w:rFonts w:hint="eastAsia"/>
                      <w:bCs/>
                      <w:snapToGrid w:val="0"/>
                      <w:kern w:val="24"/>
                      <w:szCs w:val="21"/>
                      <w:lang w:val="pt-BR"/>
                    </w:rPr>
                  </w:pPr>
                </w:p>
              </w:tc>
              <w:tc>
                <w:tcPr>
                  <w:tcW w:w="2573" w:type="dxa"/>
                  <w:vMerge w:val="continue"/>
                  <w:vAlign w:val="center"/>
                </w:tcPr>
                <w:p w14:paraId="25F7DE62">
                  <w:pPr>
                    <w:spacing w:line="0" w:lineRule="atLeast"/>
                    <w:ind w:left="-105" w:leftChars="-50" w:right="-105" w:rightChars="-50"/>
                    <w:jc w:val="center"/>
                    <w:rPr>
                      <w:rFonts w:hint="eastAsia"/>
                      <w:color w:val="000000"/>
                      <w:szCs w:val="21"/>
                    </w:rPr>
                  </w:pPr>
                </w:p>
              </w:tc>
              <w:tc>
                <w:tcPr>
                  <w:tcW w:w="2516" w:type="dxa"/>
                  <w:vAlign w:val="center"/>
                </w:tcPr>
                <w:p w14:paraId="0A4BB84F">
                  <w:pPr>
                    <w:spacing w:line="0" w:lineRule="atLeast"/>
                    <w:ind w:left="-105" w:leftChars="-50" w:right="-105" w:rightChars="-50"/>
                    <w:jc w:val="center"/>
                    <w:rPr>
                      <w:color w:val="000000"/>
                      <w:szCs w:val="21"/>
                    </w:rPr>
                  </w:pPr>
                  <w:r>
                    <w:rPr>
                      <w:rFonts w:hint="eastAsia"/>
                      <w:color w:val="000000"/>
                      <w:szCs w:val="21"/>
                    </w:rPr>
                    <w:t>道路</w:t>
                  </w:r>
                </w:p>
              </w:tc>
              <w:tc>
                <w:tcPr>
                  <w:tcW w:w="896" w:type="dxa"/>
                  <w:vAlign w:val="center"/>
                </w:tcPr>
                <w:p w14:paraId="488AC7F3">
                  <w:pPr>
                    <w:spacing w:line="0" w:lineRule="atLeast"/>
                    <w:ind w:left="-105" w:leftChars="-50" w:right="-105" w:rightChars="-50"/>
                    <w:jc w:val="center"/>
                    <w:rPr>
                      <w:color w:val="000000"/>
                      <w:szCs w:val="21"/>
                    </w:rPr>
                  </w:pPr>
                  <w:r>
                    <w:rPr>
                      <w:rFonts w:hint="eastAsia"/>
                      <w:color w:val="000000"/>
                      <w:szCs w:val="21"/>
                    </w:rPr>
                    <w:t>3</w:t>
                  </w:r>
                </w:p>
              </w:tc>
              <w:tc>
                <w:tcPr>
                  <w:tcW w:w="913" w:type="dxa"/>
                  <w:vAlign w:val="center"/>
                </w:tcPr>
                <w:p w14:paraId="09BB5895">
                  <w:pPr>
                    <w:spacing w:line="0" w:lineRule="atLeast"/>
                    <w:ind w:left="-105" w:leftChars="-50" w:right="-105" w:rightChars="-50"/>
                    <w:jc w:val="center"/>
                    <w:rPr>
                      <w:color w:val="000000"/>
                      <w:szCs w:val="21"/>
                    </w:rPr>
                  </w:pPr>
                  <w:r>
                    <w:rPr>
                      <w:rFonts w:hint="eastAsia"/>
                      <w:color w:val="000000"/>
                      <w:szCs w:val="21"/>
                    </w:rPr>
                    <w:t xml:space="preserve">24.66 </w:t>
                  </w:r>
                </w:p>
              </w:tc>
              <w:tc>
                <w:tcPr>
                  <w:tcW w:w="892" w:type="dxa"/>
                  <w:vAlign w:val="center"/>
                </w:tcPr>
                <w:p w14:paraId="04D844C9">
                  <w:pPr>
                    <w:spacing w:line="0" w:lineRule="atLeast"/>
                    <w:ind w:left="-105" w:leftChars="-50" w:right="-105" w:rightChars="-50"/>
                    <w:jc w:val="center"/>
                    <w:rPr>
                      <w:color w:val="000000"/>
                      <w:szCs w:val="21"/>
                    </w:rPr>
                  </w:pPr>
                  <w:r>
                    <w:rPr>
                      <w:rFonts w:hint="eastAsia"/>
                      <w:color w:val="000000"/>
                      <w:szCs w:val="21"/>
                    </w:rPr>
                    <w:t xml:space="preserve">0.16 </w:t>
                  </w:r>
                </w:p>
              </w:tc>
            </w:tr>
            <w:tr w14:paraId="57A50A2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Merge w:val="continue"/>
                  <w:vAlign w:val="center"/>
                </w:tcPr>
                <w:p w14:paraId="0E56ECB0">
                  <w:pPr>
                    <w:spacing w:line="0" w:lineRule="atLeast"/>
                    <w:jc w:val="center"/>
                    <w:rPr>
                      <w:rFonts w:hint="eastAsia"/>
                      <w:bCs/>
                      <w:snapToGrid w:val="0"/>
                      <w:kern w:val="24"/>
                      <w:szCs w:val="21"/>
                      <w:lang w:val="pt-BR"/>
                    </w:rPr>
                  </w:pPr>
                </w:p>
              </w:tc>
              <w:tc>
                <w:tcPr>
                  <w:tcW w:w="2573" w:type="dxa"/>
                  <w:vMerge w:val="continue"/>
                  <w:vAlign w:val="center"/>
                </w:tcPr>
                <w:p w14:paraId="4D93A128">
                  <w:pPr>
                    <w:spacing w:line="0" w:lineRule="atLeast"/>
                    <w:ind w:left="-105" w:leftChars="-50" w:right="-105" w:rightChars="-50"/>
                    <w:jc w:val="center"/>
                    <w:rPr>
                      <w:rFonts w:hint="eastAsia"/>
                      <w:color w:val="000000"/>
                      <w:szCs w:val="21"/>
                    </w:rPr>
                  </w:pPr>
                </w:p>
              </w:tc>
              <w:tc>
                <w:tcPr>
                  <w:tcW w:w="2516" w:type="dxa"/>
                  <w:vAlign w:val="center"/>
                </w:tcPr>
                <w:p w14:paraId="0C5AEB25">
                  <w:pPr>
                    <w:spacing w:line="0" w:lineRule="atLeast"/>
                    <w:ind w:left="-105" w:leftChars="-50" w:right="-105" w:rightChars="-50"/>
                    <w:jc w:val="center"/>
                    <w:rPr>
                      <w:color w:val="000000"/>
                      <w:szCs w:val="21"/>
                    </w:rPr>
                  </w:pPr>
                  <w:r>
                    <w:rPr>
                      <w:rFonts w:hint="eastAsia"/>
                      <w:color w:val="000000"/>
                      <w:szCs w:val="21"/>
                    </w:rPr>
                    <w:t>干沟</w:t>
                  </w:r>
                </w:p>
              </w:tc>
              <w:tc>
                <w:tcPr>
                  <w:tcW w:w="896" w:type="dxa"/>
                  <w:vAlign w:val="center"/>
                </w:tcPr>
                <w:p w14:paraId="3A569C97">
                  <w:pPr>
                    <w:spacing w:line="0" w:lineRule="atLeast"/>
                    <w:ind w:left="-105" w:leftChars="-50" w:right="-105" w:rightChars="-50"/>
                    <w:jc w:val="center"/>
                    <w:rPr>
                      <w:color w:val="000000"/>
                      <w:szCs w:val="21"/>
                    </w:rPr>
                  </w:pPr>
                  <w:r>
                    <w:rPr>
                      <w:rFonts w:hint="eastAsia"/>
                      <w:color w:val="000000"/>
                      <w:szCs w:val="21"/>
                    </w:rPr>
                    <w:t>2</w:t>
                  </w:r>
                </w:p>
              </w:tc>
              <w:tc>
                <w:tcPr>
                  <w:tcW w:w="913" w:type="dxa"/>
                  <w:vAlign w:val="center"/>
                </w:tcPr>
                <w:p w14:paraId="78537E3C">
                  <w:pPr>
                    <w:spacing w:line="0" w:lineRule="atLeast"/>
                    <w:ind w:left="-105" w:leftChars="-50" w:right="-105" w:rightChars="-50"/>
                    <w:jc w:val="center"/>
                    <w:rPr>
                      <w:color w:val="000000"/>
                      <w:szCs w:val="21"/>
                    </w:rPr>
                  </w:pPr>
                  <w:r>
                    <w:rPr>
                      <w:rFonts w:hint="eastAsia"/>
                      <w:color w:val="000000"/>
                      <w:szCs w:val="21"/>
                    </w:rPr>
                    <w:t xml:space="preserve">85.08 </w:t>
                  </w:r>
                </w:p>
              </w:tc>
              <w:tc>
                <w:tcPr>
                  <w:tcW w:w="892" w:type="dxa"/>
                  <w:vAlign w:val="center"/>
                </w:tcPr>
                <w:p w14:paraId="0D9F3CD4">
                  <w:pPr>
                    <w:spacing w:line="0" w:lineRule="atLeast"/>
                    <w:ind w:left="-105" w:leftChars="-50" w:right="-105" w:rightChars="-50"/>
                    <w:jc w:val="center"/>
                    <w:rPr>
                      <w:color w:val="000000"/>
                      <w:szCs w:val="21"/>
                    </w:rPr>
                  </w:pPr>
                  <w:r>
                    <w:rPr>
                      <w:rFonts w:hint="eastAsia"/>
                      <w:color w:val="000000"/>
                      <w:szCs w:val="21"/>
                    </w:rPr>
                    <w:t xml:space="preserve">0.55 </w:t>
                  </w:r>
                </w:p>
              </w:tc>
            </w:tr>
            <w:tr w14:paraId="064F7FB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Merge w:val="continue"/>
                  <w:tcBorders>
                    <w:bottom w:val="double" w:color="auto" w:sz="4" w:space="0"/>
                  </w:tcBorders>
                  <w:vAlign w:val="center"/>
                </w:tcPr>
                <w:p w14:paraId="26BEF268">
                  <w:pPr>
                    <w:spacing w:line="0" w:lineRule="atLeast"/>
                    <w:jc w:val="center"/>
                    <w:rPr>
                      <w:rFonts w:hint="eastAsia"/>
                      <w:bCs/>
                      <w:snapToGrid w:val="0"/>
                      <w:kern w:val="24"/>
                      <w:szCs w:val="21"/>
                      <w:lang w:val="pt-BR"/>
                    </w:rPr>
                  </w:pPr>
                </w:p>
              </w:tc>
              <w:tc>
                <w:tcPr>
                  <w:tcW w:w="5089" w:type="dxa"/>
                  <w:gridSpan w:val="2"/>
                  <w:tcBorders>
                    <w:bottom w:val="double" w:color="auto" w:sz="4" w:space="0"/>
                  </w:tcBorders>
                  <w:vAlign w:val="center"/>
                </w:tcPr>
                <w:p w14:paraId="4EF7991E">
                  <w:pPr>
                    <w:spacing w:line="0" w:lineRule="atLeast"/>
                    <w:ind w:left="-105" w:leftChars="-50" w:right="-105" w:rightChars="-50"/>
                    <w:jc w:val="center"/>
                    <w:rPr>
                      <w:rFonts w:hint="eastAsia"/>
                      <w:color w:val="000000"/>
                      <w:szCs w:val="21"/>
                    </w:rPr>
                  </w:pPr>
                  <w:r>
                    <w:rPr>
                      <w:rFonts w:hint="eastAsia"/>
                      <w:bCs/>
                      <w:snapToGrid w:val="0"/>
                      <w:kern w:val="24"/>
                      <w:szCs w:val="21"/>
                      <w:lang w:val="pt-BR"/>
                    </w:rPr>
                    <w:t>总计</w:t>
                  </w:r>
                </w:p>
              </w:tc>
              <w:tc>
                <w:tcPr>
                  <w:tcW w:w="896" w:type="dxa"/>
                  <w:tcBorders>
                    <w:bottom w:val="double" w:color="auto" w:sz="4" w:space="0"/>
                  </w:tcBorders>
                  <w:vAlign w:val="center"/>
                </w:tcPr>
                <w:p w14:paraId="40725DBC">
                  <w:pPr>
                    <w:spacing w:line="0" w:lineRule="atLeast"/>
                    <w:ind w:left="-105" w:leftChars="-50" w:right="-105" w:rightChars="-50"/>
                    <w:jc w:val="center"/>
                    <w:rPr>
                      <w:color w:val="000000"/>
                      <w:szCs w:val="21"/>
                    </w:rPr>
                  </w:pPr>
                  <w:r>
                    <w:rPr>
                      <w:rFonts w:hint="eastAsia"/>
                      <w:color w:val="000000"/>
                      <w:szCs w:val="21"/>
                    </w:rPr>
                    <w:t>59</w:t>
                  </w:r>
                </w:p>
              </w:tc>
              <w:tc>
                <w:tcPr>
                  <w:tcW w:w="913" w:type="dxa"/>
                  <w:tcBorders>
                    <w:bottom w:val="double" w:color="auto" w:sz="4" w:space="0"/>
                  </w:tcBorders>
                  <w:vAlign w:val="center"/>
                </w:tcPr>
                <w:p w14:paraId="567560A1">
                  <w:pPr>
                    <w:spacing w:line="0" w:lineRule="atLeast"/>
                    <w:ind w:left="-105" w:leftChars="-50" w:right="-105" w:rightChars="-50"/>
                    <w:jc w:val="center"/>
                    <w:rPr>
                      <w:color w:val="000000"/>
                      <w:szCs w:val="21"/>
                    </w:rPr>
                  </w:pPr>
                  <w:r>
                    <w:rPr>
                      <w:rFonts w:hint="eastAsia"/>
                      <w:color w:val="000000"/>
                      <w:szCs w:val="21"/>
                    </w:rPr>
                    <w:t xml:space="preserve">15532.22 </w:t>
                  </w:r>
                </w:p>
              </w:tc>
              <w:tc>
                <w:tcPr>
                  <w:tcW w:w="892" w:type="dxa"/>
                  <w:tcBorders>
                    <w:bottom w:val="double" w:color="auto" w:sz="4" w:space="0"/>
                  </w:tcBorders>
                  <w:vAlign w:val="center"/>
                </w:tcPr>
                <w:p w14:paraId="58F4E48A">
                  <w:pPr>
                    <w:spacing w:line="0" w:lineRule="atLeast"/>
                    <w:ind w:left="-105" w:leftChars="-50" w:right="-105" w:rightChars="-50"/>
                    <w:jc w:val="center"/>
                    <w:rPr>
                      <w:color w:val="000000"/>
                      <w:szCs w:val="21"/>
                    </w:rPr>
                  </w:pPr>
                  <w:r>
                    <w:rPr>
                      <w:rFonts w:hint="eastAsia"/>
                      <w:color w:val="000000"/>
                      <w:szCs w:val="21"/>
                    </w:rPr>
                    <w:t xml:space="preserve">100.00 </w:t>
                  </w:r>
                </w:p>
              </w:tc>
            </w:tr>
            <w:tr w14:paraId="280156A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Merge w:val="restart"/>
                  <w:tcBorders>
                    <w:top w:val="double" w:color="auto" w:sz="4" w:space="0"/>
                    <w:bottom w:val="single" w:color="auto" w:sz="4" w:space="0"/>
                  </w:tcBorders>
                  <w:vAlign w:val="center"/>
                </w:tcPr>
                <w:p w14:paraId="59C6847D">
                  <w:pPr>
                    <w:spacing w:line="0" w:lineRule="atLeast"/>
                    <w:jc w:val="center"/>
                    <w:rPr>
                      <w:rFonts w:hint="eastAsia"/>
                      <w:bCs/>
                      <w:snapToGrid w:val="0"/>
                      <w:kern w:val="24"/>
                      <w:szCs w:val="21"/>
                      <w:lang w:val="pt-BR"/>
                    </w:rPr>
                  </w:pPr>
                  <w:r>
                    <w:rPr>
                      <w:rFonts w:hint="eastAsia"/>
                      <w:bCs/>
                      <w:snapToGrid w:val="0"/>
                      <w:kern w:val="24"/>
                      <w:szCs w:val="21"/>
                      <w:lang w:val="pt-BR"/>
                    </w:rPr>
                    <w:t>风电场</w:t>
                  </w:r>
                </w:p>
              </w:tc>
              <w:tc>
                <w:tcPr>
                  <w:tcW w:w="2573" w:type="dxa"/>
                  <w:vMerge w:val="restart"/>
                  <w:tcBorders>
                    <w:top w:val="double" w:color="auto" w:sz="4" w:space="0"/>
                    <w:bottom w:val="single" w:color="auto" w:sz="4" w:space="0"/>
                  </w:tcBorders>
                  <w:vAlign w:val="center"/>
                </w:tcPr>
                <w:p w14:paraId="06B016F2">
                  <w:pPr>
                    <w:spacing w:line="0" w:lineRule="atLeast"/>
                    <w:ind w:left="-105" w:leftChars="-50" w:right="-105" w:rightChars="-50"/>
                    <w:jc w:val="center"/>
                    <w:rPr>
                      <w:color w:val="000000"/>
                      <w:szCs w:val="21"/>
                    </w:rPr>
                  </w:pPr>
                  <w:r>
                    <w:rPr>
                      <w:rFonts w:hint="eastAsia"/>
                      <w:color w:val="000000"/>
                      <w:szCs w:val="21"/>
                    </w:rPr>
                    <w:t>典型草原</w:t>
                  </w:r>
                </w:p>
              </w:tc>
              <w:tc>
                <w:tcPr>
                  <w:tcW w:w="2516" w:type="dxa"/>
                  <w:tcBorders>
                    <w:top w:val="double" w:color="auto" w:sz="4" w:space="0"/>
                    <w:bottom w:val="single" w:color="auto" w:sz="4" w:space="0"/>
                  </w:tcBorders>
                  <w:vAlign w:val="center"/>
                </w:tcPr>
                <w:p w14:paraId="39C25927">
                  <w:pPr>
                    <w:spacing w:line="0" w:lineRule="atLeast"/>
                    <w:ind w:left="-105" w:leftChars="-50" w:right="-105" w:rightChars="-50"/>
                    <w:jc w:val="center"/>
                    <w:rPr>
                      <w:color w:val="000000"/>
                      <w:szCs w:val="21"/>
                    </w:rPr>
                  </w:pPr>
                  <w:r>
                    <w:rPr>
                      <w:rFonts w:hint="eastAsia"/>
                      <w:color w:val="000000"/>
                      <w:szCs w:val="21"/>
                    </w:rPr>
                    <w:t>糙隐子草+冷蒿群落</w:t>
                  </w:r>
                </w:p>
              </w:tc>
              <w:tc>
                <w:tcPr>
                  <w:tcW w:w="896" w:type="dxa"/>
                  <w:tcBorders>
                    <w:top w:val="double" w:color="auto" w:sz="4" w:space="0"/>
                    <w:bottom w:val="single" w:color="auto" w:sz="4" w:space="0"/>
                  </w:tcBorders>
                  <w:vAlign w:val="center"/>
                </w:tcPr>
                <w:p w14:paraId="053D23CC">
                  <w:pPr>
                    <w:spacing w:line="0" w:lineRule="atLeast"/>
                    <w:ind w:left="-105" w:leftChars="-50" w:right="-105" w:rightChars="-50"/>
                    <w:jc w:val="center"/>
                    <w:rPr>
                      <w:color w:val="000000"/>
                      <w:szCs w:val="21"/>
                    </w:rPr>
                  </w:pPr>
                  <w:r>
                    <w:rPr>
                      <w:rFonts w:hint="eastAsia"/>
                      <w:color w:val="000000"/>
                      <w:szCs w:val="21"/>
                    </w:rPr>
                    <w:t>4</w:t>
                  </w:r>
                </w:p>
              </w:tc>
              <w:tc>
                <w:tcPr>
                  <w:tcW w:w="913" w:type="dxa"/>
                  <w:tcBorders>
                    <w:top w:val="double" w:color="auto" w:sz="4" w:space="0"/>
                    <w:bottom w:val="single" w:color="auto" w:sz="4" w:space="0"/>
                  </w:tcBorders>
                  <w:vAlign w:val="center"/>
                </w:tcPr>
                <w:p w14:paraId="09B4D9CD">
                  <w:pPr>
                    <w:spacing w:line="0" w:lineRule="atLeast"/>
                    <w:ind w:left="-105" w:leftChars="-50" w:right="-105" w:rightChars="-50"/>
                    <w:jc w:val="center"/>
                    <w:rPr>
                      <w:color w:val="000000"/>
                      <w:szCs w:val="21"/>
                    </w:rPr>
                  </w:pPr>
                  <w:r>
                    <w:rPr>
                      <w:rFonts w:hint="eastAsia"/>
                      <w:color w:val="000000"/>
                      <w:szCs w:val="21"/>
                    </w:rPr>
                    <w:t xml:space="preserve">4180.25 </w:t>
                  </w:r>
                </w:p>
              </w:tc>
              <w:tc>
                <w:tcPr>
                  <w:tcW w:w="892" w:type="dxa"/>
                  <w:tcBorders>
                    <w:top w:val="double" w:color="auto" w:sz="4" w:space="0"/>
                    <w:bottom w:val="single" w:color="auto" w:sz="4" w:space="0"/>
                  </w:tcBorders>
                  <w:vAlign w:val="center"/>
                </w:tcPr>
                <w:p w14:paraId="5FD97F36">
                  <w:pPr>
                    <w:spacing w:line="0" w:lineRule="atLeast"/>
                    <w:ind w:left="-105" w:leftChars="-50" w:right="-105" w:rightChars="-50"/>
                    <w:jc w:val="center"/>
                    <w:rPr>
                      <w:rFonts w:hint="eastAsia"/>
                      <w:color w:val="000000"/>
                      <w:szCs w:val="21"/>
                    </w:rPr>
                  </w:pPr>
                  <w:r>
                    <w:rPr>
                      <w:rFonts w:hint="eastAsia"/>
                      <w:color w:val="000000"/>
                      <w:szCs w:val="21"/>
                    </w:rPr>
                    <w:t>26.91</w:t>
                  </w:r>
                </w:p>
              </w:tc>
            </w:tr>
            <w:tr w14:paraId="34950B1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Merge w:val="continue"/>
                  <w:tcBorders>
                    <w:top w:val="single" w:color="auto" w:sz="4" w:space="0"/>
                    <w:bottom w:val="single" w:color="auto" w:sz="4" w:space="0"/>
                  </w:tcBorders>
                  <w:vAlign w:val="center"/>
                </w:tcPr>
                <w:p w14:paraId="1301C4CB">
                  <w:pPr>
                    <w:spacing w:line="0" w:lineRule="atLeast"/>
                    <w:jc w:val="center"/>
                    <w:rPr>
                      <w:rFonts w:hint="eastAsia"/>
                      <w:bCs/>
                      <w:snapToGrid w:val="0"/>
                      <w:kern w:val="24"/>
                      <w:szCs w:val="21"/>
                      <w:lang w:val="pt-BR"/>
                    </w:rPr>
                  </w:pPr>
                </w:p>
              </w:tc>
              <w:tc>
                <w:tcPr>
                  <w:tcW w:w="2573" w:type="dxa"/>
                  <w:vMerge w:val="continue"/>
                  <w:tcBorders>
                    <w:top w:val="single" w:color="auto" w:sz="4" w:space="0"/>
                    <w:bottom w:val="single" w:color="auto" w:sz="4" w:space="0"/>
                  </w:tcBorders>
                  <w:vAlign w:val="center"/>
                </w:tcPr>
                <w:p w14:paraId="74C75878">
                  <w:pPr>
                    <w:spacing w:line="0" w:lineRule="atLeast"/>
                    <w:ind w:left="-105" w:leftChars="-50" w:right="-105" w:rightChars="-50"/>
                    <w:jc w:val="center"/>
                    <w:rPr>
                      <w:color w:val="000000"/>
                      <w:szCs w:val="21"/>
                    </w:rPr>
                  </w:pPr>
                </w:p>
              </w:tc>
              <w:tc>
                <w:tcPr>
                  <w:tcW w:w="2516" w:type="dxa"/>
                  <w:tcBorders>
                    <w:top w:val="single" w:color="auto" w:sz="4" w:space="0"/>
                    <w:bottom w:val="single" w:color="auto" w:sz="4" w:space="0"/>
                  </w:tcBorders>
                  <w:vAlign w:val="center"/>
                </w:tcPr>
                <w:p w14:paraId="3BF6C611">
                  <w:pPr>
                    <w:spacing w:line="0" w:lineRule="atLeast"/>
                    <w:ind w:left="-105" w:leftChars="-50" w:right="-105" w:rightChars="-50"/>
                    <w:jc w:val="center"/>
                    <w:rPr>
                      <w:color w:val="000000"/>
                      <w:szCs w:val="21"/>
                    </w:rPr>
                  </w:pPr>
                  <w:r>
                    <w:rPr>
                      <w:rFonts w:hint="eastAsia"/>
                      <w:color w:val="000000"/>
                      <w:szCs w:val="21"/>
                    </w:rPr>
                    <w:t>糙隐子草+戈壁针茅群落</w:t>
                  </w:r>
                </w:p>
              </w:tc>
              <w:tc>
                <w:tcPr>
                  <w:tcW w:w="896" w:type="dxa"/>
                  <w:tcBorders>
                    <w:top w:val="single" w:color="auto" w:sz="4" w:space="0"/>
                    <w:bottom w:val="single" w:color="auto" w:sz="4" w:space="0"/>
                  </w:tcBorders>
                  <w:vAlign w:val="center"/>
                </w:tcPr>
                <w:p w14:paraId="12598882">
                  <w:pPr>
                    <w:spacing w:line="0" w:lineRule="atLeast"/>
                    <w:ind w:left="-105" w:leftChars="-50" w:right="-105" w:rightChars="-50"/>
                    <w:jc w:val="center"/>
                    <w:rPr>
                      <w:color w:val="000000"/>
                      <w:szCs w:val="21"/>
                    </w:rPr>
                  </w:pPr>
                  <w:r>
                    <w:rPr>
                      <w:rFonts w:hint="eastAsia"/>
                      <w:color w:val="000000"/>
                      <w:szCs w:val="21"/>
                    </w:rPr>
                    <w:t>1</w:t>
                  </w:r>
                </w:p>
              </w:tc>
              <w:tc>
                <w:tcPr>
                  <w:tcW w:w="913" w:type="dxa"/>
                  <w:tcBorders>
                    <w:top w:val="single" w:color="auto" w:sz="4" w:space="0"/>
                    <w:bottom w:val="single" w:color="auto" w:sz="4" w:space="0"/>
                  </w:tcBorders>
                  <w:vAlign w:val="center"/>
                </w:tcPr>
                <w:p w14:paraId="0BD80D34">
                  <w:pPr>
                    <w:spacing w:line="0" w:lineRule="atLeast"/>
                    <w:ind w:left="-105" w:leftChars="-50" w:right="-105" w:rightChars="-50"/>
                    <w:jc w:val="center"/>
                    <w:rPr>
                      <w:color w:val="000000"/>
                      <w:szCs w:val="21"/>
                    </w:rPr>
                  </w:pPr>
                  <w:r>
                    <w:rPr>
                      <w:rFonts w:hint="eastAsia"/>
                      <w:color w:val="000000"/>
                      <w:szCs w:val="21"/>
                    </w:rPr>
                    <w:t xml:space="preserve">5423.90 </w:t>
                  </w:r>
                </w:p>
              </w:tc>
              <w:tc>
                <w:tcPr>
                  <w:tcW w:w="892" w:type="dxa"/>
                  <w:tcBorders>
                    <w:top w:val="single" w:color="auto" w:sz="4" w:space="0"/>
                    <w:bottom w:val="single" w:color="auto" w:sz="4" w:space="0"/>
                  </w:tcBorders>
                  <w:vAlign w:val="center"/>
                </w:tcPr>
                <w:p w14:paraId="03050888">
                  <w:pPr>
                    <w:spacing w:line="0" w:lineRule="atLeast"/>
                    <w:ind w:left="-105" w:leftChars="-50" w:right="-105" w:rightChars="-50"/>
                    <w:jc w:val="center"/>
                    <w:rPr>
                      <w:rFonts w:hint="eastAsia"/>
                      <w:color w:val="000000"/>
                      <w:szCs w:val="21"/>
                    </w:rPr>
                  </w:pPr>
                  <w:r>
                    <w:rPr>
                      <w:rFonts w:hint="eastAsia"/>
                      <w:color w:val="000000"/>
                      <w:szCs w:val="21"/>
                    </w:rPr>
                    <w:t>34.92</w:t>
                  </w:r>
                </w:p>
              </w:tc>
            </w:tr>
            <w:tr w14:paraId="693F46B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Merge w:val="continue"/>
                  <w:tcBorders>
                    <w:top w:val="single" w:color="auto" w:sz="4" w:space="0"/>
                    <w:bottom w:val="single" w:color="auto" w:sz="4" w:space="0"/>
                  </w:tcBorders>
                  <w:vAlign w:val="center"/>
                </w:tcPr>
                <w:p w14:paraId="5519F702">
                  <w:pPr>
                    <w:spacing w:line="0" w:lineRule="atLeast"/>
                    <w:jc w:val="center"/>
                    <w:rPr>
                      <w:rFonts w:hint="eastAsia"/>
                      <w:bCs/>
                      <w:snapToGrid w:val="0"/>
                      <w:kern w:val="24"/>
                      <w:szCs w:val="21"/>
                      <w:lang w:val="pt-BR"/>
                    </w:rPr>
                  </w:pPr>
                </w:p>
              </w:tc>
              <w:tc>
                <w:tcPr>
                  <w:tcW w:w="2573" w:type="dxa"/>
                  <w:tcBorders>
                    <w:top w:val="single" w:color="auto" w:sz="4" w:space="0"/>
                    <w:bottom w:val="single" w:color="auto" w:sz="4" w:space="0"/>
                  </w:tcBorders>
                  <w:vAlign w:val="center"/>
                </w:tcPr>
                <w:p w14:paraId="530C38B1">
                  <w:pPr>
                    <w:spacing w:line="0" w:lineRule="atLeast"/>
                    <w:ind w:left="-105" w:leftChars="-50" w:right="-105" w:rightChars="-50"/>
                    <w:jc w:val="center"/>
                    <w:rPr>
                      <w:color w:val="000000"/>
                      <w:szCs w:val="21"/>
                    </w:rPr>
                  </w:pPr>
                  <w:r>
                    <w:rPr>
                      <w:rFonts w:hint="eastAsia"/>
                      <w:color w:val="000000"/>
                      <w:szCs w:val="21"/>
                    </w:rPr>
                    <w:t>盐化草甸</w:t>
                  </w:r>
                </w:p>
              </w:tc>
              <w:tc>
                <w:tcPr>
                  <w:tcW w:w="2516" w:type="dxa"/>
                  <w:tcBorders>
                    <w:top w:val="single" w:color="auto" w:sz="4" w:space="0"/>
                    <w:bottom w:val="single" w:color="auto" w:sz="4" w:space="0"/>
                  </w:tcBorders>
                  <w:vAlign w:val="center"/>
                </w:tcPr>
                <w:p w14:paraId="661D295A">
                  <w:pPr>
                    <w:spacing w:line="0" w:lineRule="atLeast"/>
                    <w:ind w:left="-105" w:leftChars="-50" w:right="-105" w:rightChars="-50"/>
                    <w:jc w:val="center"/>
                    <w:rPr>
                      <w:color w:val="000000"/>
                      <w:szCs w:val="21"/>
                    </w:rPr>
                  </w:pPr>
                  <w:r>
                    <w:rPr>
                      <w:rFonts w:hint="eastAsia"/>
                      <w:color w:val="000000"/>
                      <w:szCs w:val="21"/>
                    </w:rPr>
                    <w:t>芨芨草群落</w:t>
                  </w:r>
                </w:p>
              </w:tc>
              <w:tc>
                <w:tcPr>
                  <w:tcW w:w="896" w:type="dxa"/>
                  <w:tcBorders>
                    <w:top w:val="single" w:color="auto" w:sz="4" w:space="0"/>
                    <w:bottom w:val="single" w:color="auto" w:sz="4" w:space="0"/>
                  </w:tcBorders>
                  <w:vAlign w:val="center"/>
                </w:tcPr>
                <w:p w14:paraId="0603A4D1">
                  <w:pPr>
                    <w:spacing w:line="0" w:lineRule="atLeast"/>
                    <w:ind w:left="-105" w:leftChars="-50" w:right="-105" w:rightChars="-50"/>
                    <w:jc w:val="center"/>
                    <w:rPr>
                      <w:color w:val="000000"/>
                      <w:szCs w:val="21"/>
                    </w:rPr>
                  </w:pPr>
                  <w:r>
                    <w:rPr>
                      <w:rFonts w:hint="eastAsia"/>
                      <w:color w:val="000000"/>
                      <w:szCs w:val="21"/>
                    </w:rPr>
                    <w:t>14</w:t>
                  </w:r>
                </w:p>
              </w:tc>
              <w:tc>
                <w:tcPr>
                  <w:tcW w:w="913" w:type="dxa"/>
                  <w:tcBorders>
                    <w:top w:val="single" w:color="auto" w:sz="4" w:space="0"/>
                    <w:bottom w:val="single" w:color="auto" w:sz="4" w:space="0"/>
                  </w:tcBorders>
                  <w:vAlign w:val="center"/>
                </w:tcPr>
                <w:p w14:paraId="343EBB5A">
                  <w:pPr>
                    <w:spacing w:line="0" w:lineRule="atLeast"/>
                    <w:ind w:left="-105" w:leftChars="-50" w:right="-105" w:rightChars="-50"/>
                    <w:jc w:val="center"/>
                    <w:rPr>
                      <w:color w:val="000000"/>
                      <w:szCs w:val="21"/>
                    </w:rPr>
                  </w:pPr>
                  <w:r>
                    <w:rPr>
                      <w:rFonts w:hint="eastAsia"/>
                      <w:color w:val="000000"/>
                      <w:szCs w:val="21"/>
                    </w:rPr>
                    <w:t xml:space="preserve">451.02 </w:t>
                  </w:r>
                </w:p>
              </w:tc>
              <w:tc>
                <w:tcPr>
                  <w:tcW w:w="892" w:type="dxa"/>
                  <w:tcBorders>
                    <w:top w:val="single" w:color="auto" w:sz="4" w:space="0"/>
                    <w:bottom w:val="single" w:color="auto" w:sz="4" w:space="0"/>
                  </w:tcBorders>
                  <w:vAlign w:val="center"/>
                </w:tcPr>
                <w:p w14:paraId="16BA30B8">
                  <w:pPr>
                    <w:spacing w:line="0" w:lineRule="atLeast"/>
                    <w:ind w:left="-105" w:leftChars="-50" w:right="-105" w:rightChars="-50"/>
                    <w:jc w:val="center"/>
                    <w:rPr>
                      <w:rFonts w:hint="eastAsia"/>
                      <w:color w:val="000000"/>
                      <w:szCs w:val="21"/>
                    </w:rPr>
                  </w:pPr>
                  <w:r>
                    <w:rPr>
                      <w:rFonts w:hint="eastAsia"/>
                      <w:color w:val="000000"/>
                      <w:szCs w:val="21"/>
                    </w:rPr>
                    <w:t>2.90</w:t>
                  </w:r>
                </w:p>
              </w:tc>
            </w:tr>
            <w:tr w14:paraId="3389CBF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Merge w:val="continue"/>
                  <w:tcBorders>
                    <w:top w:val="single" w:color="auto" w:sz="4" w:space="0"/>
                    <w:bottom w:val="single" w:color="auto" w:sz="4" w:space="0"/>
                  </w:tcBorders>
                  <w:vAlign w:val="center"/>
                </w:tcPr>
                <w:p w14:paraId="072CD667">
                  <w:pPr>
                    <w:spacing w:line="0" w:lineRule="atLeast"/>
                    <w:jc w:val="center"/>
                    <w:rPr>
                      <w:rFonts w:hint="eastAsia"/>
                      <w:bCs/>
                      <w:snapToGrid w:val="0"/>
                      <w:kern w:val="24"/>
                      <w:szCs w:val="21"/>
                      <w:lang w:val="pt-BR"/>
                    </w:rPr>
                  </w:pPr>
                </w:p>
              </w:tc>
              <w:tc>
                <w:tcPr>
                  <w:tcW w:w="2573" w:type="dxa"/>
                  <w:vMerge w:val="restart"/>
                  <w:tcBorders>
                    <w:top w:val="single" w:color="auto" w:sz="4" w:space="0"/>
                    <w:bottom w:val="single" w:color="auto" w:sz="4" w:space="0"/>
                  </w:tcBorders>
                  <w:vAlign w:val="center"/>
                </w:tcPr>
                <w:p w14:paraId="027C4EC3">
                  <w:pPr>
                    <w:spacing w:line="0" w:lineRule="atLeast"/>
                    <w:ind w:left="-105" w:leftChars="-50" w:right="-105" w:rightChars="-50"/>
                    <w:jc w:val="center"/>
                    <w:rPr>
                      <w:color w:val="000000"/>
                      <w:szCs w:val="21"/>
                    </w:rPr>
                  </w:pPr>
                  <w:r>
                    <w:rPr>
                      <w:rFonts w:hint="eastAsia"/>
                      <w:color w:val="000000"/>
                      <w:szCs w:val="21"/>
                    </w:rPr>
                    <w:t>其他</w:t>
                  </w:r>
                </w:p>
              </w:tc>
              <w:tc>
                <w:tcPr>
                  <w:tcW w:w="2516" w:type="dxa"/>
                  <w:tcBorders>
                    <w:top w:val="single" w:color="auto" w:sz="4" w:space="0"/>
                    <w:bottom w:val="single" w:color="auto" w:sz="4" w:space="0"/>
                  </w:tcBorders>
                  <w:vAlign w:val="center"/>
                </w:tcPr>
                <w:p w14:paraId="608317CF">
                  <w:pPr>
                    <w:spacing w:line="0" w:lineRule="atLeast"/>
                    <w:ind w:left="-105" w:leftChars="-50" w:right="-105" w:rightChars="-50"/>
                    <w:jc w:val="center"/>
                    <w:rPr>
                      <w:color w:val="000000"/>
                      <w:szCs w:val="21"/>
                    </w:rPr>
                  </w:pPr>
                  <w:r>
                    <w:rPr>
                      <w:rFonts w:hint="eastAsia"/>
                      <w:color w:val="000000"/>
                      <w:szCs w:val="21"/>
                    </w:rPr>
                    <w:t>牧户</w:t>
                  </w:r>
                </w:p>
              </w:tc>
              <w:tc>
                <w:tcPr>
                  <w:tcW w:w="896" w:type="dxa"/>
                  <w:tcBorders>
                    <w:top w:val="single" w:color="auto" w:sz="4" w:space="0"/>
                    <w:bottom w:val="single" w:color="auto" w:sz="4" w:space="0"/>
                  </w:tcBorders>
                  <w:vAlign w:val="center"/>
                </w:tcPr>
                <w:p w14:paraId="45D39531">
                  <w:pPr>
                    <w:spacing w:line="0" w:lineRule="atLeast"/>
                    <w:ind w:left="-105" w:leftChars="-50" w:right="-105" w:rightChars="-50"/>
                    <w:jc w:val="center"/>
                    <w:rPr>
                      <w:color w:val="000000"/>
                      <w:szCs w:val="21"/>
                    </w:rPr>
                  </w:pPr>
                  <w:r>
                    <w:rPr>
                      <w:rFonts w:hint="eastAsia"/>
                      <w:color w:val="000000"/>
                      <w:szCs w:val="21"/>
                    </w:rPr>
                    <w:t>12</w:t>
                  </w:r>
                </w:p>
              </w:tc>
              <w:tc>
                <w:tcPr>
                  <w:tcW w:w="913" w:type="dxa"/>
                  <w:tcBorders>
                    <w:top w:val="single" w:color="auto" w:sz="4" w:space="0"/>
                    <w:bottom w:val="single" w:color="auto" w:sz="4" w:space="0"/>
                  </w:tcBorders>
                  <w:vAlign w:val="center"/>
                </w:tcPr>
                <w:p w14:paraId="073C7973">
                  <w:pPr>
                    <w:spacing w:line="0" w:lineRule="atLeast"/>
                    <w:ind w:left="-105" w:leftChars="-50" w:right="-105" w:rightChars="-50"/>
                    <w:jc w:val="center"/>
                    <w:rPr>
                      <w:color w:val="000000"/>
                      <w:szCs w:val="21"/>
                    </w:rPr>
                  </w:pPr>
                  <w:r>
                    <w:rPr>
                      <w:rFonts w:hint="eastAsia"/>
                      <w:color w:val="000000"/>
                      <w:szCs w:val="21"/>
                    </w:rPr>
                    <w:t xml:space="preserve">12.48 </w:t>
                  </w:r>
                </w:p>
              </w:tc>
              <w:tc>
                <w:tcPr>
                  <w:tcW w:w="892" w:type="dxa"/>
                  <w:tcBorders>
                    <w:top w:val="single" w:color="auto" w:sz="4" w:space="0"/>
                    <w:bottom w:val="single" w:color="auto" w:sz="4" w:space="0"/>
                  </w:tcBorders>
                  <w:vAlign w:val="center"/>
                </w:tcPr>
                <w:p w14:paraId="4EFDC723">
                  <w:pPr>
                    <w:spacing w:line="0" w:lineRule="atLeast"/>
                    <w:ind w:left="-105" w:leftChars="-50" w:right="-105" w:rightChars="-50"/>
                    <w:jc w:val="center"/>
                    <w:rPr>
                      <w:rFonts w:hint="eastAsia"/>
                      <w:color w:val="000000"/>
                      <w:szCs w:val="21"/>
                    </w:rPr>
                  </w:pPr>
                  <w:r>
                    <w:rPr>
                      <w:rFonts w:hint="eastAsia"/>
                      <w:color w:val="000000"/>
                      <w:szCs w:val="21"/>
                    </w:rPr>
                    <w:t>0.08</w:t>
                  </w:r>
                </w:p>
              </w:tc>
            </w:tr>
            <w:tr w14:paraId="144CFCD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Merge w:val="continue"/>
                  <w:tcBorders>
                    <w:top w:val="single" w:color="auto" w:sz="4" w:space="0"/>
                    <w:bottom w:val="single" w:color="auto" w:sz="4" w:space="0"/>
                  </w:tcBorders>
                  <w:vAlign w:val="center"/>
                </w:tcPr>
                <w:p w14:paraId="089C68F5">
                  <w:pPr>
                    <w:spacing w:line="0" w:lineRule="atLeast"/>
                    <w:jc w:val="center"/>
                    <w:rPr>
                      <w:rFonts w:hint="eastAsia"/>
                      <w:bCs/>
                      <w:snapToGrid w:val="0"/>
                      <w:kern w:val="24"/>
                      <w:szCs w:val="21"/>
                      <w:lang w:val="pt-BR"/>
                    </w:rPr>
                  </w:pPr>
                </w:p>
              </w:tc>
              <w:tc>
                <w:tcPr>
                  <w:tcW w:w="2573" w:type="dxa"/>
                  <w:vMerge w:val="continue"/>
                  <w:tcBorders>
                    <w:top w:val="single" w:color="auto" w:sz="4" w:space="0"/>
                    <w:bottom w:val="single" w:color="auto" w:sz="4" w:space="0"/>
                  </w:tcBorders>
                  <w:vAlign w:val="center"/>
                </w:tcPr>
                <w:p w14:paraId="7C701AA7">
                  <w:pPr>
                    <w:spacing w:line="0" w:lineRule="atLeast"/>
                    <w:ind w:left="-105" w:leftChars="-50" w:right="-105" w:rightChars="-50"/>
                    <w:jc w:val="center"/>
                    <w:rPr>
                      <w:color w:val="000000"/>
                      <w:szCs w:val="21"/>
                    </w:rPr>
                  </w:pPr>
                </w:p>
              </w:tc>
              <w:tc>
                <w:tcPr>
                  <w:tcW w:w="2516" w:type="dxa"/>
                  <w:tcBorders>
                    <w:top w:val="single" w:color="auto" w:sz="4" w:space="0"/>
                    <w:bottom w:val="single" w:color="auto" w:sz="4" w:space="0"/>
                  </w:tcBorders>
                  <w:vAlign w:val="center"/>
                </w:tcPr>
                <w:p w14:paraId="2777A813">
                  <w:pPr>
                    <w:spacing w:line="0" w:lineRule="atLeast"/>
                    <w:ind w:left="-105" w:leftChars="-50" w:right="-105" w:rightChars="-50"/>
                    <w:jc w:val="center"/>
                    <w:rPr>
                      <w:color w:val="000000"/>
                      <w:szCs w:val="21"/>
                    </w:rPr>
                  </w:pPr>
                  <w:r>
                    <w:rPr>
                      <w:rFonts w:hint="eastAsia"/>
                      <w:color w:val="000000"/>
                      <w:szCs w:val="21"/>
                    </w:rPr>
                    <w:t>干沟</w:t>
                  </w:r>
                </w:p>
              </w:tc>
              <w:tc>
                <w:tcPr>
                  <w:tcW w:w="896" w:type="dxa"/>
                  <w:tcBorders>
                    <w:top w:val="single" w:color="auto" w:sz="4" w:space="0"/>
                    <w:bottom w:val="single" w:color="auto" w:sz="4" w:space="0"/>
                  </w:tcBorders>
                  <w:vAlign w:val="center"/>
                </w:tcPr>
                <w:p w14:paraId="47D3DD09">
                  <w:pPr>
                    <w:spacing w:line="0" w:lineRule="atLeast"/>
                    <w:ind w:left="-105" w:leftChars="-50" w:right="-105" w:rightChars="-50"/>
                    <w:jc w:val="center"/>
                    <w:rPr>
                      <w:color w:val="000000"/>
                      <w:szCs w:val="21"/>
                    </w:rPr>
                  </w:pPr>
                  <w:r>
                    <w:rPr>
                      <w:rFonts w:hint="eastAsia"/>
                      <w:color w:val="000000"/>
                      <w:szCs w:val="21"/>
                    </w:rPr>
                    <w:t>2</w:t>
                  </w:r>
                </w:p>
              </w:tc>
              <w:tc>
                <w:tcPr>
                  <w:tcW w:w="913" w:type="dxa"/>
                  <w:tcBorders>
                    <w:top w:val="single" w:color="auto" w:sz="4" w:space="0"/>
                    <w:bottom w:val="single" w:color="auto" w:sz="4" w:space="0"/>
                  </w:tcBorders>
                  <w:vAlign w:val="center"/>
                </w:tcPr>
                <w:p w14:paraId="7276D612">
                  <w:pPr>
                    <w:spacing w:line="0" w:lineRule="atLeast"/>
                    <w:ind w:left="-105" w:leftChars="-50" w:right="-105" w:rightChars="-50"/>
                    <w:jc w:val="center"/>
                    <w:rPr>
                      <w:color w:val="000000"/>
                      <w:szCs w:val="21"/>
                    </w:rPr>
                  </w:pPr>
                  <w:r>
                    <w:rPr>
                      <w:rFonts w:hint="eastAsia"/>
                      <w:color w:val="000000"/>
                      <w:szCs w:val="21"/>
                    </w:rPr>
                    <w:t xml:space="preserve">58.51 </w:t>
                  </w:r>
                </w:p>
              </w:tc>
              <w:tc>
                <w:tcPr>
                  <w:tcW w:w="892" w:type="dxa"/>
                  <w:tcBorders>
                    <w:top w:val="single" w:color="auto" w:sz="4" w:space="0"/>
                    <w:bottom w:val="single" w:color="auto" w:sz="4" w:space="0"/>
                  </w:tcBorders>
                  <w:vAlign w:val="center"/>
                </w:tcPr>
                <w:p w14:paraId="6FCEE805">
                  <w:pPr>
                    <w:spacing w:line="0" w:lineRule="atLeast"/>
                    <w:ind w:left="-105" w:leftChars="-50" w:right="-105" w:rightChars="-50"/>
                    <w:jc w:val="center"/>
                    <w:rPr>
                      <w:rFonts w:hint="eastAsia"/>
                      <w:color w:val="000000"/>
                      <w:szCs w:val="21"/>
                    </w:rPr>
                  </w:pPr>
                  <w:r>
                    <w:rPr>
                      <w:rFonts w:hint="eastAsia"/>
                      <w:color w:val="000000"/>
                      <w:szCs w:val="21"/>
                    </w:rPr>
                    <w:t>0.38</w:t>
                  </w:r>
                </w:p>
              </w:tc>
            </w:tr>
            <w:tr w14:paraId="7C8A158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Merge w:val="continue"/>
                  <w:tcBorders>
                    <w:top w:val="single" w:color="auto" w:sz="4" w:space="0"/>
                    <w:bottom w:val="single" w:color="auto" w:sz="8" w:space="0"/>
                  </w:tcBorders>
                  <w:vAlign w:val="center"/>
                </w:tcPr>
                <w:p w14:paraId="1427E519">
                  <w:pPr>
                    <w:spacing w:line="0" w:lineRule="atLeast"/>
                    <w:jc w:val="center"/>
                    <w:rPr>
                      <w:rFonts w:hint="eastAsia"/>
                      <w:bCs/>
                      <w:snapToGrid w:val="0"/>
                      <w:kern w:val="24"/>
                      <w:szCs w:val="21"/>
                      <w:lang w:val="pt-BR"/>
                    </w:rPr>
                  </w:pPr>
                </w:p>
              </w:tc>
              <w:tc>
                <w:tcPr>
                  <w:tcW w:w="5089" w:type="dxa"/>
                  <w:gridSpan w:val="2"/>
                  <w:tcBorders>
                    <w:top w:val="single" w:color="auto" w:sz="4" w:space="0"/>
                    <w:bottom w:val="single" w:color="auto" w:sz="8" w:space="0"/>
                  </w:tcBorders>
                  <w:vAlign w:val="center"/>
                </w:tcPr>
                <w:p w14:paraId="62A631C8">
                  <w:pPr>
                    <w:spacing w:line="0" w:lineRule="atLeast"/>
                    <w:ind w:left="-105" w:leftChars="-50" w:right="-105" w:rightChars="-50"/>
                    <w:jc w:val="center"/>
                    <w:rPr>
                      <w:rFonts w:hint="eastAsia"/>
                      <w:color w:val="000000"/>
                      <w:szCs w:val="21"/>
                    </w:rPr>
                  </w:pPr>
                  <w:r>
                    <w:rPr>
                      <w:rFonts w:hint="eastAsia"/>
                      <w:color w:val="000000"/>
                      <w:szCs w:val="21"/>
                    </w:rPr>
                    <w:t>合计</w:t>
                  </w:r>
                </w:p>
              </w:tc>
              <w:tc>
                <w:tcPr>
                  <w:tcW w:w="896" w:type="dxa"/>
                  <w:tcBorders>
                    <w:top w:val="single" w:color="auto" w:sz="4" w:space="0"/>
                    <w:bottom w:val="single" w:color="auto" w:sz="8" w:space="0"/>
                  </w:tcBorders>
                  <w:vAlign w:val="center"/>
                </w:tcPr>
                <w:p w14:paraId="7B85F793">
                  <w:pPr>
                    <w:spacing w:line="0" w:lineRule="atLeast"/>
                    <w:ind w:left="-105" w:leftChars="-50" w:right="-105" w:rightChars="-50"/>
                    <w:jc w:val="center"/>
                    <w:rPr>
                      <w:rFonts w:hint="eastAsia"/>
                      <w:color w:val="000000"/>
                      <w:szCs w:val="21"/>
                    </w:rPr>
                  </w:pPr>
                  <w:r>
                    <w:rPr>
                      <w:rFonts w:hint="eastAsia"/>
                      <w:color w:val="000000"/>
                      <w:szCs w:val="21"/>
                    </w:rPr>
                    <w:t>33</w:t>
                  </w:r>
                </w:p>
              </w:tc>
              <w:tc>
                <w:tcPr>
                  <w:tcW w:w="913" w:type="dxa"/>
                  <w:tcBorders>
                    <w:top w:val="single" w:color="auto" w:sz="4" w:space="0"/>
                    <w:bottom w:val="single" w:color="auto" w:sz="8" w:space="0"/>
                  </w:tcBorders>
                  <w:vAlign w:val="center"/>
                </w:tcPr>
                <w:p w14:paraId="221126BB">
                  <w:pPr>
                    <w:spacing w:line="0" w:lineRule="atLeast"/>
                    <w:ind w:left="-105" w:leftChars="-50" w:right="-105" w:rightChars="-50"/>
                    <w:jc w:val="center"/>
                    <w:rPr>
                      <w:rFonts w:hint="eastAsia"/>
                      <w:color w:val="000000"/>
                      <w:szCs w:val="21"/>
                    </w:rPr>
                  </w:pPr>
                  <w:r>
                    <w:rPr>
                      <w:rFonts w:hint="eastAsia"/>
                      <w:color w:val="000000"/>
                      <w:szCs w:val="21"/>
                    </w:rPr>
                    <w:t>10126.16</w:t>
                  </w:r>
                </w:p>
              </w:tc>
              <w:tc>
                <w:tcPr>
                  <w:tcW w:w="892" w:type="dxa"/>
                  <w:tcBorders>
                    <w:top w:val="single" w:color="auto" w:sz="4" w:space="0"/>
                    <w:bottom w:val="single" w:color="auto" w:sz="8" w:space="0"/>
                  </w:tcBorders>
                  <w:vAlign w:val="center"/>
                </w:tcPr>
                <w:p w14:paraId="3F60D09F">
                  <w:pPr>
                    <w:spacing w:line="0" w:lineRule="atLeast"/>
                    <w:ind w:left="-105" w:leftChars="-50" w:right="-105" w:rightChars="-50"/>
                    <w:jc w:val="center"/>
                    <w:rPr>
                      <w:rFonts w:hint="eastAsia"/>
                      <w:color w:val="000000"/>
                      <w:szCs w:val="21"/>
                    </w:rPr>
                  </w:pPr>
                  <w:r>
                    <w:rPr>
                      <w:rFonts w:hint="eastAsia"/>
                      <w:color w:val="000000"/>
                      <w:szCs w:val="21"/>
                    </w:rPr>
                    <w:t>65.19</w:t>
                  </w:r>
                </w:p>
              </w:tc>
            </w:tr>
          </w:tbl>
          <w:p w14:paraId="3DC44220">
            <w:pPr>
              <w:ind w:firstLine="480" w:firstLineChars="200"/>
              <w:rPr>
                <w:rFonts w:hint="eastAsia"/>
                <w:color w:val="000000"/>
                <w:sz w:val="24"/>
              </w:rPr>
            </w:pPr>
          </w:p>
          <w:p w14:paraId="4FEE6674">
            <w:pPr>
              <w:ind w:firstLine="480" w:firstLineChars="200"/>
              <w:rPr>
                <w:rFonts w:hint="eastAsia"/>
                <w:color w:val="000000"/>
                <w:sz w:val="24"/>
              </w:rPr>
            </w:pPr>
          </w:p>
          <w:p w14:paraId="6B799B21">
            <w:pPr>
              <w:ind w:firstLine="480" w:firstLineChars="200"/>
              <w:rPr>
                <w:rFonts w:hint="eastAsia"/>
                <w:color w:val="000000"/>
                <w:sz w:val="24"/>
              </w:rPr>
            </w:pPr>
          </w:p>
          <w:p w14:paraId="6DB28183">
            <w:pPr>
              <w:ind w:firstLine="480" w:firstLineChars="200"/>
              <w:rPr>
                <w:rFonts w:hint="eastAsia"/>
                <w:color w:val="000000"/>
                <w:sz w:val="24"/>
              </w:rPr>
            </w:pPr>
          </w:p>
          <w:p w14:paraId="15297A19">
            <w:pPr>
              <w:ind w:firstLine="480" w:firstLineChars="200"/>
              <w:rPr>
                <w:rFonts w:hint="eastAsia"/>
                <w:color w:val="000000"/>
                <w:sz w:val="24"/>
              </w:rPr>
            </w:pPr>
          </w:p>
          <w:p w14:paraId="2004F2CC">
            <w:pPr>
              <w:ind w:firstLine="480" w:firstLineChars="200"/>
              <w:rPr>
                <w:rFonts w:hint="eastAsia"/>
                <w:color w:val="000000"/>
                <w:sz w:val="24"/>
              </w:rPr>
            </w:pPr>
          </w:p>
          <w:p w14:paraId="00181D57">
            <w:pPr>
              <w:ind w:firstLine="480" w:firstLineChars="200"/>
              <w:rPr>
                <w:rFonts w:hint="eastAsia"/>
                <w:color w:val="000000"/>
                <w:sz w:val="24"/>
              </w:rPr>
            </w:pPr>
          </w:p>
          <w:p w14:paraId="0324457A">
            <w:pPr>
              <w:ind w:firstLine="480" w:firstLineChars="200"/>
              <w:rPr>
                <w:rFonts w:hint="eastAsia"/>
                <w:color w:val="000000"/>
                <w:sz w:val="24"/>
              </w:rPr>
            </w:pPr>
          </w:p>
          <w:p w14:paraId="4B86EE99">
            <w:pPr>
              <w:ind w:firstLine="480" w:firstLineChars="200"/>
              <w:rPr>
                <w:rFonts w:hint="eastAsia"/>
                <w:color w:val="000000"/>
                <w:sz w:val="24"/>
              </w:rPr>
            </w:pPr>
          </w:p>
          <w:p w14:paraId="124A3C31">
            <w:pPr>
              <w:ind w:firstLine="480" w:firstLineChars="200"/>
              <w:rPr>
                <w:rFonts w:hint="eastAsia"/>
                <w:color w:val="000000"/>
                <w:sz w:val="24"/>
              </w:rPr>
            </w:pPr>
          </w:p>
          <w:p w14:paraId="04B37E51">
            <w:pPr>
              <w:ind w:firstLine="480" w:firstLineChars="200"/>
              <w:rPr>
                <w:rFonts w:hint="eastAsia"/>
                <w:color w:val="000000"/>
                <w:sz w:val="24"/>
              </w:rPr>
            </w:pPr>
          </w:p>
          <w:p w14:paraId="124799A6">
            <w:pPr>
              <w:ind w:firstLine="420" w:firstLineChars="200"/>
              <w:rPr>
                <w:rFonts w:hint="eastAsia"/>
                <w:color w:val="000000"/>
                <w:sz w:val="24"/>
              </w:rPr>
            </w:pPr>
            <w:r>
              <w:drawing>
                <wp:anchor distT="0" distB="0" distL="114300" distR="114300" simplePos="0" relativeHeight="251667456" behindDoc="0" locked="0" layoutInCell="1" allowOverlap="1">
                  <wp:simplePos x="0" y="0"/>
                  <wp:positionH relativeFrom="column">
                    <wp:posOffset>-1271270</wp:posOffset>
                  </wp:positionH>
                  <wp:positionV relativeFrom="paragraph">
                    <wp:posOffset>1454785</wp:posOffset>
                  </wp:positionV>
                  <wp:extent cx="8149590" cy="5505450"/>
                  <wp:effectExtent l="0" t="1333500" r="0" b="1333500"/>
                  <wp:wrapNone/>
                  <wp:docPr id="22" name="图片 743" descr="植被类型图A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743" descr="植被类型图A3"/>
                          <pic:cNvPicPr>
                            <a:picLocks noChangeAspect="1" noChangeArrowheads="1"/>
                          </pic:cNvPicPr>
                        </pic:nvPicPr>
                        <pic:blipFill>
                          <a:blip r:embed="rId13" cstate="print"/>
                          <a:srcRect l="5774" t="8102" r="5632" b="7906"/>
                          <a:stretch>
                            <a:fillRect/>
                          </a:stretch>
                        </pic:blipFill>
                        <pic:spPr>
                          <a:xfrm rot="16200000">
                            <a:off x="0" y="0"/>
                            <a:ext cx="8149590" cy="5505450"/>
                          </a:xfrm>
                          <a:prstGeom prst="rect">
                            <a:avLst/>
                          </a:prstGeom>
                          <a:noFill/>
                          <a:ln w="12700">
                            <a:solidFill>
                              <a:srgbClr val="000000"/>
                            </a:solidFill>
                            <a:miter lim="800000"/>
                            <a:headEnd/>
                            <a:tailEnd/>
                          </a:ln>
                        </pic:spPr>
                      </pic:pic>
                    </a:graphicData>
                  </a:graphic>
                </wp:anchor>
              </w:drawing>
            </w:r>
          </w:p>
          <w:p w14:paraId="6D8560BB">
            <w:pPr>
              <w:ind w:firstLine="480" w:firstLineChars="200"/>
              <w:rPr>
                <w:rFonts w:hint="eastAsia"/>
                <w:color w:val="000000"/>
                <w:sz w:val="24"/>
              </w:rPr>
            </w:pPr>
          </w:p>
          <w:p w14:paraId="06371567">
            <w:pPr>
              <w:ind w:firstLine="480" w:firstLineChars="200"/>
              <w:rPr>
                <w:rFonts w:hint="eastAsia"/>
                <w:color w:val="000000"/>
                <w:sz w:val="24"/>
              </w:rPr>
            </w:pPr>
          </w:p>
          <w:p w14:paraId="2A8A1550">
            <w:pPr>
              <w:ind w:firstLine="480" w:firstLineChars="200"/>
              <w:rPr>
                <w:rFonts w:hint="eastAsia"/>
                <w:color w:val="000000"/>
                <w:sz w:val="24"/>
              </w:rPr>
            </w:pPr>
          </w:p>
          <w:p w14:paraId="5482DB90">
            <w:pPr>
              <w:ind w:firstLine="480" w:firstLineChars="200"/>
              <w:rPr>
                <w:rFonts w:hint="eastAsia"/>
                <w:color w:val="000000"/>
                <w:sz w:val="24"/>
              </w:rPr>
            </w:pPr>
          </w:p>
          <w:p w14:paraId="7F8ECB8D">
            <w:pPr>
              <w:ind w:firstLine="480" w:firstLineChars="200"/>
              <w:rPr>
                <w:rFonts w:hint="eastAsia"/>
                <w:color w:val="000000"/>
                <w:sz w:val="24"/>
              </w:rPr>
            </w:pPr>
          </w:p>
          <w:p w14:paraId="1024888E">
            <w:pPr>
              <w:ind w:firstLine="480" w:firstLineChars="200"/>
              <w:rPr>
                <w:rFonts w:hint="eastAsia"/>
                <w:color w:val="000000"/>
                <w:sz w:val="24"/>
              </w:rPr>
            </w:pPr>
          </w:p>
          <w:p w14:paraId="64404357">
            <w:pPr>
              <w:ind w:firstLine="480" w:firstLineChars="200"/>
              <w:rPr>
                <w:rFonts w:hint="eastAsia"/>
                <w:color w:val="000000"/>
                <w:sz w:val="24"/>
              </w:rPr>
            </w:pPr>
          </w:p>
          <w:p w14:paraId="536366C5">
            <w:pPr>
              <w:ind w:firstLine="480" w:firstLineChars="200"/>
              <w:rPr>
                <w:rFonts w:hint="eastAsia"/>
                <w:color w:val="000000"/>
                <w:sz w:val="24"/>
              </w:rPr>
            </w:pPr>
          </w:p>
          <w:p w14:paraId="6F13E432">
            <w:pPr>
              <w:ind w:firstLine="480" w:firstLineChars="200"/>
              <w:rPr>
                <w:rFonts w:hint="eastAsia"/>
                <w:color w:val="000000"/>
                <w:sz w:val="24"/>
              </w:rPr>
            </w:pPr>
          </w:p>
          <w:p w14:paraId="39282804">
            <w:pPr>
              <w:ind w:firstLine="480" w:firstLineChars="200"/>
              <w:rPr>
                <w:rFonts w:hint="eastAsia"/>
                <w:color w:val="000000"/>
                <w:sz w:val="24"/>
              </w:rPr>
            </w:pPr>
          </w:p>
          <w:p w14:paraId="2478D339">
            <w:pPr>
              <w:ind w:firstLine="480" w:firstLineChars="200"/>
              <w:rPr>
                <w:rFonts w:hint="eastAsia"/>
                <w:color w:val="000000"/>
                <w:sz w:val="24"/>
              </w:rPr>
            </w:pPr>
          </w:p>
          <w:p w14:paraId="210141E5">
            <w:pPr>
              <w:ind w:firstLine="480" w:firstLineChars="200"/>
              <w:rPr>
                <w:rFonts w:hint="eastAsia"/>
                <w:color w:val="000000"/>
                <w:sz w:val="24"/>
              </w:rPr>
            </w:pPr>
          </w:p>
          <w:p w14:paraId="4AACAAF1">
            <w:pPr>
              <w:ind w:firstLine="480" w:firstLineChars="200"/>
              <w:rPr>
                <w:rFonts w:hint="eastAsia"/>
                <w:color w:val="000000"/>
                <w:sz w:val="24"/>
              </w:rPr>
            </w:pPr>
          </w:p>
          <w:p w14:paraId="25586BE2">
            <w:pPr>
              <w:ind w:firstLine="480" w:firstLineChars="200"/>
              <w:rPr>
                <w:rFonts w:hint="eastAsia"/>
                <w:color w:val="000000"/>
                <w:sz w:val="24"/>
              </w:rPr>
            </w:pPr>
          </w:p>
          <w:p w14:paraId="612BB94D">
            <w:pPr>
              <w:ind w:firstLine="480" w:firstLineChars="200"/>
              <w:rPr>
                <w:rFonts w:hint="eastAsia"/>
                <w:color w:val="000000"/>
                <w:sz w:val="24"/>
              </w:rPr>
            </w:pPr>
          </w:p>
          <w:p w14:paraId="670DD730">
            <w:pPr>
              <w:ind w:firstLine="480" w:firstLineChars="200"/>
              <w:rPr>
                <w:rFonts w:hint="eastAsia"/>
                <w:color w:val="000000"/>
                <w:sz w:val="24"/>
              </w:rPr>
            </w:pPr>
          </w:p>
          <w:p w14:paraId="0DF2E803">
            <w:pPr>
              <w:ind w:firstLine="480" w:firstLineChars="200"/>
              <w:rPr>
                <w:rFonts w:hint="eastAsia"/>
                <w:color w:val="000000"/>
                <w:sz w:val="24"/>
              </w:rPr>
            </w:pPr>
          </w:p>
          <w:p w14:paraId="14529790">
            <w:pPr>
              <w:ind w:firstLine="480" w:firstLineChars="200"/>
              <w:rPr>
                <w:rFonts w:hint="eastAsia"/>
                <w:color w:val="000000"/>
                <w:sz w:val="24"/>
              </w:rPr>
            </w:pPr>
          </w:p>
          <w:p w14:paraId="62826D95">
            <w:pPr>
              <w:ind w:firstLine="480" w:firstLineChars="200"/>
              <w:rPr>
                <w:rFonts w:hint="eastAsia"/>
                <w:color w:val="000000"/>
                <w:sz w:val="24"/>
              </w:rPr>
            </w:pPr>
          </w:p>
          <w:p w14:paraId="7FDA7277">
            <w:pPr>
              <w:ind w:firstLine="480" w:firstLineChars="200"/>
              <w:rPr>
                <w:rFonts w:hint="eastAsia"/>
                <w:color w:val="000000"/>
                <w:sz w:val="24"/>
              </w:rPr>
            </w:pPr>
          </w:p>
          <w:p w14:paraId="1A6DB4CE">
            <w:pPr>
              <w:ind w:firstLine="480" w:firstLineChars="200"/>
              <w:rPr>
                <w:rFonts w:hint="eastAsia"/>
                <w:color w:val="000000"/>
                <w:sz w:val="24"/>
              </w:rPr>
            </w:pPr>
          </w:p>
          <w:p w14:paraId="0617CA6D">
            <w:pPr>
              <w:ind w:firstLine="480" w:firstLineChars="200"/>
              <w:rPr>
                <w:rFonts w:hint="eastAsia"/>
                <w:color w:val="000000"/>
                <w:sz w:val="24"/>
              </w:rPr>
            </w:pPr>
          </w:p>
          <w:p w14:paraId="3BECFEF2">
            <w:pPr>
              <w:ind w:firstLine="480" w:firstLineChars="200"/>
              <w:rPr>
                <w:rFonts w:hint="eastAsia"/>
                <w:color w:val="000000"/>
                <w:sz w:val="24"/>
              </w:rPr>
            </w:pPr>
          </w:p>
          <w:p w14:paraId="53ABE069">
            <w:pPr>
              <w:ind w:firstLine="480" w:firstLineChars="200"/>
              <w:rPr>
                <w:rFonts w:hint="eastAsia"/>
                <w:color w:val="000000"/>
                <w:sz w:val="24"/>
              </w:rPr>
            </w:pPr>
          </w:p>
          <w:p w14:paraId="6B12A94B">
            <w:pPr>
              <w:ind w:firstLine="480" w:firstLineChars="200"/>
              <w:rPr>
                <w:rFonts w:hint="eastAsia"/>
                <w:color w:val="000000"/>
                <w:sz w:val="24"/>
              </w:rPr>
            </w:pPr>
          </w:p>
          <w:p w14:paraId="5DCF1576">
            <w:pPr>
              <w:ind w:firstLine="480" w:firstLineChars="200"/>
              <w:rPr>
                <w:rFonts w:hint="eastAsia"/>
                <w:color w:val="000000"/>
                <w:sz w:val="24"/>
              </w:rPr>
            </w:pPr>
          </w:p>
          <w:p w14:paraId="3BDF6F01">
            <w:pPr>
              <w:ind w:firstLine="480" w:firstLineChars="200"/>
              <w:rPr>
                <w:rFonts w:hint="eastAsia"/>
                <w:color w:val="000000"/>
                <w:sz w:val="24"/>
              </w:rPr>
            </w:pPr>
          </w:p>
          <w:p w14:paraId="61873A42">
            <w:pPr>
              <w:jc w:val="center"/>
              <w:rPr>
                <w:rFonts w:hint="eastAsia" w:ascii="黑体" w:hAnsi="黑体" w:eastAsia="黑体"/>
                <w:color w:val="000000"/>
                <w:sz w:val="24"/>
              </w:rPr>
            </w:pPr>
            <w:r>
              <w:rPr>
                <w:rFonts w:hint="eastAsia" w:ascii="黑体" w:hAnsi="黑体" w:eastAsia="黑体"/>
                <w:color w:val="000000"/>
                <w:sz w:val="24"/>
              </w:rPr>
              <w:t>图10  评价区植被类型分布图</w:t>
            </w:r>
          </w:p>
          <w:p w14:paraId="381B5344">
            <w:pPr>
              <w:ind w:firstLine="480" w:firstLineChars="200"/>
              <w:rPr>
                <w:rFonts w:hint="eastAsia"/>
                <w:color w:val="000000"/>
                <w:sz w:val="24"/>
              </w:rPr>
            </w:pPr>
            <w:r>
              <w:rPr>
                <w:rFonts w:hint="eastAsia"/>
                <w:color w:val="000000"/>
                <w:sz w:val="24"/>
              </w:rPr>
              <w:t>② 评价区植被名录</w:t>
            </w:r>
          </w:p>
          <w:p w14:paraId="482BC666">
            <w:pPr>
              <w:ind w:firstLine="480" w:firstLineChars="200"/>
              <w:rPr>
                <w:rFonts w:hint="eastAsia"/>
                <w:color w:val="000000"/>
                <w:sz w:val="24"/>
              </w:rPr>
            </w:pPr>
            <w:r>
              <w:rPr>
                <w:rFonts w:hint="eastAsia"/>
                <w:color w:val="000000"/>
                <w:sz w:val="24"/>
              </w:rPr>
              <w:t>根据现场勘查及资料收集，结合遥感影像分析，评价区内植被植物名录见表15。</w:t>
            </w:r>
          </w:p>
          <w:p w14:paraId="250EE128">
            <w:pPr>
              <w:ind w:firstLine="480" w:firstLineChars="200"/>
              <w:rPr>
                <w:rFonts w:hint="eastAsia" w:ascii="黑体" w:hAnsi="黑体" w:eastAsia="黑体"/>
                <w:color w:val="000000"/>
                <w:sz w:val="24"/>
              </w:rPr>
            </w:pPr>
            <w:r>
              <w:rPr>
                <w:rFonts w:hint="eastAsia" w:ascii="黑体" w:hAnsi="黑体" w:eastAsia="黑体"/>
                <w:color w:val="000000"/>
                <w:sz w:val="24"/>
              </w:rPr>
              <w:t>表15                     评价区植物名录</w:t>
            </w:r>
          </w:p>
          <w:tbl>
            <w:tblPr>
              <w:tblStyle w:val="25"/>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28" w:type="dxa"/>
                <w:bottom w:w="0" w:type="dxa"/>
                <w:right w:w="28" w:type="dxa"/>
              </w:tblCellMar>
            </w:tblPr>
            <w:tblGrid>
              <w:gridCol w:w="999"/>
              <w:gridCol w:w="2573"/>
              <w:gridCol w:w="5217"/>
            </w:tblGrid>
            <w:tr w14:paraId="188C0DB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41E780DB">
                  <w:pPr>
                    <w:spacing w:line="0" w:lineRule="atLeast"/>
                    <w:jc w:val="center"/>
                    <w:rPr>
                      <w:rFonts w:hint="eastAsia"/>
                    </w:rPr>
                  </w:pPr>
                  <w:r>
                    <w:rPr>
                      <w:bCs/>
                      <w:snapToGrid w:val="0"/>
                      <w:kern w:val="24"/>
                      <w:szCs w:val="21"/>
                      <w:lang w:val="pt-BR"/>
                    </w:rPr>
                    <w:t>序号</w:t>
                  </w:r>
                </w:p>
              </w:tc>
              <w:tc>
                <w:tcPr>
                  <w:tcW w:w="2573" w:type="dxa"/>
                  <w:vAlign w:val="center"/>
                </w:tcPr>
                <w:p w14:paraId="4FE53263">
                  <w:pPr>
                    <w:spacing w:line="0" w:lineRule="atLeast"/>
                    <w:ind w:left="-105" w:leftChars="-50" w:right="-105" w:rightChars="-50"/>
                    <w:jc w:val="center"/>
                    <w:rPr>
                      <w:rFonts w:hint="eastAsia"/>
                      <w:bCs/>
                      <w:snapToGrid w:val="0"/>
                      <w:kern w:val="24"/>
                      <w:szCs w:val="21"/>
                    </w:rPr>
                  </w:pPr>
                  <w:r>
                    <w:rPr>
                      <w:bCs/>
                      <w:snapToGrid w:val="0"/>
                      <w:kern w:val="24"/>
                      <w:szCs w:val="21"/>
                      <w:lang w:val="pt-BR"/>
                    </w:rPr>
                    <w:t>中文名</w:t>
                  </w:r>
                </w:p>
              </w:tc>
              <w:tc>
                <w:tcPr>
                  <w:tcW w:w="5217" w:type="dxa"/>
                  <w:vAlign w:val="center"/>
                </w:tcPr>
                <w:p w14:paraId="72862494">
                  <w:pPr>
                    <w:spacing w:line="0" w:lineRule="atLeast"/>
                    <w:ind w:left="-105" w:leftChars="-50" w:right="-105" w:rightChars="-50"/>
                    <w:jc w:val="center"/>
                    <w:rPr>
                      <w:rFonts w:hint="eastAsia"/>
                      <w:color w:val="000000"/>
                      <w:szCs w:val="21"/>
                    </w:rPr>
                  </w:pPr>
                  <w:r>
                    <w:rPr>
                      <w:szCs w:val="21"/>
                    </w:rPr>
                    <w:t>拉丁名</w:t>
                  </w:r>
                </w:p>
              </w:tc>
            </w:tr>
            <w:tr w14:paraId="32463A5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20D34DBC">
                  <w:pPr>
                    <w:spacing w:line="0" w:lineRule="atLeast"/>
                    <w:jc w:val="center"/>
                    <w:rPr>
                      <w:rFonts w:hint="eastAsia"/>
                    </w:rPr>
                  </w:pPr>
                  <w:r>
                    <w:rPr>
                      <w:rFonts w:hint="eastAsia"/>
                    </w:rPr>
                    <w:t>一</w:t>
                  </w:r>
                </w:p>
              </w:tc>
              <w:tc>
                <w:tcPr>
                  <w:tcW w:w="7790" w:type="dxa"/>
                  <w:gridSpan w:val="2"/>
                  <w:vAlign w:val="center"/>
                </w:tcPr>
                <w:p w14:paraId="022AF5B6">
                  <w:pPr>
                    <w:spacing w:line="0" w:lineRule="atLeast"/>
                    <w:ind w:left="-105" w:leftChars="-50" w:right="-105" w:rightChars="-50"/>
                    <w:rPr>
                      <w:rFonts w:hint="eastAsia"/>
                      <w:i/>
                      <w:color w:val="000000"/>
                      <w:szCs w:val="21"/>
                    </w:rPr>
                  </w:pPr>
                  <w:r>
                    <w:rPr>
                      <w:rFonts w:hint="eastAsia"/>
                      <w:color w:val="000000"/>
                      <w:szCs w:val="21"/>
                    </w:rPr>
                    <w:t xml:space="preserve"> 麻黄科 </w:t>
                  </w:r>
                  <w:r>
                    <w:rPr>
                      <w:i/>
                      <w:color w:val="000000"/>
                      <w:szCs w:val="21"/>
                    </w:rPr>
                    <w:t>Ephedraceae</w:t>
                  </w:r>
                </w:p>
              </w:tc>
            </w:tr>
            <w:tr w14:paraId="7DBBDD6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74E92E5C">
                  <w:pPr>
                    <w:spacing w:line="0" w:lineRule="atLeast"/>
                    <w:jc w:val="center"/>
                    <w:rPr>
                      <w:rFonts w:hint="eastAsia"/>
                    </w:rPr>
                  </w:pPr>
                  <w:r>
                    <w:rPr>
                      <w:rFonts w:hint="eastAsia"/>
                    </w:rPr>
                    <w:t>1</w:t>
                  </w:r>
                </w:p>
              </w:tc>
              <w:tc>
                <w:tcPr>
                  <w:tcW w:w="2573" w:type="dxa"/>
                  <w:vAlign w:val="center"/>
                </w:tcPr>
                <w:p w14:paraId="0D621473">
                  <w:pPr>
                    <w:spacing w:line="0" w:lineRule="atLeast"/>
                    <w:ind w:left="-105" w:leftChars="-50" w:right="-105" w:rightChars="-50"/>
                    <w:jc w:val="center"/>
                    <w:rPr>
                      <w:rFonts w:hint="eastAsia"/>
                      <w:bCs/>
                      <w:snapToGrid w:val="0"/>
                      <w:kern w:val="24"/>
                      <w:szCs w:val="21"/>
                    </w:rPr>
                  </w:pPr>
                  <w:r>
                    <w:rPr>
                      <w:rFonts w:hint="eastAsia"/>
                      <w:color w:val="000000"/>
                      <w:szCs w:val="21"/>
                    </w:rPr>
                    <w:t>麻黄</w:t>
                  </w:r>
                </w:p>
              </w:tc>
              <w:tc>
                <w:tcPr>
                  <w:tcW w:w="5217" w:type="dxa"/>
                  <w:vAlign w:val="center"/>
                </w:tcPr>
                <w:p w14:paraId="35F7F36A">
                  <w:pPr>
                    <w:spacing w:line="0" w:lineRule="atLeast"/>
                    <w:ind w:left="-105" w:leftChars="-50" w:right="-105" w:rightChars="-50"/>
                    <w:jc w:val="center"/>
                    <w:rPr>
                      <w:rFonts w:hint="eastAsia"/>
                      <w:color w:val="000000"/>
                      <w:szCs w:val="21"/>
                    </w:rPr>
                  </w:pPr>
                  <w:r>
                    <w:rPr>
                      <w:i/>
                      <w:color w:val="000000"/>
                      <w:szCs w:val="21"/>
                    </w:rPr>
                    <w:t>Ephedra sinica</w:t>
                  </w:r>
                  <w:r>
                    <w:rPr>
                      <w:color w:val="000000"/>
                      <w:szCs w:val="21"/>
                    </w:rPr>
                    <w:t xml:space="preserve"> Stapf</w:t>
                  </w:r>
                </w:p>
              </w:tc>
            </w:tr>
            <w:tr w14:paraId="67EB636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7BFB3289">
                  <w:pPr>
                    <w:spacing w:line="0" w:lineRule="atLeast"/>
                    <w:jc w:val="center"/>
                    <w:rPr>
                      <w:rFonts w:hint="eastAsia"/>
                    </w:rPr>
                  </w:pPr>
                  <w:r>
                    <w:rPr>
                      <w:rFonts w:hint="eastAsia"/>
                    </w:rPr>
                    <w:t>二</w:t>
                  </w:r>
                </w:p>
              </w:tc>
              <w:tc>
                <w:tcPr>
                  <w:tcW w:w="7790" w:type="dxa"/>
                  <w:gridSpan w:val="2"/>
                  <w:vAlign w:val="center"/>
                </w:tcPr>
                <w:p w14:paraId="449EAA7D">
                  <w:pPr>
                    <w:spacing w:line="0" w:lineRule="atLeast"/>
                    <w:ind w:left="-105" w:leftChars="-50" w:right="-105" w:rightChars="-50"/>
                    <w:rPr>
                      <w:rFonts w:hint="eastAsia"/>
                      <w:color w:val="000000"/>
                      <w:szCs w:val="21"/>
                    </w:rPr>
                  </w:pPr>
                  <w:r>
                    <w:rPr>
                      <w:rFonts w:hint="eastAsia"/>
                      <w:color w:val="000000"/>
                      <w:szCs w:val="21"/>
                    </w:rPr>
                    <w:t xml:space="preserve"> 蓼科 </w:t>
                  </w:r>
                  <w:r>
                    <w:rPr>
                      <w:i/>
                      <w:color w:val="000000"/>
                      <w:szCs w:val="21"/>
                    </w:rPr>
                    <w:t>Polygonaceae</w:t>
                  </w:r>
                </w:p>
              </w:tc>
            </w:tr>
            <w:tr w14:paraId="2F1C1F2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67913F31">
                  <w:pPr>
                    <w:spacing w:line="0" w:lineRule="atLeast"/>
                    <w:jc w:val="center"/>
                    <w:rPr>
                      <w:rFonts w:hint="eastAsia"/>
                    </w:rPr>
                  </w:pPr>
                  <w:r>
                    <w:rPr>
                      <w:rFonts w:hint="eastAsia"/>
                    </w:rPr>
                    <w:t>2</w:t>
                  </w:r>
                </w:p>
              </w:tc>
              <w:tc>
                <w:tcPr>
                  <w:tcW w:w="2573" w:type="dxa"/>
                  <w:vAlign w:val="center"/>
                </w:tcPr>
                <w:p w14:paraId="2D159EA9">
                  <w:pPr>
                    <w:spacing w:line="0" w:lineRule="atLeast"/>
                    <w:ind w:left="-105" w:leftChars="-50" w:right="-105" w:rightChars="-50"/>
                    <w:jc w:val="center"/>
                    <w:rPr>
                      <w:rFonts w:hint="eastAsia"/>
                      <w:bCs/>
                      <w:snapToGrid w:val="0"/>
                      <w:kern w:val="24"/>
                      <w:szCs w:val="21"/>
                    </w:rPr>
                  </w:pPr>
                  <w:r>
                    <w:rPr>
                      <w:rFonts w:hint="eastAsia"/>
                      <w:bCs/>
                      <w:snapToGrid w:val="0"/>
                      <w:kern w:val="24"/>
                      <w:szCs w:val="21"/>
                      <w:lang w:val="pt-BR"/>
                    </w:rPr>
                    <w:t>叉分</w:t>
                  </w:r>
                  <w:r>
                    <w:rPr>
                      <w:rFonts w:hint="eastAsia"/>
                      <w:color w:val="000000"/>
                      <w:szCs w:val="21"/>
                    </w:rPr>
                    <w:t>蓼</w:t>
                  </w:r>
                </w:p>
              </w:tc>
              <w:tc>
                <w:tcPr>
                  <w:tcW w:w="5217" w:type="dxa"/>
                  <w:vAlign w:val="center"/>
                </w:tcPr>
                <w:p w14:paraId="2EDEDBED">
                  <w:pPr>
                    <w:spacing w:line="0" w:lineRule="atLeast"/>
                    <w:ind w:left="-105" w:leftChars="-50" w:right="-105" w:rightChars="-50"/>
                    <w:jc w:val="center"/>
                    <w:rPr>
                      <w:rFonts w:hint="eastAsia"/>
                      <w:i/>
                      <w:color w:val="000000"/>
                      <w:szCs w:val="21"/>
                    </w:rPr>
                  </w:pPr>
                  <w:r>
                    <w:rPr>
                      <w:i/>
                      <w:color w:val="000000"/>
                      <w:szCs w:val="21"/>
                    </w:rPr>
                    <w:t xml:space="preserve">Polygonum divaricatum </w:t>
                  </w:r>
                  <w:r>
                    <w:rPr>
                      <w:color w:val="000000"/>
                      <w:szCs w:val="21"/>
                    </w:rPr>
                    <w:t>L.</w:t>
                  </w:r>
                </w:p>
              </w:tc>
            </w:tr>
            <w:tr w14:paraId="397620E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0A487B2A">
                  <w:pPr>
                    <w:spacing w:line="0" w:lineRule="atLeast"/>
                    <w:jc w:val="center"/>
                    <w:rPr>
                      <w:rFonts w:hint="eastAsia"/>
                    </w:rPr>
                  </w:pPr>
                  <w:r>
                    <w:rPr>
                      <w:rFonts w:hint="eastAsia"/>
                    </w:rPr>
                    <w:t>三</w:t>
                  </w:r>
                </w:p>
              </w:tc>
              <w:tc>
                <w:tcPr>
                  <w:tcW w:w="7790" w:type="dxa"/>
                  <w:gridSpan w:val="2"/>
                  <w:vAlign w:val="center"/>
                </w:tcPr>
                <w:p w14:paraId="6E1B264E">
                  <w:pPr>
                    <w:spacing w:line="0" w:lineRule="atLeast"/>
                    <w:ind w:left="-105" w:leftChars="-50" w:right="-105" w:rightChars="-50"/>
                    <w:rPr>
                      <w:rFonts w:hint="eastAsia"/>
                      <w:color w:val="000000"/>
                      <w:szCs w:val="21"/>
                    </w:rPr>
                  </w:pPr>
                  <w:r>
                    <w:rPr>
                      <w:rFonts w:hint="eastAsia"/>
                      <w:color w:val="000000"/>
                      <w:szCs w:val="21"/>
                    </w:rPr>
                    <w:t xml:space="preserve"> 藜科 </w:t>
                  </w:r>
                  <w:r>
                    <w:rPr>
                      <w:i/>
                      <w:color w:val="000000"/>
                      <w:szCs w:val="21"/>
                    </w:rPr>
                    <w:t>Chenopodiaceae</w:t>
                  </w:r>
                </w:p>
              </w:tc>
            </w:tr>
            <w:tr w14:paraId="4B96900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4C9A832B">
                  <w:pPr>
                    <w:spacing w:line="0" w:lineRule="atLeast"/>
                    <w:jc w:val="center"/>
                    <w:rPr>
                      <w:rFonts w:hint="eastAsia"/>
                    </w:rPr>
                  </w:pPr>
                  <w:r>
                    <w:rPr>
                      <w:rFonts w:hint="eastAsia"/>
                    </w:rPr>
                    <w:t>3</w:t>
                  </w:r>
                </w:p>
              </w:tc>
              <w:tc>
                <w:tcPr>
                  <w:tcW w:w="2573" w:type="dxa"/>
                  <w:vAlign w:val="center"/>
                </w:tcPr>
                <w:p w14:paraId="6F6F20FB">
                  <w:pPr>
                    <w:spacing w:line="0" w:lineRule="atLeast"/>
                    <w:ind w:left="-105" w:leftChars="-50" w:right="-105" w:rightChars="-50"/>
                    <w:jc w:val="center"/>
                    <w:rPr>
                      <w:rFonts w:hint="eastAsia"/>
                      <w:bCs/>
                      <w:snapToGrid w:val="0"/>
                      <w:kern w:val="24"/>
                      <w:szCs w:val="21"/>
                    </w:rPr>
                  </w:pPr>
                  <w:r>
                    <w:rPr>
                      <w:rFonts w:hint="eastAsia"/>
                      <w:bCs/>
                      <w:snapToGrid w:val="0"/>
                      <w:kern w:val="24"/>
                      <w:szCs w:val="21"/>
                      <w:lang w:val="pt-BR"/>
                    </w:rPr>
                    <w:t>猪毛菜</w:t>
                  </w:r>
                </w:p>
              </w:tc>
              <w:tc>
                <w:tcPr>
                  <w:tcW w:w="5217" w:type="dxa"/>
                  <w:vAlign w:val="center"/>
                </w:tcPr>
                <w:p w14:paraId="5EC7E81A">
                  <w:pPr>
                    <w:spacing w:line="0" w:lineRule="atLeast"/>
                    <w:ind w:left="-105" w:leftChars="-50" w:right="-105" w:rightChars="-50"/>
                    <w:jc w:val="center"/>
                    <w:rPr>
                      <w:rFonts w:hint="eastAsia"/>
                      <w:color w:val="000000"/>
                      <w:szCs w:val="21"/>
                    </w:rPr>
                  </w:pPr>
                  <w:r>
                    <w:rPr>
                      <w:i/>
                      <w:color w:val="000000"/>
                      <w:szCs w:val="21"/>
                    </w:rPr>
                    <w:t>Salsola</w:t>
                  </w:r>
                  <w:r>
                    <w:rPr>
                      <w:rFonts w:hint="eastAsia"/>
                      <w:i/>
                      <w:color w:val="000000"/>
                      <w:szCs w:val="21"/>
                    </w:rPr>
                    <w:t xml:space="preserve"> </w:t>
                  </w:r>
                  <w:r>
                    <w:rPr>
                      <w:i/>
                      <w:color w:val="000000"/>
                      <w:szCs w:val="21"/>
                    </w:rPr>
                    <w:t>collina</w:t>
                  </w:r>
                  <w:r>
                    <w:rPr>
                      <w:color w:val="000000"/>
                      <w:szCs w:val="21"/>
                    </w:rPr>
                    <w:t xml:space="preserve"> Pall.</w:t>
                  </w:r>
                </w:p>
              </w:tc>
            </w:tr>
            <w:tr w14:paraId="4C35E85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37CDBA03">
                  <w:pPr>
                    <w:spacing w:line="0" w:lineRule="atLeast"/>
                    <w:jc w:val="center"/>
                    <w:rPr>
                      <w:rFonts w:hint="eastAsia"/>
                    </w:rPr>
                  </w:pPr>
                  <w:r>
                    <w:rPr>
                      <w:rFonts w:hint="eastAsia"/>
                    </w:rPr>
                    <w:t>4</w:t>
                  </w:r>
                </w:p>
              </w:tc>
              <w:tc>
                <w:tcPr>
                  <w:tcW w:w="2573" w:type="dxa"/>
                  <w:vAlign w:val="center"/>
                </w:tcPr>
                <w:p w14:paraId="23C78C9B">
                  <w:pPr>
                    <w:spacing w:line="0" w:lineRule="atLeast"/>
                    <w:ind w:left="-105" w:leftChars="-50" w:right="-105" w:rightChars="-50"/>
                    <w:jc w:val="center"/>
                    <w:rPr>
                      <w:rFonts w:hint="eastAsia"/>
                      <w:bCs/>
                      <w:snapToGrid w:val="0"/>
                      <w:kern w:val="24"/>
                      <w:szCs w:val="21"/>
                    </w:rPr>
                  </w:pPr>
                  <w:r>
                    <w:rPr>
                      <w:rFonts w:hint="eastAsia"/>
                      <w:bCs/>
                      <w:snapToGrid w:val="0"/>
                      <w:kern w:val="24"/>
                      <w:szCs w:val="21"/>
                      <w:lang w:val="pt-BR"/>
                    </w:rPr>
                    <w:t>刺</w:t>
                  </w:r>
                  <w:r>
                    <w:rPr>
                      <w:rFonts w:hint="eastAsia"/>
                      <w:color w:val="000000"/>
                      <w:szCs w:val="21"/>
                    </w:rPr>
                    <w:t>藜</w:t>
                  </w:r>
                </w:p>
              </w:tc>
              <w:tc>
                <w:tcPr>
                  <w:tcW w:w="5217" w:type="dxa"/>
                  <w:vAlign w:val="center"/>
                </w:tcPr>
                <w:p w14:paraId="0367D55C">
                  <w:pPr>
                    <w:spacing w:line="0" w:lineRule="atLeast"/>
                    <w:ind w:left="-105" w:leftChars="-50" w:right="-105" w:rightChars="-50"/>
                    <w:jc w:val="center"/>
                    <w:rPr>
                      <w:i/>
                      <w:color w:val="000000"/>
                      <w:szCs w:val="21"/>
                    </w:rPr>
                  </w:pPr>
                  <w:r>
                    <w:rPr>
                      <w:i/>
                      <w:color w:val="000000"/>
                      <w:szCs w:val="21"/>
                    </w:rPr>
                    <w:t xml:space="preserve">Chenopodium aristatum </w:t>
                  </w:r>
                  <w:r>
                    <w:rPr>
                      <w:color w:val="000000"/>
                      <w:szCs w:val="21"/>
                    </w:rPr>
                    <w:t>L.</w:t>
                  </w:r>
                </w:p>
              </w:tc>
            </w:tr>
            <w:tr w14:paraId="3BC0B05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175725C1">
                  <w:pPr>
                    <w:spacing w:line="0" w:lineRule="atLeast"/>
                    <w:jc w:val="center"/>
                    <w:rPr>
                      <w:rFonts w:hint="eastAsia"/>
                    </w:rPr>
                  </w:pPr>
                  <w:r>
                    <w:rPr>
                      <w:rFonts w:hint="eastAsia"/>
                    </w:rPr>
                    <w:t>5</w:t>
                  </w:r>
                </w:p>
              </w:tc>
              <w:tc>
                <w:tcPr>
                  <w:tcW w:w="2573" w:type="dxa"/>
                  <w:vAlign w:val="center"/>
                </w:tcPr>
                <w:p w14:paraId="00F43755">
                  <w:pPr>
                    <w:spacing w:line="0" w:lineRule="atLeast"/>
                    <w:ind w:left="-105" w:leftChars="-50" w:right="-105" w:rightChars="-50"/>
                    <w:jc w:val="center"/>
                    <w:rPr>
                      <w:rFonts w:hint="eastAsia"/>
                      <w:bCs/>
                      <w:snapToGrid w:val="0"/>
                      <w:kern w:val="24"/>
                      <w:szCs w:val="21"/>
                    </w:rPr>
                  </w:pPr>
                  <w:r>
                    <w:rPr>
                      <w:rFonts w:hint="eastAsia"/>
                      <w:bCs/>
                      <w:snapToGrid w:val="0"/>
                      <w:kern w:val="24"/>
                      <w:szCs w:val="21"/>
                      <w:lang w:val="pt-BR"/>
                    </w:rPr>
                    <w:t>灰绿</w:t>
                  </w:r>
                  <w:r>
                    <w:rPr>
                      <w:rFonts w:hint="eastAsia"/>
                      <w:color w:val="000000"/>
                      <w:szCs w:val="21"/>
                    </w:rPr>
                    <w:t>藜</w:t>
                  </w:r>
                </w:p>
              </w:tc>
              <w:tc>
                <w:tcPr>
                  <w:tcW w:w="5217" w:type="dxa"/>
                  <w:vAlign w:val="center"/>
                </w:tcPr>
                <w:p w14:paraId="7E4C0016">
                  <w:pPr>
                    <w:spacing w:line="0" w:lineRule="atLeast"/>
                    <w:ind w:left="-105" w:leftChars="-50" w:right="-105" w:rightChars="-50"/>
                    <w:jc w:val="center"/>
                    <w:rPr>
                      <w:i/>
                      <w:color w:val="000000"/>
                      <w:szCs w:val="21"/>
                    </w:rPr>
                  </w:pPr>
                  <w:r>
                    <w:rPr>
                      <w:i/>
                      <w:color w:val="000000"/>
                      <w:szCs w:val="21"/>
                    </w:rPr>
                    <w:t>Chenopodium glaucum L.</w:t>
                  </w:r>
                </w:p>
              </w:tc>
            </w:tr>
            <w:tr w14:paraId="284F676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4BC05301">
                  <w:pPr>
                    <w:spacing w:line="0" w:lineRule="atLeast"/>
                    <w:jc w:val="center"/>
                    <w:rPr>
                      <w:rFonts w:hint="eastAsia"/>
                    </w:rPr>
                  </w:pPr>
                  <w:r>
                    <w:rPr>
                      <w:rFonts w:hint="eastAsia"/>
                    </w:rPr>
                    <w:t>四</w:t>
                  </w:r>
                </w:p>
              </w:tc>
              <w:tc>
                <w:tcPr>
                  <w:tcW w:w="7790" w:type="dxa"/>
                  <w:gridSpan w:val="2"/>
                  <w:vAlign w:val="center"/>
                </w:tcPr>
                <w:p w14:paraId="2118FEF9">
                  <w:pPr>
                    <w:spacing w:line="0" w:lineRule="atLeast"/>
                    <w:ind w:left="-105" w:leftChars="-50" w:right="-105" w:rightChars="-50"/>
                    <w:rPr>
                      <w:color w:val="000000"/>
                      <w:szCs w:val="21"/>
                    </w:rPr>
                  </w:pPr>
                  <w:r>
                    <w:rPr>
                      <w:rFonts w:hint="eastAsia"/>
                      <w:i/>
                      <w:color w:val="000000"/>
                      <w:szCs w:val="21"/>
                    </w:rPr>
                    <w:t xml:space="preserve"> </w:t>
                  </w:r>
                  <w:r>
                    <w:rPr>
                      <w:rFonts w:hint="eastAsia"/>
                      <w:color w:val="000000"/>
                      <w:szCs w:val="21"/>
                    </w:rPr>
                    <w:t xml:space="preserve">石竹科 </w:t>
                  </w:r>
                  <w:r>
                    <w:rPr>
                      <w:i/>
                      <w:color w:val="000000"/>
                      <w:szCs w:val="21"/>
                    </w:rPr>
                    <w:t>Caryophyllaceae</w:t>
                  </w:r>
                </w:p>
              </w:tc>
            </w:tr>
            <w:tr w14:paraId="140253D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130FFE61">
                  <w:pPr>
                    <w:spacing w:line="0" w:lineRule="atLeast"/>
                    <w:jc w:val="center"/>
                    <w:rPr>
                      <w:rFonts w:hint="eastAsia"/>
                    </w:rPr>
                  </w:pPr>
                  <w:r>
                    <w:rPr>
                      <w:rFonts w:hint="eastAsia"/>
                    </w:rPr>
                    <w:t>7</w:t>
                  </w:r>
                </w:p>
              </w:tc>
              <w:tc>
                <w:tcPr>
                  <w:tcW w:w="2573" w:type="dxa"/>
                  <w:vAlign w:val="center"/>
                </w:tcPr>
                <w:p w14:paraId="7A33D675">
                  <w:pPr>
                    <w:spacing w:line="0" w:lineRule="atLeast"/>
                    <w:ind w:left="-105" w:leftChars="-50" w:right="-105" w:rightChars="-50"/>
                    <w:jc w:val="center"/>
                    <w:rPr>
                      <w:rFonts w:hint="eastAsia"/>
                      <w:bCs/>
                      <w:snapToGrid w:val="0"/>
                      <w:kern w:val="24"/>
                      <w:szCs w:val="21"/>
                    </w:rPr>
                  </w:pPr>
                  <w:r>
                    <w:rPr>
                      <w:rFonts w:hint="eastAsia"/>
                      <w:bCs/>
                      <w:snapToGrid w:val="0"/>
                      <w:kern w:val="24"/>
                      <w:szCs w:val="21"/>
                      <w:lang w:val="pt-BR"/>
                    </w:rPr>
                    <w:t>石</w:t>
                  </w:r>
                  <w:r>
                    <w:rPr>
                      <w:rFonts w:hint="eastAsia"/>
                      <w:color w:val="000000"/>
                      <w:szCs w:val="21"/>
                    </w:rPr>
                    <w:t>竹</w:t>
                  </w:r>
                </w:p>
              </w:tc>
              <w:tc>
                <w:tcPr>
                  <w:tcW w:w="5217" w:type="dxa"/>
                  <w:vAlign w:val="center"/>
                </w:tcPr>
                <w:p w14:paraId="31D4F05B">
                  <w:pPr>
                    <w:spacing w:line="0" w:lineRule="atLeast"/>
                    <w:ind w:left="-105" w:leftChars="-50" w:right="-105" w:rightChars="-50"/>
                    <w:jc w:val="center"/>
                    <w:rPr>
                      <w:i/>
                      <w:color w:val="000000"/>
                      <w:szCs w:val="21"/>
                    </w:rPr>
                  </w:pPr>
                  <w:r>
                    <w:rPr>
                      <w:i/>
                      <w:color w:val="000000"/>
                      <w:szCs w:val="21"/>
                    </w:rPr>
                    <w:t xml:space="preserve">Dianthus chinensis </w:t>
                  </w:r>
                  <w:r>
                    <w:rPr>
                      <w:color w:val="000000"/>
                      <w:szCs w:val="21"/>
                    </w:rPr>
                    <w:t>L.</w:t>
                  </w:r>
                </w:p>
              </w:tc>
            </w:tr>
            <w:tr w14:paraId="248D3B3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13D0966F">
                  <w:pPr>
                    <w:spacing w:line="0" w:lineRule="atLeast"/>
                    <w:jc w:val="center"/>
                    <w:rPr>
                      <w:rFonts w:hint="eastAsia"/>
                    </w:rPr>
                  </w:pPr>
                  <w:r>
                    <w:rPr>
                      <w:rFonts w:hint="eastAsia"/>
                    </w:rPr>
                    <w:t>8</w:t>
                  </w:r>
                </w:p>
              </w:tc>
              <w:tc>
                <w:tcPr>
                  <w:tcW w:w="2573" w:type="dxa"/>
                  <w:vAlign w:val="center"/>
                </w:tcPr>
                <w:p w14:paraId="36AC37D3">
                  <w:pPr>
                    <w:spacing w:line="0" w:lineRule="atLeast"/>
                    <w:ind w:left="-105" w:leftChars="-50" w:right="-105" w:rightChars="-50"/>
                    <w:jc w:val="center"/>
                    <w:rPr>
                      <w:rFonts w:hint="eastAsia"/>
                      <w:bCs/>
                      <w:snapToGrid w:val="0"/>
                      <w:kern w:val="24"/>
                      <w:szCs w:val="21"/>
                    </w:rPr>
                  </w:pPr>
                  <w:r>
                    <w:rPr>
                      <w:rFonts w:hint="eastAsia"/>
                      <w:bCs/>
                      <w:snapToGrid w:val="0"/>
                      <w:kern w:val="24"/>
                      <w:szCs w:val="21"/>
                      <w:lang w:val="pt-BR"/>
                    </w:rPr>
                    <w:t>旱麦瓶草</w:t>
                  </w:r>
                </w:p>
              </w:tc>
              <w:tc>
                <w:tcPr>
                  <w:tcW w:w="5217" w:type="dxa"/>
                  <w:vAlign w:val="center"/>
                </w:tcPr>
                <w:p w14:paraId="1CA8E4BB">
                  <w:pPr>
                    <w:spacing w:line="0" w:lineRule="atLeast"/>
                    <w:ind w:left="-105" w:leftChars="-50" w:right="-105" w:rightChars="-50"/>
                    <w:jc w:val="center"/>
                    <w:rPr>
                      <w:i/>
                      <w:color w:val="000000"/>
                      <w:szCs w:val="21"/>
                    </w:rPr>
                  </w:pPr>
                  <w:r>
                    <w:rPr>
                      <w:i/>
                      <w:color w:val="000000"/>
                      <w:szCs w:val="21"/>
                    </w:rPr>
                    <w:t xml:space="preserve">Silene jenisseensis </w:t>
                  </w:r>
                  <w:r>
                    <w:rPr>
                      <w:color w:val="000000"/>
                      <w:szCs w:val="21"/>
                    </w:rPr>
                    <w:t>Willd.</w:t>
                  </w:r>
                </w:p>
              </w:tc>
            </w:tr>
            <w:tr w14:paraId="406EC6B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2630380E">
                  <w:pPr>
                    <w:spacing w:line="0" w:lineRule="atLeast"/>
                    <w:jc w:val="center"/>
                    <w:rPr>
                      <w:rFonts w:hint="eastAsia"/>
                    </w:rPr>
                  </w:pPr>
                  <w:r>
                    <w:rPr>
                      <w:rFonts w:hint="eastAsia"/>
                    </w:rPr>
                    <w:t>五</w:t>
                  </w:r>
                </w:p>
              </w:tc>
              <w:tc>
                <w:tcPr>
                  <w:tcW w:w="7790" w:type="dxa"/>
                  <w:gridSpan w:val="2"/>
                  <w:vAlign w:val="center"/>
                </w:tcPr>
                <w:p w14:paraId="6D2F4795">
                  <w:pPr>
                    <w:spacing w:line="0" w:lineRule="atLeast"/>
                    <w:ind w:left="-105" w:leftChars="-50" w:right="-105" w:rightChars="-50" w:firstLine="105" w:firstLineChars="50"/>
                    <w:rPr>
                      <w:bCs/>
                      <w:snapToGrid w:val="0"/>
                      <w:kern w:val="24"/>
                      <w:szCs w:val="21"/>
                    </w:rPr>
                  </w:pPr>
                  <w:r>
                    <w:rPr>
                      <w:rFonts w:hint="eastAsia"/>
                      <w:bCs/>
                      <w:snapToGrid w:val="0"/>
                      <w:kern w:val="24"/>
                      <w:szCs w:val="21"/>
                      <w:lang w:val="pt-BR"/>
                    </w:rPr>
                    <w:t>毛莨科</w:t>
                  </w:r>
                  <w:r>
                    <w:rPr>
                      <w:rFonts w:hint="eastAsia"/>
                      <w:bCs/>
                      <w:snapToGrid w:val="0"/>
                      <w:kern w:val="24"/>
                      <w:szCs w:val="21"/>
                    </w:rPr>
                    <w:t xml:space="preserve"> </w:t>
                  </w:r>
                  <w:r>
                    <w:rPr>
                      <w:bCs/>
                      <w:i/>
                      <w:snapToGrid w:val="0"/>
                      <w:kern w:val="24"/>
                      <w:szCs w:val="21"/>
                    </w:rPr>
                    <w:t>Ranunculaceae</w:t>
                  </w:r>
                  <w:r>
                    <w:rPr>
                      <w:bCs/>
                      <w:snapToGrid w:val="0"/>
                      <w:kern w:val="24"/>
                      <w:szCs w:val="21"/>
                    </w:rPr>
                    <w:t xml:space="preserve"> </w:t>
                  </w:r>
                </w:p>
              </w:tc>
            </w:tr>
            <w:tr w14:paraId="2FC8CA9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23A2B207">
                  <w:pPr>
                    <w:spacing w:line="0" w:lineRule="atLeast"/>
                    <w:jc w:val="center"/>
                    <w:rPr>
                      <w:rFonts w:hint="eastAsia"/>
                    </w:rPr>
                  </w:pPr>
                  <w:r>
                    <w:rPr>
                      <w:rFonts w:hint="eastAsia"/>
                    </w:rPr>
                    <w:t>9</w:t>
                  </w:r>
                </w:p>
              </w:tc>
              <w:tc>
                <w:tcPr>
                  <w:tcW w:w="2573" w:type="dxa"/>
                  <w:vAlign w:val="center"/>
                </w:tcPr>
                <w:p w14:paraId="782A96DC">
                  <w:pPr>
                    <w:spacing w:line="0" w:lineRule="atLeast"/>
                    <w:ind w:left="-105" w:leftChars="-50" w:right="-105" w:rightChars="-50"/>
                    <w:jc w:val="center"/>
                    <w:rPr>
                      <w:rFonts w:hint="eastAsia"/>
                      <w:bCs/>
                      <w:snapToGrid w:val="0"/>
                      <w:kern w:val="24"/>
                      <w:szCs w:val="21"/>
                      <w:lang w:val="pt-BR"/>
                    </w:rPr>
                  </w:pPr>
                  <w:r>
                    <w:rPr>
                      <w:rFonts w:hint="eastAsia"/>
                      <w:bCs/>
                      <w:snapToGrid w:val="0"/>
                      <w:kern w:val="24"/>
                      <w:szCs w:val="21"/>
                      <w:lang w:val="pt-BR"/>
                    </w:rPr>
                    <w:t>棉团铁线莲</w:t>
                  </w:r>
                </w:p>
              </w:tc>
              <w:tc>
                <w:tcPr>
                  <w:tcW w:w="5217" w:type="dxa"/>
                  <w:vAlign w:val="center"/>
                </w:tcPr>
                <w:p w14:paraId="3535E88B">
                  <w:pPr>
                    <w:spacing w:line="0" w:lineRule="atLeast"/>
                    <w:ind w:left="-105" w:leftChars="-50" w:right="-105" w:rightChars="-50"/>
                    <w:jc w:val="center"/>
                    <w:rPr>
                      <w:i/>
                      <w:color w:val="000000"/>
                      <w:szCs w:val="21"/>
                    </w:rPr>
                  </w:pPr>
                  <w:r>
                    <w:rPr>
                      <w:i/>
                      <w:color w:val="000000"/>
                      <w:szCs w:val="21"/>
                    </w:rPr>
                    <w:t xml:space="preserve">Clematis hexapetala </w:t>
                  </w:r>
                  <w:r>
                    <w:rPr>
                      <w:color w:val="000000"/>
                      <w:szCs w:val="21"/>
                    </w:rPr>
                    <w:t>Pall.</w:t>
                  </w:r>
                </w:p>
              </w:tc>
            </w:tr>
            <w:tr w14:paraId="7B9B723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4504E937">
                  <w:pPr>
                    <w:spacing w:line="0" w:lineRule="atLeast"/>
                    <w:jc w:val="center"/>
                    <w:rPr>
                      <w:rFonts w:hint="eastAsia"/>
                    </w:rPr>
                  </w:pPr>
                  <w:r>
                    <w:rPr>
                      <w:rFonts w:hint="eastAsia"/>
                    </w:rPr>
                    <w:t>10</w:t>
                  </w:r>
                </w:p>
              </w:tc>
              <w:tc>
                <w:tcPr>
                  <w:tcW w:w="2573" w:type="dxa"/>
                  <w:vAlign w:val="center"/>
                </w:tcPr>
                <w:p w14:paraId="626B5469">
                  <w:pPr>
                    <w:spacing w:line="0" w:lineRule="atLeast"/>
                    <w:ind w:left="-105" w:leftChars="-50" w:right="-105" w:rightChars="-50"/>
                    <w:jc w:val="center"/>
                    <w:rPr>
                      <w:rFonts w:hint="eastAsia"/>
                      <w:bCs/>
                      <w:snapToGrid w:val="0"/>
                      <w:kern w:val="24"/>
                      <w:szCs w:val="21"/>
                      <w:lang w:val="pt-BR"/>
                    </w:rPr>
                  </w:pPr>
                  <w:r>
                    <w:rPr>
                      <w:rFonts w:hint="eastAsia"/>
                      <w:bCs/>
                      <w:snapToGrid w:val="0"/>
                      <w:kern w:val="24"/>
                      <w:szCs w:val="21"/>
                      <w:lang w:val="pt-BR"/>
                    </w:rPr>
                    <w:t>瓣蕊唐松草</w:t>
                  </w:r>
                </w:p>
              </w:tc>
              <w:tc>
                <w:tcPr>
                  <w:tcW w:w="5217" w:type="dxa"/>
                  <w:vAlign w:val="center"/>
                </w:tcPr>
                <w:p w14:paraId="28BC18C3">
                  <w:pPr>
                    <w:spacing w:line="0" w:lineRule="atLeast"/>
                    <w:ind w:left="-105" w:leftChars="-50" w:right="-105" w:rightChars="-50"/>
                    <w:jc w:val="center"/>
                    <w:rPr>
                      <w:i/>
                      <w:color w:val="000000"/>
                      <w:szCs w:val="21"/>
                    </w:rPr>
                  </w:pPr>
                  <w:r>
                    <w:rPr>
                      <w:i/>
                      <w:color w:val="000000"/>
                      <w:szCs w:val="21"/>
                    </w:rPr>
                    <w:t xml:space="preserve">Thalictrum petaloideum </w:t>
                  </w:r>
                  <w:r>
                    <w:rPr>
                      <w:color w:val="000000"/>
                      <w:szCs w:val="21"/>
                    </w:rPr>
                    <w:t>L.</w:t>
                  </w:r>
                </w:p>
              </w:tc>
            </w:tr>
            <w:tr w14:paraId="649C245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5A6368D6">
                  <w:pPr>
                    <w:spacing w:line="0" w:lineRule="atLeast"/>
                    <w:jc w:val="center"/>
                    <w:rPr>
                      <w:rFonts w:hint="eastAsia"/>
                    </w:rPr>
                  </w:pPr>
                  <w:r>
                    <w:rPr>
                      <w:rFonts w:hint="eastAsia"/>
                    </w:rPr>
                    <w:t>11</w:t>
                  </w:r>
                </w:p>
              </w:tc>
              <w:tc>
                <w:tcPr>
                  <w:tcW w:w="2573" w:type="dxa"/>
                  <w:vAlign w:val="center"/>
                </w:tcPr>
                <w:p w14:paraId="500F30A3">
                  <w:pPr>
                    <w:spacing w:line="0" w:lineRule="atLeast"/>
                    <w:ind w:left="-105" w:leftChars="-50" w:right="-105" w:rightChars="-50"/>
                    <w:jc w:val="center"/>
                    <w:rPr>
                      <w:rFonts w:hint="eastAsia"/>
                      <w:bCs/>
                      <w:snapToGrid w:val="0"/>
                      <w:kern w:val="24"/>
                      <w:szCs w:val="21"/>
                      <w:lang w:val="pt-BR"/>
                    </w:rPr>
                  </w:pPr>
                  <w:r>
                    <w:rPr>
                      <w:rFonts w:hint="eastAsia"/>
                      <w:bCs/>
                      <w:snapToGrid w:val="0"/>
                      <w:kern w:val="24"/>
                      <w:szCs w:val="21"/>
                      <w:lang w:val="pt-BR"/>
                    </w:rPr>
                    <w:t>展枝唐松草</w:t>
                  </w:r>
                </w:p>
              </w:tc>
              <w:tc>
                <w:tcPr>
                  <w:tcW w:w="5217" w:type="dxa"/>
                  <w:vAlign w:val="center"/>
                </w:tcPr>
                <w:p w14:paraId="3BDF2BA6">
                  <w:pPr>
                    <w:spacing w:line="0" w:lineRule="atLeast"/>
                    <w:ind w:left="-105" w:leftChars="-50" w:right="-105" w:rightChars="-50"/>
                    <w:jc w:val="center"/>
                    <w:rPr>
                      <w:i/>
                      <w:color w:val="000000"/>
                      <w:szCs w:val="21"/>
                    </w:rPr>
                  </w:pPr>
                  <w:r>
                    <w:rPr>
                      <w:i/>
                      <w:color w:val="000000"/>
                      <w:szCs w:val="21"/>
                    </w:rPr>
                    <w:t>Thalictrum squarrosum</w:t>
                  </w:r>
                </w:p>
              </w:tc>
            </w:tr>
            <w:tr w14:paraId="357DD54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0BA516F0">
                  <w:pPr>
                    <w:spacing w:line="0" w:lineRule="atLeast"/>
                    <w:jc w:val="center"/>
                    <w:rPr>
                      <w:rFonts w:hint="eastAsia"/>
                    </w:rPr>
                  </w:pPr>
                  <w:r>
                    <w:rPr>
                      <w:rFonts w:hint="eastAsia"/>
                    </w:rPr>
                    <w:t>六</w:t>
                  </w:r>
                </w:p>
              </w:tc>
              <w:tc>
                <w:tcPr>
                  <w:tcW w:w="7790" w:type="dxa"/>
                  <w:gridSpan w:val="2"/>
                  <w:vAlign w:val="center"/>
                </w:tcPr>
                <w:p w14:paraId="3632D0BC">
                  <w:pPr>
                    <w:spacing w:line="0" w:lineRule="atLeast"/>
                    <w:ind w:left="-105" w:leftChars="-50" w:right="-105" w:rightChars="-50"/>
                    <w:rPr>
                      <w:rFonts w:hint="eastAsia"/>
                      <w:color w:val="000000"/>
                      <w:szCs w:val="21"/>
                    </w:rPr>
                  </w:pPr>
                  <w:r>
                    <w:rPr>
                      <w:rFonts w:hint="eastAsia"/>
                      <w:color w:val="000000"/>
                      <w:szCs w:val="21"/>
                    </w:rPr>
                    <w:t xml:space="preserve"> 十字花科 </w:t>
                  </w:r>
                  <w:r>
                    <w:rPr>
                      <w:i/>
                      <w:color w:val="000000"/>
                      <w:szCs w:val="21"/>
                    </w:rPr>
                    <w:t>Cruciferae</w:t>
                  </w:r>
                </w:p>
              </w:tc>
            </w:tr>
            <w:tr w14:paraId="0D15926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0C1D62C6">
                  <w:pPr>
                    <w:spacing w:line="0" w:lineRule="atLeast"/>
                    <w:jc w:val="center"/>
                    <w:rPr>
                      <w:rFonts w:hint="eastAsia"/>
                    </w:rPr>
                  </w:pPr>
                  <w:r>
                    <w:rPr>
                      <w:rFonts w:hint="eastAsia"/>
                    </w:rPr>
                    <w:t>12</w:t>
                  </w:r>
                </w:p>
              </w:tc>
              <w:tc>
                <w:tcPr>
                  <w:tcW w:w="2573" w:type="dxa"/>
                  <w:vAlign w:val="center"/>
                </w:tcPr>
                <w:p w14:paraId="7D176726">
                  <w:pPr>
                    <w:spacing w:line="0" w:lineRule="atLeast"/>
                    <w:ind w:left="-105" w:leftChars="-50" w:right="-105" w:rightChars="-50"/>
                    <w:jc w:val="center"/>
                    <w:rPr>
                      <w:rFonts w:hint="eastAsia"/>
                      <w:bCs/>
                      <w:snapToGrid w:val="0"/>
                      <w:kern w:val="24"/>
                      <w:szCs w:val="21"/>
                      <w:lang w:val="pt-BR"/>
                    </w:rPr>
                  </w:pPr>
                  <w:r>
                    <w:rPr>
                      <w:rFonts w:hint="eastAsia"/>
                    </w:rPr>
                    <w:t>小花花旗竿</w:t>
                  </w:r>
                </w:p>
              </w:tc>
              <w:tc>
                <w:tcPr>
                  <w:tcW w:w="5217" w:type="dxa"/>
                  <w:vAlign w:val="center"/>
                </w:tcPr>
                <w:p w14:paraId="7AF49499">
                  <w:pPr>
                    <w:spacing w:line="0" w:lineRule="atLeast"/>
                    <w:ind w:left="-105" w:leftChars="-50" w:right="-105" w:rightChars="-50"/>
                    <w:jc w:val="center"/>
                    <w:rPr>
                      <w:rFonts w:hint="eastAsia"/>
                      <w:color w:val="000000"/>
                      <w:szCs w:val="21"/>
                    </w:rPr>
                  </w:pPr>
                  <w:r>
                    <w:rPr>
                      <w:rFonts w:hint="eastAsia"/>
                      <w:i/>
                      <w:color w:val="000000"/>
                      <w:szCs w:val="21"/>
                    </w:rPr>
                    <w:t>Dontostemon micranthus</w:t>
                  </w:r>
                  <w:r>
                    <w:rPr>
                      <w:rFonts w:hint="eastAsia"/>
                      <w:color w:val="000000"/>
                      <w:szCs w:val="21"/>
                    </w:rPr>
                    <w:t xml:space="preserve"> C.A.Mey</w:t>
                  </w:r>
                </w:p>
              </w:tc>
            </w:tr>
            <w:tr w14:paraId="6C3E131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76EFD7B1">
                  <w:pPr>
                    <w:spacing w:line="0" w:lineRule="atLeast"/>
                    <w:jc w:val="center"/>
                    <w:rPr>
                      <w:rFonts w:hint="eastAsia"/>
                    </w:rPr>
                  </w:pPr>
                  <w:r>
                    <w:rPr>
                      <w:rFonts w:hint="eastAsia"/>
                    </w:rPr>
                    <w:t>13</w:t>
                  </w:r>
                </w:p>
              </w:tc>
              <w:tc>
                <w:tcPr>
                  <w:tcW w:w="2573" w:type="dxa"/>
                  <w:vAlign w:val="center"/>
                </w:tcPr>
                <w:p w14:paraId="17C3A8A6">
                  <w:pPr>
                    <w:spacing w:line="0" w:lineRule="atLeast"/>
                    <w:ind w:left="-105" w:leftChars="-50" w:right="-105" w:rightChars="-50"/>
                    <w:jc w:val="center"/>
                    <w:rPr>
                      <w:rFonts w:hint="eastAsia"/>
                      <w:bCs/>
                      <w:snapToGrid w:val="0"/>
                      <w:kern w:val="24"/>
                      <w:szCs w:val="21"/>
                    </w:rPr>
                  </w:pPr>
                  <w:r>
                    <w:rPr>
                      <w:rFonts w:hint="eastAsia"/>
                      <w:bCs/>
                      <w:snapToGrid w:val="0"/>
                      <w:kern w:val="24"/>
                      <w:szCs w:val="21"/>
                      <w:lang w:val="pt-BR"/>
                    </w:rPr>
                    <w:t>燥原荠</w:t>
                  </w:r>
                </w:p>
              </w:tc>
              <w:tc>
                <w:tcPr>
                  <w:tcW w:w="5217" w:type="dxa"/>
                  <w:vAlign w:val="center"/>
                </w:tcPr>
                <w:p w14:paraId="37EAAA40">
                  <w:pPr>
                    <w:spacing w:line="0" w:lineRule="atLeast"/>
                    <w:ind w:left="-105" w:leftChars="-50" w:right="-105" w:rightChars="-50"/>
                    <w:jc w:val="center"/>
                    <w:rPr>
                      <w:i/>
                      <w:color w:val="000000"/>
                      <w:szCs w:val="21"/>
                      <w:lang w:val="pt-BR"/>
                    </w:rPr>
                  </w:pPr>
                  <w:r>
                    <w:rPr>
                      <w:i/>
                      <w:color w:val="000000"/>
                      <w:szCs w:val="21"/>
                      <w:lang w:val="pt-BR"/>
                    </w:rPr>
                    <w:t>Ptilotricum canescens</w:t>
                  </w:r>
                  <w:r>
                    <w:rPr>
                      <w:rFonts w:hint="eastAsia"/>
                      <w:i/>
                      <w:color w:val="000000"/>
                      <w:szCs w:val="21"/>
                      <w:lang w:val="pt-BR"/>
                    </w:rPr>
                    <w:t xml:space="preserve"> </w:t>
                  </w:r>
                  <w:r>
                    <w:rPr>
                      <w:rFonts w:hint="eastAsia"/>
                      <w:color w:val="000000"/>
                      <w:szCs w:val="21"/>
                      <w:lang w:val="pt-BR"/>
                    </w:rPr>
                    <w:t>（</w:t>
                  </w:r>
                  <w:r>
                    <w:rPr>
                      <w:color w:val="000000"/>
                      <w:szCs w:val="21"/>
                      <w:lang w:val="pt-BR"/>
                    </w:rPr>
                    <w:t>DC.</w:t>
                  </w:r>
                  <w:r>
                    <w:rPr>
                      <w:rFonts w:hint="eastAsia"/>
                      <w:color w:val="000000"/>
                      <w:szCs w:val="21"/>
                      <w:lang w:val="pt-BR"/>
                    </w:rPr>
                    <w:t>）</w:t>
                  </w:r>
                  <w:r>
                    <w:rPr>
                      <w:color w:val="000000"/>
                      <w:szCs w:val="21"/>
                      <w:lang w:val="pt-BR"/>
                    </w:rPr>
                    <w:t>C. A. Mey.</w:t>
                  </w:r>
                </w:p>
              </w:tc>
            </w:tr>
            <w:tr w14:paraId="2389092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1F552188">
                  <w:pPr>
                    <w:spacing w:line="0" w:lineRule="atLeast"/>
                    <w:jc w:val="center"/>
                    <w:rPr>
                      <w:rFonts w:hint="eastAsia"/>
                    </w:rPr>
                  </w:pPr>
                  <w:r>
                    <w:rPr>
                      <w:rFonts w:hint="eastAsia"/>
                      <w:lang w:val="pt-BR"/>
                    </w:rPr>
                    <w:t>七</w:t>
                  </w:r>
                </w:p>
              </w:tc>
              <w:tc>
                <w:tcPr>
                  <w:tcW w:w="7790" w:type="dxa"/>
                  <w:gridSpan w:val="2"/>
                  <w:vAlign w:val="center"/>
                </w:tcPr>
                <w:p w14:paraId="6E96B226">
                  <w:pPr>
                    <w:spacing w:line="0" w:lineRule="atLeast"/>
                    <w:ind w:left="-105" w:leftChars="-50" w:right="-105" w:rightChars="-50"/>
                    <w:rPr>
                      <w:rFonts w:hint="eastAsia"/>
                      <w:color w:val="000000"/>
                      <w:szCs w:val="21"/>
                    </w:rPr>
                  </w:pPr>
                  <w:r>
                    <w:rPr>
                      <w:rFonts w:hint="eastAsia"/>
                      <w:color w:val="000000"/>
                      <w:szCs w:val="21"/>
                    </w:rPr>
                    <w:t xml:space="preserve"> 景天科</w:t>
                  </w:r>
                </w:p>
              </w:tc>
            </w:tr>
            <w:tr w14:paraId="5E33CCA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31755A24">
                  <w:pPr>
                    <w:spacing w:line="0" w:lineRule="atLeast"/>
                    <w:jc w:val="center"/>
                    <w:rPr>
                      <w:rFonts w:hint="eastAsia"/>
                    </w:rPr>
                  </w:pPr>
                  <w:r>
                    <w:rPr>
                      <w:rFonts w:hint="eastAsia"/>
                    </w:rPr>
                    <w:t>14</w:t>
                  </w:r>
                </w:p>
              </w:tc>
              <w:tc>
                <w:tcPr>
                  <w:tcW w:w="2573" w:type="dxa"/>
                  <w:vAlign w:val="center"/>
                </w:tcPr>
                <w:p w14:paraId="0BFFF7B2">
                  <w:pPr>
                    <w:spacing w:line="0" w:lineRule="atLeast"/>
                    <w:ind w:left="-105" w:leftChars="-50" w:right="-105" w:rightChars="-50"/>
                    <w:jc w:val="center"/>
                    <w:rPr>
                      <w:rFonts w:hint="eastAsia"/>
                      <w:bCs/>
                      <w:snapToGrid w:val="0"/>
                      <w:kern w:val="24"/>
                      <w:szCs w:val="21"/>
                      <w:lang w:val="pt-BR"/>
                    </w:rPr>
                  </w:pPr>
                  <w:r>
                    <w:rPr>
                      <w:rFonts w:hint="eastAsia"/>
                      <w:bCs/>
                      <w:snapToGrid w:val="0"/>
                      <w:kern w:val="24"/>
                      <w:szCs w:val="21"/>
                      <w:lang w:val="pt-BR"/>
                    </w:rPr>
                    <w:t>瓦松</w:t>
                  </w:r>
                </w:p>
              </w:tc>
              <w:tc>
                <w:tcPr>
                  <w:tcW w:w="5217" w:type="dxa"/>
                  <w:vAlign w:val="center"/>
                </w:tcPr>
                <w:p w14:paraId="64EBF632">
                  <w:pPr>
                    <w:spacing w:line="0" w:lineRule="atLeast"/>
                    <w:ind w:left="-105" w:leftChars="-50" w:right="-105" w:rightChars="-50"/>
                    <w:jc w:val="center"/>
                    <w:rPr>
                      <w:rFonts w:hint="eastAsia"/>
                      <w:color w:val="000000"/>
                      <w:szCs w:val="21"/>
                      <w:lang w:val="pt-BR"/>
                    </w:rPr>
                  </w:pPr>
                  <w:r>
                    <w:rPr>
                      <w:rFonts w:hint="eastAsia"/>
                      <w:i/>
                      <w:color w:val="000000"/>
                      <w:szCs w:val="21"/>
                      <w:lang w:val="pt-BR"/>
                    </w:rPr>
                    <w:t xml:space="preserve">Orosta.chys fimbriata </w:t>
                  </w:r>
                  <w:r>
                    <w:rPr>
                      <w:rFonts w:hint="eastAsia"/>
                      <w:color w:val="000000"/>
                      <w:szCs w:val="21"/>
                      <w:lang w:val="pt-BR"/>
                    </w:rPr>
                    <w:t>（Turcz.）Berg.</w:t>
                  </w:r>
                </w:p>
              </w:tc>
            </w:tr>
            <w:tr w14:paraId="606E170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4DE46C41">
                  <w:pPr>
                    <w:spacing w:line="0" w:lineRule="atLeast"/>
                    <w:jc w:val="center"/>
                    <w:rPr>
                      <w:rFonts w:hint="eastAsia"/>
                    </w:rPr>
                  </w:pPr>
                  <w:r>
                    <w:rPr>
                      <w:rFonts w:hint="eastAsia"/>
                    </w:rPr>
                    <w:t>15</w:t>
                  </w:r>
                </w:p>
              </w:tc>
              <w:tc>
                <w:tcPr>
                  <w:tcW w:w="2573" w:type="dxa"/>
                  <w:vAlign w:val="center"/>
                </w:tcPr>
                <w:p w14:paraId="554C5F1B">
                  <w:pPr>
                    <w:spacing w:line="0" w:lineRule="atLeast"/>
                    <w:ind w:left="-105" w:leftChars="-50" w:right="-105" w:rightChars="-50"/>
                    <w:jc w:val="center"/>
                    <w:rPr>
                      <w:rFonts w:hint="eastAsia"/>
                      <w:bCs/>
                      <w:snapToGrid w:val="0"/>
                      <w:kern w:val="24"/>
                      <w:szCs w:val="21"/>
                      <w:lang w:val="pt-BR"/>
                    </w:rPr>
                  </w:pPr>
                  <w:r>
                    <w:rPr>
                      <w:rFonts w:hint="eastAsia"/>
                      <w:bCs/>
                      <w:snapToGrid w:val="0"/>
                      <w:kern w:val="24"/>
                      <w:szCs w:val="21"/>
                      <w:lang w:val="pt-BR"/>
                    </w:rPr>
                    <w:t>钝叶瓦松</w:t>
                  </w:r>
                </w:p>
              </w:tc>
              <w:tc>
                <w:tcPr>
                  <w:tcW w:w="5217" w:type="dxa"/>
                  <w:vAlign w:val="center"/>
                </w:tcPr>
                <w:p w14:paraId="24A986FA">
                  <w:pPr>
                    <w:spacing w:line="0" w:lineRule="atLeast"/>
                    <w:ind w:left="-105" w:leftChars="-50" w:right="-105" w:rightChars="-50"/>
                    <w:jc w:val="center"/>
                    <w:rPr>
                      <w:rFonts w:hint="eastAsia"/>
                      <w:i/>
                      <w:color w:val="000000"/>
                      <w:szCs w:val="21"/>
                    </w:rPr>
                  </w:pPr>
                  <w:r>
                    <w:rPr>
                      <w:i/>
                      <w:color w:val="000000"/>
                      <w:szCs w:val="21"/>
                    </w:rPr>
                    <w:t>Orostachys malacophylla</w:t>
                  </w:r>
                  <w:r>
                    <w:rPr>
                      <w:color w:val="000000"/>
                      <w:szCs w:val="21"/>
                    </w:rPr>
                    <w:t xml:space="preserve"> </w:t>
                  </w:r>
                  <w:r>
                    <w:rPr>
                      <w:rFonts w:hint="eastAsia"/>
                      <w:color w:val="000000"/>
                      <w:szCs w:val="21"/>
                    </w:rPr>
                    <w:t>（</w:t>
                  </w:r>
                  <w:r>
                    <w:rPr>
                      <w:color w:val="000000"/>
                      <w:szCs w:val="21"/>
                    </w:rPr>
                    <w:t>Pall.</w:t>
                  </w:r>
                  <w:r>
                    <w:rPr>
                      <w:rFonts w:hint="eastAsia"/>
                      <w:color w:val="000000"/>
                      <w:szCs w:val="21"/>
                    </w:rPr>
                    <w:t>）</w:t>
                  </w:r>
                  <w:r>
                    <w:rPr>
                      <w:color w:val="000000"/>
                      <w:szCs w:val="21"/>
                    </w:rPr>
                    <w:t>)Fisch.</w:t>
                  </w:r>
                </w:p>
              </w:tc>
            </w:tr>
            <w:tr w14:paraId="3C0DDDC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7B700787">
                  <w:pPr>
                    <w:spacing w:line="0" w:lineRule="atLeast"/>
                    <w:jc w:val="center"/>
                    <w:rPr>
                      <w:rFonts w:hint="eastAsia"/>
                    </w:rPr>
                  </w:pPr>
                  <w:r>
                    <w:rPr>
                      <w:rFonts w:hint="eastAsia"/>
                    </w:rPr>
                    <w:t>八</w:t>
                  </w:r>
                </w:p>
              </w:tc>
              <w:tc>
                <w:tcPr>
                  <w:tcW w:w="7790" w:type="dxa"/>
                  <w:gridSpan w:val="2"/>
                  <w:vAlign w:val="center"/>
                </w:tcPr>
                <w:p w14:paraId="1D213233">
                  <w:pPr>
                    <w:spacing w:line="0" w:lineRule="atLeast"/>
                    <w:ind w:left="-105" w:leftChars="-50" w:right="-105" w:rightChars="-50"/>
                    <w:rPr>
                      <w:rFonts w:hint="eastAsia"/>
                      <w:color w:val="000000"/>
                      <w:szCs w:val="21"/>
                    </w:rPr>
                  </w:pPr>
                  <w:r>
                    <w:rPr>
                      <w:rFonts w:hint="eastAsia"/>
                      <w:color w:val="000000"/>
                      <w:szCs w:val="21"/>
                    </w:rPr>
                    <w:t xml:space="preserve"> 豆科</w:t>
                  </w:r>
                </w:p>
              </w:tc>
            </w:tr>
            <w:tr w14:paraId="4590E3C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75B75522">
                  <w:pPr>
                    <w:spacing w:line="0" w:lineRule="atLeast"/>
                    <w:jc w:val="center"/>
                    <w:rPr>
                      <w:rFonts w:hint="eastAsia"/>
                    </w:rPr>
                  </w:pPr>
                  <w:r>
                    <w:rPr>
                      <w:rFonts w:hint="eastAsia"/>
                    </w:rPr>
                    <w:t>16</w:t>
                  </w:r>
                </w:p>
              </w:tc>
              <w:tc>
                <w:tcPr>
                  <w:tcW w:w="2573" w:type="dxa"/>
                  <w:vAlign w:val="center"/>
                </w:tcPr>
                <w:p w14:paraId="73F7F84A">
                  <w:pPr>
                    <w:spacing w:line="0" w:lineRule="atLeast"/>
                    <w:ind w:left="-105" w:leftChars="-50" w:right="-105" w:rightChars="-50"/>
                    <w:jc w:val="center"/>
                    <w:rPr>
                      <w:rFonts w:hint="eastAsia"/>
                      <w:bCs/>
                      <w:snapToGrid w:val="0"/>
                      <w:kern w:val="24"/>
                      <w:szCs w:val="21"/>
                      <w:lang w:val="pt-BR"/>
                    </w:rPr>
                  </w:pPr>
                  <w:r>
                    <w:rPr>
                      <w:rFonts w:hint="eastAsia"/>
                      <w:bCs/>
                      <w:snapToGrid w:val="0"/>
                      <w:kern w:val="24"/>
                      <w:szCs w:val="21"/>
                      <w:lang w:val="pt-BR"/>
                    </w:rPr>
                    <w:t>乳白花黄耆</w:t>
                  </w:r>
                </w:p>
              </w:tc>
              <w:tc>
                <w:tcPr>
                  <w:tcW w:w="5217" w:type="dxa"/>
                  <w:vAlign w:val="center"/>
                </w:tcPr>
                <w:p w14:paraId="0F194CDA">
                  <w:pPr>
                    <w:spacing w:line="0" w:lineRule="atLeast"/>
                    <w:ind w:left="-105" w:leftChars="-50" w:right="-105" w:rightChars="-50"/>
                    <w:jc w:val="center"/>
                    <w:rPr>
                      <w:rFonts w:hint="eastAsia"/>
                      <w:color w:val="000000"/>
                      <w:szCs w:val="21"/>
                    </w:rPr>
                  </w:pPr>
                  <w:r>
                    <w:rPr>
                      <w:i/>
                      <w:color w:val="000000"/>
                      <w:szCs w:val="21"/>
                    </w:rPr>
                    <w:t>Astragalus galactites</w:t>
                  </w:r>
                  <w:r>
                    <w:rPr>
                      <w:color w:val="000000"/>
                      <w:szCs w:val="21"/>
                    </w:rPr>
                    <w:t xml:space="preserve"> Pall.</w:t>
                  </w:r>
                </w:p>
              </w:tc>
            </w:tr>
            <w:tr w14:paraId="4BBF5F1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5BC65114">
                  <w:pPr>
                    <w:spacing w:line="0" w:lineRule="atLeast"/>
                    <w:jc w:val="center"/>
                    <w:rPr>
                      <w:rFonts w:hint="eastAsia"/>
                    </w:rPr>
                  </w:pPr>
                  <w:r>
                    <w:rPr>
                      <w:rFonts w:hint="eastAsia"/>
                    </w:rPr>
                    <w:t>17</w:t>
                  </w:r>
                </w:p>
              </w:tc>
              <w:tc>
                <w:tcPr>
                  <w:tcW w:w="2573" w:type="dxa"/>
                  <w:vAlign w:val="center"/>
                </w:tcPr>
                <w:p w14:paraId="40A03CC0">
                  <w:pPr>
                    <w:spacing w:line="0" w:lineRule="atLeast"/>
                    <w:ind w:left="-105" w:leftChars="-50" w:right="-105" w:rightChars="-50"/>
                    <w:jc w:val="center"/>
                    <w:rPr>
                      <w:rFonts w:hint="eastAsia"/>
                      <w:bCs/>
                      <w:snapToGrid w:val="0"/>
                      <w:kern w:val="24"/>
                      <w:szCs w:val="21"/>
                      <w:lang w:val="pt-BR"/>
                    </w:rPr>
                  </w:pPr>
                  <w:r>
                    <w:rPr>
                      <w:rFonts w:hint="eastAsia"/>
                      <w:bCs/>
                      <w:snapToGrid w:val="0"/>
                      <w:kern w:val="24"/>
                      <w:szCs w:val="21"/>
                      <w:lang w:val="pt-BR"/>
                    </w:rPr>
                    <w:t>草木樨状黄芪</w:t>
                  </w:r>
                </w:p>
              </w:tc>
              <w:tc>
                <w:tcPr>
                  <w:tcW w:w="5217" w:type="dxa"/>
                  <w:vAlign w:val="center"/>
                </w:tcPr>
                <w:p w14:paraId="64CBB254">
                  <w:pPr>
                    <w:spacing w:line="0" w:lineRule="atLeast"/>
                    <w:ind w:left="-105" w:leftChars="-50" w:right="-105" w:rightChars="-50"/>
                    <w:jc w:val="center"/>
                    <w:rPr>
                      <w:rFonts w:hint="eastAsia"/>
                      <w:color w:val="000000"/>
                      <w:szCs w:val="21"/>
                    </w:rPr>
                  </w:pPr>
                  <w:r>
                    <w:rPr>
                      <w:i/>
                      <w:color w:val="000000"/>
                      <w:szCs w:val="21"/>
                    </w:rPr>
                    <w:t>Astragalus melilotoides</w:t>
                  </w:r>
                  <w:r>
                    <w:rPr>
                      <w:color w:val="000000"/>
                      <w:szCs w:val="21"/>
                    </w:rPr>
                    <w:t xml:space="preserve"> Pall.</w:t>
                  </w:r>
                </w:p>
              </w:tc>
            </w:tr>
            <w:tr w14:paraId="3C0672C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6786E26B">
                  <w:pPr>
                    <w:spacing w:line="0" w:lineRule="atLeast"/>
                    <w:jc w:val="center"/>
                    <w:rPr>
                      <w:rFonts w:hint="eastAsia"/>
                    </w:rPr>
                  </w:pPr>
                  <w:r>
                    <w:rPr>
                      <w:rFonts w:hint="eastAsia"/>
                    </w:rPr>
                    <w:t>18</w:t>
                  </w:r>
                </w:p>
              </w:tc>
              <w:tc>
                <w:tcPr>
                  <w:tcW w:w="2573" w:type="dxa"/>
                  <w:vAlign w:val="center"/>
                </w:tcPr>
                <w:p w14:paraId="44575F51">
                  <w:pPr>
                    <w:spacing w:line="0" w:lineRule="atLeast"/>
                    <w:ind w:left="-105" w:leftChars="-50" w:right="-105" w:rightChars="-50"/>
                    <w:jc w:val="center"/>
                    <w:rPr>
                      <w:rFonts w:hint="eastAsia"/>
                      <w:bCs/>
                      <w:snapToGrid w:val="0"/>
                      <w:kern w:val="24"/>
                      <w:szCs w:val="21"/>
                      <w:lang w:val="pt-BR"/>
                    </w:rPr>
                  </w:pPr>
                  <w:r>
                    <w:rPr>
                      <w:rFonts w:hint="eastAsia"/>
                      <w:bCs/>
                      <w:snapToGrid w:val="0"/>
                      <w:kern w:val="24"/>
                      <w:szCs w:val="21"/>
                      <w:lang w:val="pt-BR"/>
                    </w:rPr>
                    <w:t>小叶锦鸡儿</w:t>
                  </w:r>
                </w:p>
              </w:tc>
              <w:tc>
                <w:tcPr>
                  <w:tcW w:w="5217" w:type="dxa"/>
                  <w:vAlign w:val="center"/>
                </w:tcPr>
                <w:p w14:paraId="7D99327B">
                  <w:pPr>
                    <w:spacing w:line="0" w:lineRule="atLeast"/>
                    <w:ind w:left="-105" w:leftChars="-50" w:right="-105" w:rightChars="-50"/>
                    <w:jc w:val="center"/>
                    <w:rPr>
                      <w:rFonts w:hint="eastAsia"/>
                      <w:color w:val="000000"/>
                      <w:szCs w:val="21"/>
                    </w:rPr>
                  </w:pPr>
                  <w:r>
                    <w:rPr>
                      <w:i/>
                      <w:color w:val="000000"/>
                      <w:szCs w:val="21"/>
                    </w:rPr>
                    <w:t>Caragana microphylla</w:t>
                  </w:r>
                  <w:r>
                    <w:rPr>
                      <w:color w:val="000000"/>
                      <w:szCs w:val="21"/>
                    </w:rPr>
                    <w:t xml:space="preserve"> Lam</w:t>
                  </w:r>
                </w:p>
              </w:tc>
            </w:tr>
            <w:tr w14:paraId="22AA3EC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04A2F3AA">
                  <w:pPr>
                    <w:spacing w:line="0" w:lineRule="atLeast"/>
                    <w:jc w:val="center"/>
                    <w:rPr>
                      <w:rFonts w:hint="eastAsia"/>
                    </w:rPr>
                  </w:pPr>
                  <w:r>
                    <w:rPr>
                      <w:rFonts w:hint="eastAsia"/>
                    </w:rPr>
                    <w:t>19</w:t>
                  </w:r>
                </w:p>
              </w:tc>
              <w:tc>
                <w:tcPr>
                  <w:tcW w:w="2573" w:type="dxa"/>
                  <w:vAlign w:val="center"/>
                </w:tcPr>
                <w:p w14:paraId="6065B913">
                  <w:pPr>
                    <w:spacing w:line="0" w:lineRule="atLeast"/>
                    <w:ind w:left="-105" w:leftChars="-50" w:right="-105" w:rightChars="-50"/>
                    <w:jc w:val="center"/>
                    <w:rPr>
                      <w:rFonts w:hint="eastAsia"/>
                      <w:bCs/>
                      <w:snapToGrid w:val="0"/>
                      <w:kern w:val="24"/>
                      <w:szCs w:val="21"/>
                      <w:lang w:val="pt-BR"/>
                    </w:rPr>
                  </w:pPr>
                  <w:r>
                    <w:rPr>
                      <w:rFonts w:hint="eastAsia"/>
                      <w:bCs/>
                      <w:snapToGrid w:val="0"/>
                      <w:kern w:val="24"/>
                      <w:szCs w:val="21"/>
                      <w:lang w:val="pt-BR"/>
                    </w:rPr>
                    <w:t>甘草</w:t>
                  </w:r>
                </w:p>
              </w:tc>
              <w:tc>
                <w:tcPr>
                  <w:tcW w:w="5217" w:type="dxa"/>
                  <w:vAlign w:val="center"/>
                </w:tcPr>
                <w:p w14:paraId="4D34C06A">
                  <w:pPr>
                    <w:spacing w:line="0" w:lineRule="atLeast"/>
                    <w:ind w:left="-105" w:leftChars="-50" w:right="-105" w:rightChars="-50"/>
                    <w:jc w:val="center"/>
                    <w:rPr>
                      <w:rFonts w:hint="eastAsia"/>
                      <w:color w:val="000000"/>
                      <w:szCs w:val="21"/>
                    </w:rPr>
                  </w:pPr>
                  <w:r>
                    <w:rPr>
                      <w:i/>
                      <w:color w:val="000000"/>
                      <w:szCs w:val="21"/>
                    </w:rPr>
                    <w:t>Glycyrrhiza uralensis</w:t>
                  </w:r>
                  <w:r>
                    <w:rPr>
                      <w:color w:val="000000"/>
                      <w:szCs w:val="21"/>
                    </w:rPr>
                    <w:t xml:space="preserve"> Fisch</w:t>
                  </w:r>
                </w:p>
              </w:tc>
            </w:tr>
            <w:tr w14:paraId="7E21243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0881FB7E">
                  <w:pPr>
                    <w:spacing w:line="0" w:lineRule="atLeast"/>
                    <w:jc w:val="center"/>
                    <w:rPr>
                      <w:rFonts w:hint="eastAsia"/>
                    </w:rPr>
                  </w:pPr>
                  <w:r>
                    <w:rPr>
                      <w:rFonts w:hint="eastAsia"/>
                    </w:rPr>
                    <w:t>20</w:t>
                  </w:r>
                </w:p>
              </w:tc>
              <w:tc>
                <w:tcPr>
                  <w:tcW w:w="2573" w:type="dxa"/>
                  <w:vAlign w:val="center"/>
                </w:tcPr>
                <w:p w14:paraId="71EFE068">
                  <w:pPr>
                    <w:spacing w:line="0" w:lineRule="atLeast"/>
                    <w:ind w:left="-105" w:leftChars="-50" w:right="-105" w:rightChars="-50"/>
                    <w:jc w:val="center"/>
                    <w:rPr>
                      <w:rFonts w:hint="eastAsia"/>
                      <w:bCs/>
                      <w:snapToGrid w:val="0"/>
                      <w:kern w:val="24"/>
                      <w:szCs w:val="21"/>
                      <w:lang w:val="pt-BR"/>
                    </w:rPr>
                  </w:pPr>
                  <w:r>
                    <w:rPr>
                      <w:rFonts w:hint="eastAsia"/>
                      <w:bCs/>
                      <w:snapToGrid w:val="0"/>
                      <w:kern w:val="24"/>
                      <w:szCs w:val="21"/>
                      <w:lang w:val="pt-BR"/>
                    </w:rPr>
                    <w:t>达乌里胡枝子</w:t>
                  </w:r>
                </w:p>
              </w:tc>
              <w:tc>
                <w:tcPr>
                  <w:tcW w:w="5217" w:type="dxa"/>
                  <w:vAlign w:val="center"/>
                </w:tcPr>
                <w:p w14:paraId="07845C48">
                  <w:pPr>
                    <w:spacing w:line="0" w:lineRule="atLeast"/>
                    <w:ind w:left="-105" w:leftChars="-50" w:right="-105" w:rightChars="-50"/>
                    <w:jc w:val="center"/>
                    <w:rPr>
                      <w:rFonts w:hint="eastAsia"/>
                      <w:i/>
                      <w:color w:val="000000"/>
                      <w:szCs w:val="21"/>
                    </w:rPr>
                  </w:pPr>
                  <w:r>
                    <w:rPr>
                      <w:i/>
                      <w:color w:val="000000"/>
                      <w:szCs w:val="21"/>
                    </w:rPr>
                    <w:t>Lespedeza davurica</w:t>
                  </w:r>
                </w:p>
              </w:tc>
            </w:tr>
            <w:tr w14:paraId="14D7E97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3526889D">
                  <w:pPr>
                    <w:spacing w:line="0" w:lineRule="atLeast"/>
                    <w:jc w:val="center"/>
                    <w:rPr>
                      <w:rFonts w:hint="eastAsia"/>
                    </w:rPr>
                  </w:pPr>
                  <w:r>
                    <w:rPr>
                      <w:rFonts w:hint="eastAsia"/>
                    </w:rPr>
                    <w:t>21</w:t>
                  </w:r>
                </w:p>
              </w:tc>
              <w:tc>
                <w:tcPr>
                  <w:tcW w:w="2573" w:type="dxa"/>
                  <w:vAlign w:val="center"/>
                </w:tcPr>
                <w:p w14:paraId="577C55C2">
                  <w:pPr>
                    <w:spacing w:line="0" w:lineRule="atLeast"/>
                    <w:ind w:left="-105" w:leftChars="-50" w:right="-105" w:rightChars="-50"/>
                    <w:jc w:val="center"/>
                    <w:rPr>
                      <w:rFonts w:hint="eastAsia"/>
                      <w:bCs/>
                      <w:snapToGrid w:val="0"/>
                      <w:kern w:val="24"/>
                      <w:szCs w:val="21"/>
                      <w:lang w:val="pt-BR"/>
                    </w:rPr>
                  </w:pPr>
                  <w:r>
                    <w:rPr>
                      <w:rFonts w:hint="eastAsia"/>
                      <w:bCs/>
                      <w:snapToGrid w:val="0"/>
                      <w:kern w:val="24"/>
                      <w:szCs w:val="21"/>
                      <w:lang w:val="pt-BR"/>
                    </w:rPr>
                    <w:t>扁蓿豆</w:t>
                  </w:r>
                </w:p>
              </w:tc>
              <w:tc>
                <w:tcPr>
                  <w:tcW w:w="5217" w:type="dxa"/>
                  <w:vAlign w:val="center"/>
                </w:tcPr>
                <w:p w14:paraId="3565D0D6">
                  <w:pPr>
                    <w:spacing w:line="0" w:lineRule="atLeast"/>
                    <w:ind w:left="-105" w:leftChars="-50" w:right="-105" w:rightChars="-50"/>
                    <w:jc w:val="center"/>
                    <w:rPr>
                      <w:rFonts w:hint="eastAsia"/>
                      <w:color w:val="000000"/>
                      <w:szCs w:val="21"/>
                      <w:lang w:val="pt-BR"/>
                    </w:rPr>
                  </w:pPr>
                  <w:r>
                    <w:rPr>
                      <w:i/>
                      <w:color w:val="000000"/>
                      <w:szCs w:val="21"/>
                      <w:lang w:val="pt-BR"/>
                    </w:rPr>
                    <w:t>Melissilus ruthenicus</w:t>
                  </w:r>
                  <w:r>
                    <w:rPr>
                      <w:rFonts w:hint="eastAsia"/>
                      <w:color w:val="000000"/>
                      <w:szCs w:val="21"/>
                      <w:lang w:val="pt-BR"/>
                    </w:rPr>
                    <w:t>（</w:t>
                  </w:r>
                  <w:r>
                    <w:rPr>
                      <w:color w:val="000000"/>
                      <w:szCs w:val="21"/>
                      <w:lang w:val="pt-BR"/>
                    </w:rPr>
                    <w:t>L.</w:t>
                  </w:r>
                  <w:r>
                    <w:rPr>
                      <w:rFonts w:hint="eastAsia"/>
                      <w:color w:val="000000"/>
                      <w:szCs w:val="21"/>
                      <w:lang w:val="pt-BR"/>
                    </w:rPr>
                    <w:t>）</w:t>
                  </w:r>
                  <w:r>
                    <w:rPr>
                      <w:color w:val="000000"/>
                      <w:szCs w:val="21"/>
                      <w:lang w:val="pt-BR"/>
                    </w:rPr>
                    <w:t>Peschkova</w:t>
                  </w:r>
                  <w:r>
                    <w:rPr>
                      <w:rFonts w:hint="eastAsia"/>
                      <w:color w:val="000000"/>
                      <w:szCs w:val="21"/>
                      <w:lang w:val="pt-BR"/>
                    </w:rPr>
                    <w:t>（</w:t>
                  </w:r>
                  <w:r>
                    <w:rPr>
                      <w:color w:val="000000"/>
                      <w:szCs w:val="21"/>
                      <w:lang w:val="pt-BR"/>
                    </w:rPr>
                    <w:t>TrigonellaruthenicaL.</w:t>
                  </w:r>
                  <w:r>
                    <w:rPr>
                      <w:rFonts w:hint="eastAsia"/>
                      <w:color w:val="000000"/>
                      <w:szCs w:val="21"/>
                      <w:lang w:val="pt-BR"/>
                    </w:rPr>
                    <w:t>）</w:t>
                  </w:r>
                  <w:r>
                    <w:rPr>
                      <w:color w:val="000000"/>
                      <w:szCs w:val="21"/>
                      <w:lang w:val="pt-BR"/>
                    </w:rPr>
                    <w:t>)</w:t>
                  </w:r>
                </w:p>
              </w:tc>
            </w:tr>
            <w:tr w14:paraId="04F5093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2A089CFC">
                  <w:pPr>
                    <w:spacing w:line="0" w:lineRule="atLeast"/>
                    <w:jc w:val="center"/>
                    <w:rPr>
                      <w:rFonts w:hint="eastAsia"/>
                      <w:lang w:val="pt-BR"/>
                    </w:rPr>
                  </w:pPr>
                  <w:r>
                    <w:rPr>
                      <w:rFonts w:hint="eastAsia"/>
                      <w:lang w:val="pt-BR"/>
                    </w:rPr>
                    <w:t>22</w:t>
                  </w:r>
                </w:p>
              </w:tc>
              <w:tc>
                <w:tcPr>
                  <w:tcW w:w="2573" w:type="dxa"/>
                  <w:vAlign w:val="center"/>
                </w:tcPr>
                <w:p w14:paraId="1EC63863">
                  <w:pPr>
                    <w:spacing w:line="0" w:lineRule="atLeast"/>
                    <w:ind w:left="-105" w:leftChars="-50" w:right="-105" w:rightChars="-50"/>
                    <w:jc w:val="center"/>
                    <w:rPr>
                      <w:rFonts w:hint="eastAsia"/>
                      <w:bCs/>
                      <w:snapToGrid w:val="0"/>
                      <w:kern w:val="24"/>
                      <w:szCs w:val="21"/>
                      <w:lang w:val="pt-BR"/>
                    </w:rPr>
                  </w:pPr>
                  <w:r>
                    <w:rPr>
                      <w:rFonts w:hint="eastAsia"/>
                      <w:bCs/>
                      <w:snapToGrid w:val="0"/>
                      <w:kern w:val="24"/>
                      <w:szCs w:val="21"/>
                      <w:lang w:val="pt-BR"/>
                    </w:rPr>
                    <w:t>多枝棘豆</w:t>
                  </w:r>
                </w:p>
              </w:tc>
              <w:tc>
                <w:tcPr>
                  <w:tcW w:w="5217" w:type="dxa"/>
                  <w:vAlign w:val="center"/>
                </w:tcPr>
                <w:p w14:paraId="3D1C22CF">
                  <w:pPr>
                    <w:spacing w:line="0" w:lineRule="atLeast"/>
                    <w:ind w:left="-105" w:leftChars="-50" w:right="-105" w:rightChars="-50"/>
                    <w:jc w:val="center"/>
                    <w:rPr>
                      <w:rFonts w:hint="eastAsia"/>
                      <w:color w:val="000000"/>
                      <w:szCs w:val="21"/>
                    </w:rPr>
                  </w:pPr>
                  <w:r>
                    <w:rPr>
                      <w:i/>
                      <w:color w:val="000000"/>
                      <w:szCs w:val="21"/>
                    </w:rPr>
                    <w:t>Oxytropis ramosissima</w:t>
                  </w:r>
                  <w:r>
                    <w:rPr>
                      <w:color w:val="000000"/>
                      <w:szCs w:val="21"/>
                    </w:rPr>
                    <w:t xml:space="preserve"> Kom.</w:t>
                  </w:r>
                </w:p>
              </w:tc>
            </w:tr>
            <w:tr w14:paraId="07AA341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1EE42247">
                  <w:pPr>
                    <w:spacing w:line="0" w:lineRule="atLeast"/>
                    <w:jc w:val="center"/>
                    <w:rPr>
                      <w:rFonts w:hint="eastAsia"/>
                      <w:lang w:val="pt-BR"/>
                    </w:rPr>
                  </w:pPr>
                  <w:r>
                    <w:rPr>
                      <w:rFonts w:hint="eastAsia"/>
                      <w:lang w:val="pt-BR"/>
                    </w:rPr>
                    <w:t>23</w:t>
                  </w:r>
                </w:p>
              </w:tc>
              <w:tc>
                <w:tcPr>
                  <w:tcW w:w="2573" w:type="dxa"/>
                  <w:vAlign w:val="center"/>
                </w:tcPr>
                <w:p w14:paraId="1C17C881">
                  <w:pPr>
                    <w:spacing w:line="0" w:lineRule="atLeast"/>
                    <w:ind w:left="-105" w:leftChars="-50" w:right="-105" w:rightChars="-50"/>
                    <w:jc w:val="center"/>
                    <w:rPr>
                      <w:rFonts w:hint="eastAsia"/>
                      <w:bCs/>
                      <w:snapToGrid w:val="0"/>
                      <w:kern w:val="24"/>
                      <w:szCs w:val="21"/>
                      <w:lang w:val="pt-BR"/>
                    </w:rPr>
                  </w:pPr>
                  <w:r>
                    <w:rPr>
                      <w:rFonts w:hint="eastAsia"/>
                      <w:bCs/>
                      <w:snapToGrid w:val="0"/>
                      <w:kern w:val="24"/>
                      <w:szCs w:val="21"/>
                      <w:lang w:val="pt-BR"/>
                    </w:rPr>
                    <w:t>披针叶黄华</w:t>
                  </w:r>
                </w:p>
              </w:tc>
              <w:tc>
                <w:tcPr>
                  <w:tcW w:w="5217" w:type="dxa"/>
                  <w:vAlign w:val="center"/>
                </w:tcPr>
                <w:p w14:paraId="4B4E7EDF">
                  <w:pPr>
                    <w:spacing w:line="0" w:lineRule="atLeast"/>
                    <w:ind w:left="-105" w:leftChars="-50" w:right="-105" w:rightChars="-50"/>
                    <w:jc w:val="center"/>
                    <w:rPr>
                      <w:rFonts w:hint="eastAsia"/>
                      <w:color w:val="000000"/>
                      <w:szCs w:val="21"/>
                      <w:lang w:val="pt-BR"/>
                    </w:rPr>
                  </w:pPr>
                  <w:r>
                    <w:rPr>
                      <w:rFonts w:hint="eastAsia"/>
                      <w:i/>
                      <w:color w:val="000000"/>
                      <w:szCs w:val="21"/>
                      <w:lang w:val="pt-BR"/>
                    </w:rPr>
                    <w:t>Thermopsis Lanceolata</w:t>
                  </w:r>
                  <w:r>
                    <w:rPr>
                      <w:rFonts w:hint="eastAsia"/>
                      <w:color w:val="000000"/>
                      <w:szCs w:val="21"/>
                      <w:lang w:val="pt-BR"/>
                    </w:rPr>
                    <w:t xml:space="preserve"> R.Br</w:t>
                  </w:r>
                </w:p>
              </w:tc>
            </w:tr>
            <w:tr w14:paraId="5EFD0A3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322D81D9">
                  <w:pPr>
                    <w:spacing w:line="0" w:lineRule="atLeast"/>
                    <w:jc w:val="center"/>
                    <w:rPr>
                      <w:rFonts w:hint="eastAsia"/>
                      <w:lang w:val="pt-BR"/>
                    </w:rPr>
                  </w:pPr>
                  <w:r>
                    <w:rPr>
                      <w:rFonts w:hint="eastAsia"/>
                      <w:lang w:val="pt-BR"/>
                    </w:rPr>
                    <w:t>九</w:t>
                  </w:r>
                </w:p>
              </w:tc>
              <w:tc>
                <w:tcPr>
                  <w:tcW w:w="7790" w:type="dxa"/>
                  <w:gridSpan w:val="2"/>
                  <w:vAlign w:val="center"/>
                </w:tcPr>
                <w:p w14:paraId="325501E1">
                  <w:pPr>
                    <w:spacing w:line="0" w:lineRule="atLeast"/>
                    <w:ind w:left="-105" w:leftChars="-50" w:right="-105" w:rightChars="-50"/>
                    <w:rPr>
                      <w:color w:val="000000"/>
                      <w:szCs w:val="21"/>
                      <w:lang w:val="pt-BR"/>
                    </w:rPr>
                  </w:pPr>
                  <w:r>
                    <w:rPr>
                      <w:rFonts w:hint="eastAsia"/>
                      <w:i/>
                      <w:color w:val="000000"/>
                      <w:szCs w:val="21"/>
                      <w:lang w:val="pt-BR"/>
                    </w:rPr>
                    <w:t xml:space="preserve"> </w:t>
                  </w:r>
                  <w:r>
                    <w:rPr>
                      <w:rFonts w:hint="eastAsia"/>
                      <w:color w:val="000000"/>
                      <w:szCs w:val="21"/>
                      <w:lang w:val="pt-BR"/>
                    </w:rPr>
                    <w:t xml:space="preserve">蔷薇科 </w:t>
                  </w:r>
                  <w:r>
                    <w:rPr>
                      <w:i/>
                      <w:color w:val="000000"/>
                      <w:szCs w:val="21"/>
                      <w:lang w:val="pt-BR"/>
                    </w:rPr>
                    <w:t>Rosaceae</w:t>
                  </w:r>
                </w:p>
              </w:tc>
            </w:tr>
            <w:tr w14:paraId="26979D1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0067C1A0">
                  <w:pPr>
                    <w:spacing w:line="0" w:lineRule="atLeast"/>
                    <w:jc w:val="center"/>
                    <w:rPr>
                      <w:rFonts w:hint="eastAsia"/>
                      <w:lang w:val="pt-BR"/>
                    </w:rPr>
                  </w:pPr>
                  <w:r>
                    <w:rPr>
                      <w:rFonts w:hint="eastAsia"/>
                      <w:lang w:val="pt-BR"/>
                    </w:rPr>
                    <w:t>24</w:t>
                  </w:r>
                </w:p>
              </w:tc>
              <w:tc>
                <w:tcPr>
                  <w:tcW w:w="2573" w:type="dxa"/>
                  <w:vAlign w:val="center"/>
                </w:tcPr>
                <w:p w14:paraId="70A708C6">
                  <w:pPr>
                    <w:spacing w:line="0" w:lineRule="atLeast"/>
                    <w:ind w:left="-105" w:leftChars="-50" w:right="-105" w:rightChars="-50"/>
                    <w:jc w:val="center"/>
                    <w:rPr>
                      <w:rFonts w:hint="eastAsia"/>
                      <w:bCs/>
                      <w:snapToGrid w:val="0"/>
                      <w:kern w:val="24"/>
                      <w:szCs w:val="21"/>
                      <w:lang w:val="pt-BR"/>
                    </w:rPr>
                  </w:pPr>
                  <w:r>
                    <w:rPr>
                      <w:rFonts w:hint="eastAsia"/>
                      <w:bCs/>
                      <w:snapToGrid w:val="0"/>
                      <w:kern w:val="24"/>
                      <w:szCs w:val="21"/>
                      <w:lang w:val="pt-BR"/>
                    </w:rPr>
                    <w:t>星毛委陵菜</w:t>
                  </w:r>
                </w:p>
              </w:tc>
              <w:tc>
                <w:tcPr>
                  <w:tcW w:w="5217" w:type="dxa"/>
                  <w:vAlign w:val="center"/>
                </w:tcPr>
                <w:p w14:paraId="2543AD49">
                  <w:pPr>
                    <w:spacing w:line="0" w:lineRule="atLeast"/>
                    <w:ind w:left="-105" w:leftChars="-50" w:right="-105" w:rightChars="-50"/>
                    <w:jc w:val="center"/>
                    <w:rPr>
                      <w:i/>
                      <w:color w:val="000000"/>
                      <w:szCs w:val="21"/>
                      <w:lang w:val="pt-BR"/>
                    </w:rPr>
                  </w:pPr>
                  <w:r>
                    <w:rPr>
                      <w:rFonts w:hint="eastAsia"/>
                      <w:i/>
                      <w:color w:val="000000"/>
                      <w:szCs w:val="21"/>
                      <w:lang w:val="pt-BR"/>
                    </w:rPr>
                    <w:t xml:space="preserve">Potentilla acaulis </w:t>
                  </w:r>
                  <w:r>
                    <w:rPr>
                      <w:rFonts w:hint="eastAsia"/>
                      <w:color w:val="000000"/>
                      <w:szCs w:val="21"/>
                      <w:lang w:val="pt-BR"/>
                    </w:rPr>
                    <w:t>L.</w:t>
                  </w:r>
                </w:p>
              </w:tc>
            </w:tr>
            <w:tr w14:paraId="10405DB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0ECEE67E">
                  <w:pPr>
                    <w:spacing w:line="0" w:lineRule="atLeast"/>
                    <w:jc w:val="center"/>
                    <w:rPr>
                      <w:rFonts w:hint="eastAsia"/>
                      <w:lang w:val="pt-BR"/>
                    </w:rPr>
                  </w:pPr>
                  <w:r>
                    <w:rPr>
                      <w:rFonts w:hint="eastAsia"/>
                      <w:lang w:val="pt-BR"/>
                    </w:rPr>
                    <w:t>25</w:t>
                  </w:r>
                </w:p>
              </w:tc>
              <w:tc>
                <w:tcPr>
                  <w:tcW w:w="2573" w:type="dxa"/>
                  <w:vAlign w:val="center"/>
                </w:tcPr>
                <w:p w14:paraId="271C7910">
                  <w:pPr>
                    <w:spacing w:line="0" w:lineRule="atLeast"/>
                    <w:ind w:left="-105" w:leftChars="-50" w:right="-105" w:rightChars="-50"/>
                    <w:jc w:val="center"/>
                    <w:rPr>
                      <w:rFonts w:hint="eastAsia"/>
                      <w:bCs/>
                      <w:snapToGrid w:val="0"/>
                      <w:kern w:val="24"/>
                      <w:szCs w:val="21"/>
                      <w:lang w:val="pt-BR"/>
                    </w:rPr>
                  </w:pPr>
                  <w:r>
                    <w:rPr>
                      <w:rFonts w:hint="eastAsia"/>
                      <w:bCs/>
                      <w:snapToGrid w:val="0"/>
                      <w:kern w:val="24"/>
                      <w:szCs w:val="21"/>
                      <w:lang w:val="pt-BR"/>
                    </w:rPr>
                    <w:t>二裂委陵菜</w:t>
                  </w:r>
                </w:p>
              </w:tc>
              <w:tc>
                <w:tcPr>
                  <w:tcW w:w="5217" w:type="dxa"/>
                  <w:vAlign w:val="center"/>
                </w:tcPr>
                <w:p w14:paraId="08411968">
                  <w:pPr>
                    <w:spacing w:line="0" w:lineRule="atLeast"/>
                    <w:ind w:left="-105" w:leftChars="-50" w:right="-105" w:rightChars="-50"/>
                    <w:jc w:val="center"/>
                    <w:rPr>
                      <w:i/>
                      <w:color w:val="000000"/>
                      <w:szCs w:val="21"/>
                      <w:lang w:val="pt-BR"/>
                    </w:rPr>
                  </w:pPr>
                  <w:r>
                    <w:rPr>
                      <w:i/>
                      <w:color w:val="000000"/>
                      <w:szCs w:val="21"/>
                      <w:lang w:val="pt-BR"/>
                    </w:rPr>
                    <w:t>Potentilla bifurca</w:t>
                  </w:r>
                </w:p>
              </w:tc>
            </w:tr>
            <w:tr w14:paraId="44C62A3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575D6E7D">
                  <w:pPr>
                    <w:spacing w:line="0" w:lineRule="atLeast"/>
                    <w:jc w:val="center"/>
                    <w:rPr>
                      <w:rFonts w:hint="eastAsia"/>
                      <w:lang w:val="pt-BR"/>
                    </w:rPr>
                  </w:pPr>
                  <w:r>
                    <w:rPr>
                      <w:rFonts w:hint="eastAsia"/>
                      <w:lang w:val="pt-BR"/>
                    </w:rPr>
                    <w:t>26</w:t>
                  </w:r>
                </w:p>
              </w:tc>
              <w:tc>
                <w:tcPr>
                  <w:tcW w:w="2573" w:type="dxa"/>
                  <w:vAlign w:val="center"/>
                </w:tcPr>
                <w:p w14:paraId="0E21127A">
                  <w:pPr>
                    <w:spacing w:line="0" w:lineRule="atLeast"/>
                    <w:ind w:left="-105" w:leftChars="-50" w:right="-105" w:rightChars="-50"/>
                    <w:jc w:val="center"/>
                    <w:rPr>
                      <w:rFonts w:hint="eastAsia"/>
                      <w:bCs/>
                      <w:snapToGrid w:val="0"/>
                      <w:kern w:val="24"/>
                      <w:szCs w:val="21"/>
                      <w:lang w:val="pt-BR"/>
                    </w:rPr>
                  </w:pPr>
                  <w:r>
                    <w:rPr>
                      <w:rFonts w:hint="eastAsia"/>
                      <w:bCs/>
                      <w:snapToGrid w:val="0"/>
                      <w:kern w:val="24"/>
                      <w:szCs w:val="21"/>
                      <w:lang w:val="pt-BR"/>
                    </w:rPr>
                    <w:t>三叶委陵菜</w:t>
                  </w:r>
                </w:p>
              </w:tc>
              <w:tc>
                <w:tcPr>
                  <w:tcW w:w="5217" w:type="dxa"/>
                  <w:vAlign w:val="center"/>
                </w:tcPr>
                <w:p w14:paraId="22C376B2">
                  <w:pPr>
                    <w:spacing w:line="0" w:lineRule="atLeast"/>
                    <w:ind w:left="-105" w:leftChars="-50" w:right="-105" w:rightChars="-50"/>
                    <w:jc w:val="center"/>
                    <w:rPr>
                      <w:i/>
                      <w:color w:val="000000"/>
                      <w:szCs w:val="21"/>
                      <w:lang w:val="pt-BR"/>
                    </w:rPr>
                  </w:pPr>
                  <w:r>
                    <w:rPr>
                      <w:i/>
                      <w:color w:val="000000"/>
                      <w:szCs w:val="21"/>
                      <w:lang w:val="pt-BR"/>
                    </w:rPr>
                    <w:t>Potentilla freyniana</w:t>
                  </w:r>
                </w:p>
              </w:tc>
            </w:tr>
            <w:tr w14:paraId="4AC3D9D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0F7867B1">
                  <w:pPr>
                    <w:spacing w:line="0" w:lineRule="atLeast"/>
                    <w:jc w:val="center"/>
                    <w:rPr>
                      <w:rFonts w:hint="eastAsia"/>
                      <w:lang w:val="pt-BR"/>
                    </w:rPr>
                  </w:pPr>
                  <w:r>
                    <w:rPr>
                      <w:rFonts w:hint="eastAsia"/>
                      <w:lang w:val="pt-BR"/>
                    </w:rPr>
                    <w:t>27</w:t>
                  </w:r>
                </w:p>
              </w:tc>
              <w:tc>
                <w:tcPr>
                  <w:tcW w:w="2573" w:type="dxa"/>
                  <w:vAlign w:val="center"/>
                </w:tcPr>
                <w:p w14:paraId="501B94C6">
                  <w:pPr>
                    <w:spacing w:line="0" w:lineRule="atLeast"/>
                    <w:ind w:left="-105" w:leftChars="-50" w:right="-105" w:rightChars="-50"/>
                    <w:jc w:val="center"/>
                    <w:rPr>
                      <w:rFonts w:hint="eastAsia"/>
                      <w:bCs/>
                      <w:snapToGrid w:val="0"/>
                      <w:kern w:val="24"/>
                      <w:szCs w:val="21"/>
                      <w:lang w:val="pt-BR"/>
                    </w:rPr>
                  </w:pPr>
                  <w:r>
                    <w:rPr>
                      <w:rFonts w:hint="eastAsia"/>
                      <w:bCs/>
                      <w:snapToGrid w:val="0"/>
                      <w:kern w:val="24"/>
                      <w:szCs w:val="21"/>
                      <w:lang w:val="pt-BR"/>
                    </w:rPr>
                    <w:t>菊叶委陵菜</w:t>
                  </w:r>
                </w:p>
              </w:tc>
              <w:tc>
                <w:tcPr>
                  <w:tcW w:w="5217" w:type="dxa"/>
                  <w:vAlign w:val="center"/>
                </w:tcPr>
                <w:p w14:paraId="6C2EBFBF">
                  <w:pPr>
                    <w:spacing w:line="0" w:lineRule="atLeast"/>
                    <w:ind w:left="-105" w:leftChars="-50" w:right="-105" w:rightChars="-50"/>
                    <w:jc w:val="center"/>
                    <w:rPr>
                      <w:i/>
                      <w:color w:val="000000"/>
                      <w:szCs w:val="21"/>
                      <w:lang w:val="pt-BR"/>
                    </w:rPr>
                  </w:pPr>
                  <w:r>
                    <w:rPr>
                      <w:i/>
                      <w:color w:val="000000"/>
                      <w:szCs w:val="21"/>
                      <w:lang w:val="pt-BR"/>
                    </w:rPr>
                    <w:t>Potentilla tanacetifolia</w:t>
                  </w:r>
                </w:p>
              </w:tc>
            </w:tr>
            <w:tr w14:paraId="40F4A08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48D5F6DB">
                  <w:pPr>
                    <w:spacing w:line="0" w:lineRule="atLeast"/>
                    <w:jc w:val="center"/>
                    <w:rPr>
                      <w:rFonts w:hint="eastAsia"/>
                      <w:lang w:val="pt-BR"/>
                    </w:rPr>
                  </w:pPr>
                  <w:r>
                    <w:rPr>
                      <w:rFonts w:hint="eastAsia"/>
                      <w:lang w:val="pt-BR"/>
                    </w:rPr>
                    <w:t>28</w:t>
                  </w:r>
                </w:p>
              </w:tc>
              <w:tc>
                <w:tcPr>
                  <w:tcW w:w="2573" w:type="dxa"/>
                  <w:vAlign w:val="center"/>
                </w:tcPr>
                <w:p w14:paraId="648D79A9">
                  <w:pPr>
                    <w:spacing w:line="0" w:lineRule="atLeast"/>
                    <w:ind w:left="-105" w:leftChars="-50" w:right="-105" w:rightChars="-50"/>
                    <w:jc w:val="center"/>
                    <w:rPr>
                      <w:rFonts w:hint="eastAsia"/>
                      <w:bCs/>
                      <w:snapToGrid w:val="0"/>
                      <w:kern w:val="24"/>
                      <w:szCs w:val="21"/>
                      <w:lang w:val="pt-BR"/>
                    </w:rPr>
                  </w:pPr>
                  <w:r>
                    <w:rPr>
                      <w:rFonts w:hint="eastAsia"/>
                      <w:bCs/>
                      <w:snapToGrid w:val="0"/>
                      <w:kern w:val="24"/>
                      <w:szCs w:val="21"/>
                      <w:lang w:val="pt-BR"/>
                    </w:rPr>
                    <w:t>轮叶委陵菜</w:t>
                  </w:r>
                </w:p>
              </w:tc>
              <w:tc>
                <w:tcPr>
                  <w:tcW w:w="5217" w:type="dxa"/>
                  <w:vAlign w:val="center"/>
                </w:tcPr>
                <w:p w14:paraId="4B752819">
                  <w:pPr>
                    <w:spacing w:line="0" w:lineRule="atLeast"/>
                    <w:ind w:left="-105" w:leftChars="-50" w:right="-105" w:rightChars="-50"/>
                    <w:jc w:val="center"/>
                    <w:rPr>
                      <w:i/>
                      <w:color w:val="000000"/>
                      <w:szCs w:val="21"/>
                      <w:lang w:val="pt-BR"/>
                    </w:rPr>
                  </w:pPr>
                  <w:r>
                    <w:rPr>
                      <w:i/>
                      <w:color w:val="000000"/>
                      <w:szCs w:val="21"/>
                      <w:lang w:val="pt-BR"/>
                    </w:rPr>
                    <w:t xml:space="preserve">Potentilla verticillaris </w:t>
                  </w:r>
                  <w:r>
                    <w:rPr>
                      <w:color w:val="000000"/>
                      <w:szCs w:val="21"/>
                      <w:lang w:val="pt-BR"/>
                    </w:rPr>
                    <w:t>Steph.</w:t>
                  </w:r>
                </w:p>
              </w:tc>
            </w:tr>
            <w:tr w14:paraId="360E042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0C41D7F8">
                  <w:pPr>
                    <w:spacing w:line="0" w:lineRule="atLeast"/>
                    <w:jc w:val="center"/>
                    <w:rPr>
                      <w:rFonts w:hint="eastAsia"/>
                      <w:lang w:val="pt-BR"/>
                    </w:rPr>
                  </w:pPr>
                  <w:r>
                    <w:rPr>
                      <w:rFonts w:hint="eastAsia"/>
                      <w:lang w:val="pt-BR"/>
                    </w:rPr>
                    <w:t>29</w:t>
                  </w:r>
                </w:p>
              </w:tc>
              <w:tc>
                <w:tcPr>
                  <w:tcW w:w="2573" w:type="dxa"/>
                  <w:vAlign w:val="center"/>
                </w:tcPr>
                <w:p w14:paraId="77E9DBA4">
                  <w:pPr>
                    <w:spacing w:line="0" w:lineRule="atLeast"/>
                    <w:ind w:left="-105" w:leftChars="-50" w:right="-105" w:rightChars="-50"/>
                    <w:jc w:val="center"/>
                    <w:rPr>
                      <w:rFonts w:hint="eastAsia"/>
                      <w:bCs/>
                      <w:snapToGrid w:val="0"/>
                      <w:kern w:val="24"/>
                      <w:szCs w:val="21"/>
                      <w:lang w:val="pt-BR"/>
                    </w:rPr>
                  </w:pPr>
                  <w:r>
                    <w:rPr>
                      <w:rFonts w:hint="eastAsia"/>
                      <w:bCs/>
                      <w:snapToGrid w:val="0"/>
                      <w:kern w:val="24"/>
                      <w:szCs w:val="21"/>
                      <w:lang w:val="pt-BR"/>
                    </w:rPr>
                    <w:t>山杏</w:t>
                  </w:r>
                </w:p>
              </w:tc>
              <w:tc>
                <w:tcPr>
                  <w:tcW w:w="5217" w:type="dxa"/>
                  <w:vAlign w:val="center"/>
                </w:tcPr>
                <w:p w14:paraId="305F1B8E">
                  <w:pPr>
                    <w:spacing w:line="0" w:lineRule="atLeast"/>
                    <w:ind w:left="-105" w:leftChars="-50" w:right="-105" w:rightChars="-50"/>
                    <w:jc w:val="center"/>
                    <w:rPr>
                      <w:i/>
                      <w:color w:val="000000"/>
                      <w:szCs w:val="21"/>
                      <w:lang w:val="pt-BR"/>
                    </w:rPr>
                  </w:pPr>
                  <w:r>
                    <w:rPr>
                      <w:i/>
                      <w:color w:val="000000"/>
                      <w:szCs w:val="21"/>
                      <w:lang w:val="pt-BR"/>
                    </w:rPr>
                    <w:t>Armeniaca sibirica</w:t>
                  </w:r>
                  <w:r>
                    <w:rPr>
                      <w:rFonts w:hint="eastAsia"/>
                      <w:color w:val="000000"/>
                      <w:szCs w:val="21"/>
                      <w:lang w:val="pt-BR"/>
                    </w:rPr>
                    <w:t>（</w:t>
                  </w:r>
                  <w:r>
                    <w:rPr>
                      <w:color w:val="000000"/>
                      <w:szCs w:val="21"/>
                      <w:lang w:val="pt-BR"/>
                    </w:rPr>
                    <w:t>L.</w:t>
                  </w:r>
                  <w:r>
                    <w:rPr>
                      <w:rFonts w:hint="eastAsia"/>
                      <w:color w:val="000000"/>
                      <w:szCs w:val="21"/>
                      <w:lang w:val="pt-BR"/>
                    </w:rPr>
                    <w:t>）</w:t>
                  </w:r>
                  <w:r>
                    <w:rPr>
                      <w:color w:val="000000"/>
                      <w:szCs w:val="21"/>
                      <w:lang w:val="pt-BR"/>
                    </w:rPr>
                    <w:t>Lam.</w:t>
                  </w:r>
                </w:p>
              </w:tc>
            </w:tr>
            <w:tr w14:paraId="4F38516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6745B74E">
                  <w:pPr>
                    <w:spacing w:line="0" w:lineRule="atLeast"/>
                    <w:jc w:val="center"/>
                    <w:rPr>
                      <w:rFonts w:hint="eastAsia"/>
                      <w:lang w:val="pt-BR"/>
                    </w:rPr>
                  </w:pPr>
                  <w:r>
                    <w:rPr>
                      <w:rFonts w:hint="eastAsia"/>
                      <w:lang w:val="pt-BR"/>
                    </w:rPr>
                    <w:t>30</w:t>
                  </w:r>
                </w:p>
              </w:tc>
              <w:tc>
                <w:tcPr>
                  <w:tcW w:w="2573" w:type="dxa"/>
                  <w:vAlign w:val="center"/>
                </w:tcPr>
                <w:p w14:paraId="5F18B4BD">
                  <w:pPr>
                    <w:spacing w:line="0" w:lineRule="atLeast"/>
                    <w:ind w:left="-105" w:leftChars="-50" w:right="-105" w:rightChars="-50"/>
                    <w:jc w:val="center"/>
                    <w:rPr>
                      <w:rFonts w:hint="eastAsia"/>
                      <w:bCs/>
                      <w:snapToGrid w:val="0"/>
                      <w:kern w:val="24"/>
                      <w:szCs w:val="21"/>
                      <w:lang w:val="pt-BR"/>
                    </w:rPr>
                  </w:pPr>
                  <w:r>
                    <w:rPr>
                      <w:rFonts w:hint="eastAsia"/>
                      <w:bCs/>
                      <w:snapToGrid w:val="0"/>
                      <w:kern w:val="24"/>
                      <w:szCs w:val="21"/>
                      <w:lang w:val="pt-BR"/>
                    </w:rPr>
                    <w:t>地榆</w:t>
                  </w:r>
                </w:p>
              </w:tc>
              <w:tc>
                <w:tcPr>
                  <w:tcW w:w="5217" w:type="dxa"/>
                  <w:vAlign w:val="center"/>
                </w:tcPr>
                <w:p w14:paraId="09B0F664">
                  <w:pPr>
                    <w:spacing w:line="0" w:lineRule="atLeast"/>
                    <w:ind w:left="-105" w:leftChars="-50" w:right="-105" w:rightChars="-50"/>
                    <w:jc w:val="center"/>
                    <w:rPr>
                      <w:i/>
                      <w:color w:val="000000"/>
                      <w:szCs w:val="21"/>
                      <w:lang w:val="pt-BR"/>
                    </w:rPr>
                  </w:pPr>
                  <w:r>
                    <w:rPr>
                      <w:i/>
                      <w:color w:val="000000"/>
                      <w:szCs w:val="21"/>
                      <w:lang w:val="pt-BR"/>
                    </w:rPr>
                    <w:t xml:space="preserve">Sanguisorba officinalis </w:t>
                  </w:r>
                  <w:r>
                    <w:rPr>
                      <w:color w:val="000000"/>
                      <w:szCs w:val="21"/>
                      <w:lang w:val="pt-BR"/>
                    </w:rPr>
                    <w:t>L.</w:t>
                  </w:r>
                </w:p>
              </w:tc>
            </w:tr>
            <w:tr w14:paraId="7003A48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14DDD45B">
                  <w:pPr>
                    <w:spacing w:line="0" w:lineRule="atLeast"/>
                    <w:jc w:val="center"/>
                    <w:rPr>
                      <w:rFonts w:hint="eastAsia"/>
                      <w:lang w:val="pt-BR"/>
                    </w:rPr>
                  </w:pPr>
                  <w:r>
                    <w:rPr>
                      <w:rFonts w:hint="eastAsia"/>
                      <w:lang w:val="pt-BR"/>
                    </w:rPr>
                    <w:t>31</w:t>
                  </w:r>
                </w:p>
              </w:tc>
              <w:tc>
                <w:tcPr>
                  <w:tcW w:w="2573" w:type="dxa"/>
                  <w:vAlign w:val="center"/>
                </w:tcPr>
                <w:p w14:paraId="489EEDCA">
                  <w:pPr>
                    <w:spacing w:line="0" w:lineRule="atLeast"/>
                    <w:ind w:left="-105" w:leftChars="-50" w:right="-105" w:rightChars="-50"/>
                    <w:jc w:val="center"/>
                    <w:rPr>
                      <w:rFonts w:hint="eastAsia"/>
                      <w:bCs/>
                      <w:snapToGrid w:val="0"/>
                      <w:kern w:val="24"/>
                      <w:szCs w:val="21"/>
                      <w:lang w:val="pt-BR"/>
                    </w:rPr>
                  </w:pPr>
                  <w:r>
                    <w:rPr>
                      <w:rFonts w:hint="eastAsia"/>
                      <w:bCs/>
                      <w:snapToGrid w:val="0"/>
                      <w:kern w:val="24"/>
                      <w:szCs w:val="21"/>
                      <w:lang w:val="pt-BR"/>
                    </w:rPr>
                    <w:t>耧斗叶绣线菊</w:t>
                  </w:r>
                </w:p>
              </w:tc>
              <w:tc>
                <w:tcPr>
                  <w:tcW w:w="5217" w:type="dxa"/>
                  <w:vAlign w:val="center"/>
                </w:tcPr>
                <w:p w14:paraId="41EDA635">
                  <w:pPr>
                    <w:spacing w:line="0" w:lineRule="atLeast"/>
                    <w:ind w:left="-105" w:leftChars="-50" w:right="-105" w:rightChars="-50"/>
                    <w:jc w:val="center"/>
                    <w:rPr>
                      <w:i/>
                      <w:color w:val="000000"/>
                      <w:szCs w:val="21"/>
                      <w:lang w:val="pt-BR"/>
                    </w:rPr>
                  </w:pPr>
                  <w:r>
                    <w:rPr>
                      <w:i/>
                      <w:color w:val="000000"/>
                      <w:szCs w:val="21"/>
                      <w:lang w:val="pt-BR"/>
                    </w:rPr>
                    <w:t xml:space="preserve">Spiraea aquilegifolia </w:t>
                  </w:r>
                  <w:r>
                    <w:rPr>
                      <w:color w:val="000000"/>
                      <w:szCs w:val="21"/>
                      <w:lang w:val="pt-BR"/>
                    </w:rPr>
                    <w:t>Pall.</w:t>
                  </w:r>
                </w:p>
              </w:tc>
            </w:tr>
            <w:tr w14:paraId="6600913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430A374A">
                  <w:pPr>
                    <w:spacing w:line="0" w:lineRule="atLeast"/>
                    <w:jc w:val="center"/>
                    <w:rPr>
                      <w:rFonts w:hint="eastAsia"/>
                      <w:lang w:val="pt-BR"/>
                    </w:rPr>
                  </w:pPr>
                  <w:r>
                    <w:rPr>
                      <w:rFonts w:hint="eastAsia"/>
                      <w:lang w:val="pt-BR"/>
                    </w:rPr>
                    <w:t>十</w:t>
                  </w:r>
                </w:p>
              </w:tc>
              <w:tc>
                <w:tcPr>
                  <w:tcW w:w="7790" w:type="dxa"/>
                  <w:gridSpan w:val="2"/>
                  <w:vAlign w:val="center"/>
                </w:tcPr>
                <w:p w14:paraId="1F7B4436">
                  <w:pPr>
                    <w:spacing w:line="0" w:lineRule="atLeast"/>
                    <w:ind w:left="-105" w:leftChars="-50" w:right="-105" w:rightChars="-50" w:firstLine="105" w:firstLineChars="50"/>
                    <w:rPr>
                      <w:bCs/>
                      <w:snapToGrid w:val="0"/>
                      <w:kern w:val="24"/>
                      <w:szCs w:val="21"/>
                      <w:lang w:val="pt-BR"/>
                    </w:rPr>
                  </w:pPr>
                  <w:r>
                    <w:rPr>
                      <w:rFonts w:hint="eastAsia"/>
                      <w:bCs/>
                      <w:snapToGrid w:val="0"/>
                      <w:kern w:val="24"/>
                      <w:szCs w:val="21"/>
                      <w:lang w:val="pt-BR"/>
                    </w:rPr>
                    <w:t xml:space="preserve">芸香科 </w:t>
                  </w:r>
                  <w:r>
                    <w:rPr>
                      <w:bCs/>
                      <w:i/>
                      <w:snapToGrid w:val="0"/>
                      <w:kern w:val="24"/>
                      <w:szCs w:val="21"/>
                      <w:lang w:val="pt-BR"/>
                    </w:rPr>
                    <w:t>Rutaceae</w:t>
                  </w:r>
                </w:p>
              </w:tc>
            </w:tr>
            <w:tr w14:paraId="3325A73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186D9C5D">
                  <w:pPr>
                    <w:spacing w:line="0" w:lineRule="atLeast"/>
                    <w:jc w:val="center"/>
                    <w:rPr>
                      <w:rFonts w:hint="eastAsia"/>
                      <w:lang w:val="pt-BR"/>
                    </w:rPr>
                  </w:pPr>
                  <w:r>
                    <w:rPr>
                      <w:rFonts w:hint="eastAsia"/>
                      <w:lang w:val="pt-BR"/>
                    </w:rPr>
                    <w:t>32</w:t>
                  </w:r>
                </w:p>
              </w:tc>
              <w:tc>
                <w:tcPr>
                  <w:tcW w:w="2573" w:type="dxa"/>
                  <w:vAlign w:val="center"/>
                </w:tcPr>
                <w:p w14:paraId="374596F7">
                  <w:pPr>
                    <w:spacing w:line="0" w:lineRule="atLeast"/>
                    <w:ind w:left="-105" w:leftChars="-50" w:right="-105" w:rightChars="-50"/>
                    <w:jc w:val="center"/>
                    <w:rPr>
                      <w:rFonts w:hint="eastAsia"/>
                      <w:bCs/>
                      <w:snapToGrid w:val="0"/>
                      <w:kern w:val="24"/>
                      <w:szCs w:val="21"/>
                      <w:lang w:val="pt-BR"/>
                    </w:rPr>
                  </w:pPr>
                  <w:r>
                    <w:rPr>
                      <w:rFonts w:hint="eastAsia"/>
                      <w:bCs/>
                      <w:snapToGrid w:val="0"/>
                      <w:kern w:val="24"/>
                      <w:szCs w:val="21"/>
                      <w:lang w:val="pt-BR"/>
                    </w:rPr>
                    <w:t>草芸香</w:t>
                  </w:r>
                </w:p>
              </w:tc>
              <w:tc>
                <w:tcPr>
                  <w:tcW w:w="5217" w:type="dxa"/>
                  <w:vAlign w:val="center"/>
                </w:tcPr>
                <w:p w14:paraId="344DC34E">
                  <w:pPr>
                    <w:spacing w:line="0" w:lineRule="atLeast"/>
                    <w:ind w:left="-105" w:leftChars="-50" w:right="-105" w:rightChars="-50"/>
                    <w:jc w:val="center"/>
                    <w:rPr>
                      <w:rFonts w:hint="eastAsia"/>
                      <w:i/>
                      <w:color w:val="000000"/>
                      <w:szCs w:val="21"/>
                      <w:lang w:val="pt-BR"/>
                    </w:rPr>
                  </w:pPr>
                  <w:r>
                    <w:rPr>
                      <w:rFonts w:hint="eastAsia"/>
                      <w:i/>
                      <w:color w:val="000000"/>
                      <w:szCs w:val="21"/>
                      <w:lang w:val="pt-BR"/>
                    </w:rPr>
                    <w:t xml:space="preserve">Haplophyllum dauricum </w:t>
                  </w:r>
                  <w:r>
                    <w:rPr>
                      <w:rFonts w:hint="eastAsia"/>
                      <w:color w:val="000000"/>
                      <w:szCs w:val="21"/>
                      <w:lang w:val="pt-BR"/>
                    </w:rPr>
                    <w:t>Juss</w:t>
                  </w:r>
                </w:p>
              </w:tc>
            </w:tr>
            <w:tr w14:paraId="5A26C96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520C0A62">
                  <w:pPr>
                    <w:spacing w:line="0" w:lineRule="atLeast"/>
                    <w:jc w:val="center"/>
                    <w:rPr>
                      <w:rFonts w:hint="eastAsia"/>
                      <w:lang w:val="pt-BR"/>
                    </w:rPr>
                  </w:pPr>
                  <w:r>
                    <w:rPr>
                      <w:rFonts w:hint="eastAsia"/>
                      <w:lang w:val="pt-BR"/>
                    </w:rPr>
                    <w:t>十一</w:t>
                  </w:r>
                </w:p>
              </w:tc>
              <w:tc>
                <w:tcPr>
                  <w:tcW w:w="7790" w:type="dxa"/>
                  <w:gridSpan w:val="2"/>
                  <w:vAlign w:val="center"/>
                </w:tcPr>
                <w:p w14:paraId="1886B4E0">
                  <w:pPr>
                    <w:spacing w:line="0" w:lineRule="atLeast"/>
                    <w:ind w:left="-105" w:leftChars="-50" w:right="-105" w:rightChars="-50" w:firstLine="105" w:firstLineChars="50"/>
                    <w:rPr>
                      <w:bCs/>
                      <w:snapToGrid w:val="0"/>
                      <w:kern w:val="24"/>
                      <w:szCs w:val="21"/>
                      <w:lang w:val="pt-BR"/>
                    </w:rPr>
                  </w:pPr>
                  <w:r>
                    <w:rPr>
                      <w:rFonts w:hint="eastAsia"/>
                      <w:bCs/>
                      <w:snapToGrid w:val="0"/>
                      <w:kern w:val="24"/>
                      <w:szCs w:val="21"/>
                      <w:lang w:val="pt-BR"/>
                    </w:rPr>
                    <w:t xml:space="preserve">大戟科 </w:t>
                  </w:r>
                  <w:r>
                    <w:rPr>
                      <w:bCs/>
                      <w:i/>
                      <w:snapToGrid w:val="0"/>
                      <w:kern w:val="24"/>
                      <w:szCs w:val="21"/>
                      <w:lang w:val="pt-BR"/>
                    </w:rPr>
                    <w:t>Euphorbiaceae</w:t>
                  </w:r>
                </w:p>
              </w:tc>
            </w:tr>
            <w:tr w14:paraId="66A353D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52F3D864">
                  <w:pPr>
                    <w:spacing w:line="0" w:lineRule="atLeast"/>
                    <w:jc w:val="center"/>
                    <w:rPr>
                      <w:rFonts w:hint="eastAsia"/>
                      <w:lang w:val="pt-BR"/>
                    </w:rPr>
                  </w:pPr>
                  <w:r>
                    <w:rPr>
                      <w:rFonts w:hint="eastAsia"/>
                      <w:lang w:val="pt-BR"/>
                    </w:rPr>
                    <w:t>33</w:t>
                  </w:r>
                </w:p>
              </w:tc>
              <w:tc>
                <w:tcPr>
                  <w:tcW w:w="2573" w:type="dxa"/>
                  <w:vAlign w:val="center"/>
                </w:tcPr>
                <w:p w14:paraId="65AC08AA">
                  <w:pPr>
                    <w:spacing w:line="0" w:lineRule="atLeast"/>
                    <w:ind w:left="-105" w:leftChars="-50" w:right="-105" w:rightChars="-50"/>
                    <w:jc w:val="center"/>
                    <w:rPr>
                      <w:rFonts w:hint="eastAsia"/>
                      <w:bCs/>
                      <w:snapToGrid w:val="0"/>
                      <w:kern w:val="24"/>
                      <w:szCs w:val="21"/>
                      <w:lang w:val="pt-BR"/>
                    </w:rPr>
                  </w:pPr>
                  <w:r>
                    <w:rPr>
                      <w:rFonts w:hint="eastAsia"/>
                      <w:bCs/>
                      <w:snapToGrid w:val="0"/>
                      <w:kern w:val="24"/>
                      <w:szCs w:val="21"/>
                      <w:lang w:val="pt-BR"/>
                    </w:rPr>
                    <w:t>乳酱大戟</w:t>
                  </w:r>
                </w:p>
              </w:tc>
              <w:tc>
                <w:tcPr>
                  <w:tcW w:w="5217" w:type="dxa"/>
                  <w:vAlign w:val="center"/>
                </w:tcPr>
                <w:p w14:paraId="4A613A94">
                  <w:pPr>
                    <w:spacing w:line="0" w:lineRule="atLeast"/>
                    <w:ind w:left="-105" w:leftChars="-50" w:right="-105" w:rightChars="-50"/>
                    <w:jc w:val="center"/>
                    <w:rPr>
                      <w:i/>
                      <w:color w:val="000000"/>
                      <w:szCs w:val="21"/>
                      <w:lang w:val="pt-BR"/>
                    </w:rPr>
                  </w:pPr>
                  <w:r>
                    <w:rPr>
                      <w:i/>
                      <w:color w:val="000000"/>
                      <w:szCs w:val="21"/>
                      <w:lang w:val="pt-BR"/>
                    </w:rPr>
                    <w:t xml:space="preserve">Euphorbia Esula </w:t>
                  </w:r>
                  <w:r>
                    <w:rPr>
                      <w:color w:val="000000"/>
                      <w:szCs w:val="21"/>
                      <w:lang w:val="pt-BR"/>
                    </w:rPr>
                    <w:t>Linn.</w:t>
                  </w:r>
                </w:p>
              </w:tc>
            </w:tr>
            <w:tr w14:paraId="4DFF07A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3938BE47">
                  <w:pPr>
                    <w:spacing w:line="0" w:lineRule="atLeast"/>
                    <w:jc w:val="center"/>
                    <w:rPr>
                      <w:rFonts w:hint="eastAsia"/>
                      <w:lang w:val="pt-BR"/>
                    </w:rPr>
                  </w:pPr>
                  <w:r>
                    <w:rPr>
                      <w:rFonts w:hint="eastAsia"/>
                      <w:lang w:val="pt-BR"/>
                    </w:rPr>
                    <w:t>十二</w:t>
                  </w:r>
                </w:p>
              </w:tc>
              <w:tc>
                <w:tcPr>
                  <w:tcW w:w="7790" w:type="dxa"/>
                  <w:gridSpan w:val="2"/>
                  <w:vAlign w:val="center"/>
                </w:tcPr>
                <w:p w14:paraId="0CAE0A43">
                  <w:pPr>
                    <w:spacing w:line="0" w:lineRule="atLeast"/>
                    <w:ind w:left="-105" w:leftChars="-50" w:right="-105" w:rightChars="-50"/>
                    <w:rPr>
                      <w:color w:val="000000"/>
                      <w:szCs w:val="21"/>
                      <w:lang w:val="pt-BR"/>
                    </w:rPr>
                  </w:pPr>
                  <w:r>
                    <w:rPr>
                      <w:rFonts w:hint="eastAsia"/>
                      <w:color w:val="000000"/>
                      <w:szCs w:val="21"/>
                      <w:lang w:val="pt-BR"/>
                    </w:rPr>
                    <w:t xml:space="preserve"> 瑞香科 </w:t>
                  </w:r>
                  <w:r>
                    <w:rPr>
                      <w:i/>
                      <w:color w:val="000000"/>
                      <w:szCs w:val="21"/>
                      <w:lang w:val="pt-BR"/>
                    </w:rPr>
                    <w:t>Thymelaeaceae</w:t>
                  </w:r>
                </w:p>
              </w:tc>
            </w:tr>
            <w:tr w14:paraId="6F01169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7E9EFA9D">
                  <w:pPr>
                    <w:spacing w:line="0" w:lineRule="atLeast"/>
                    <w:jc w:val="center"/>
                    <w:rPr>
                      <w:rFonts w:hint="eastAsia"/>
                      <w:lang w:val="pt-BR"/>
                    </w:rPr>
                  </w:pPr>
                  <w:r>
                    <w:rPr>
                      <w:rFonts w:hint="eastAsia"/>
                      <w:lang w:val="pt-BR"/>
                    </w:rPr>
                    <w:t>34</w:t>
                  </w:r>
                </w:p>
              </w:tc>
              <w:tc>
                <w:tcPr>
                  <w:tcW w:w="2573" w:type="dxa"/>
                  <w:vAlign w:val="center"/>
                </w:tcPr>
                <w:p w14:paraId="40F1C765">
                  <w:pPr>
                    <w:spacing w:line="0" w:lineRule="atLeast"/>
                    <w:ind w:left="-105" w:leftChars="-50" w:right="-105" w:rightChars="-50"/>
                    <w:jc w:val="center"/>
                    <w:rPr>
                      <w:rFonts w:hint="eastAsia"/>
                      <w:bCs/>
                      <w:snapToGrid w:val="0"/>
                      <w:kern w:val="24"/>
                      <w:szCs w:val="21"/>
                      <w:lang w:val="pt-BR"/>
                    </w:rPr>
                  </w:pPr>
                  <w:r>
                    <w:rPr>
                      <w:rFonts w:hint="eastAsia"/>
                      <w:bCs/>
                      <w:snapToGrid w:val="0"/>
                      <w:kern w:val="24"/>
                      <w:szCs w:val="21"/>
                      <w:lang w:val="pt-BR"/>
                    </w:rPr>
                    <w:t>狼毒</w:t>
                  </w:r>
                </w:p>
              </w:tc>
              <w:tc>
                <w:tcPr>
                  <w:tcW w:w="5217" w:type="dxa"/>
                  <w:vAlign w:val="center"/>
                </w:tcPr>
                <w:p w14:paraId="154A8399">
                  <w:pPr>
                    <w:spacing w:line="0" w:lineRule="atLeast"/>
                    <w:ind w:left="-105" w:leftChars="-50" w:right="-105" w:rightChars="-50"/>
                    <w:jc w:val="center"/>
                    <w:rPr>
                      <w:rFonts w:hint="eastAsia"/>
                      <w:i/>
                      <w:color w:val="000000"/>
                      <w:szCs w:val="21"/>
                      <w:lang w:val="pt-BR"/>
                    </w:rPr>
                  </w:pPr>
                  <w:r>
                    <w:rPr>
                      <w:rFonts w:hint="eastAsia"/>
                      <w:i/>
                      <w:color w:val="000000"/>
                      <w:szCs w:val="21"/>
                      <w:lang w:val="pt-BR"/>
                    </w:rPr>
                    <w:t xml:space="preserve">Stellera chamaijasme </w:t>
                  </w:r>
                  <w:r>
                    <w:rPr>
                      <w:rFonts w:hint="eastAsia"/>
                      <w:color w:val="000000"/>
                      <w:szCs w:val="21"/>
                      <w:lang w:val="pt-BR"/>
                    </w:rPr>
                    <w:t>L.</w:t>
                  </w:r>
                </w:p>
              </w:tc>
            </w:tr>
            <w:tr w14:paraId="2411B08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0C09C379">
                  <w:pPr>
                    <w:spacing w:line="0" w:lineRule="atLeast"/>
                    <w:jc w:val="center"/>
                    <w:rPr>
                      <w:rFonts w:hint="eastAsia"/>
                      <w:lang w:val="pt-BR"/>
                    </w:rPr>
                  </w:pPr>
                  <w:r>
                    <w:rPr>
                      <w:rFonts w:hint="eastAsia"/>
                      <w:lang w:val="pt-BR"/>
                    </w:rPr>
                    <w:t>十三</w:t>
                  </w:r>
                </w:p>
              </w:tc>
              <w:tc>
                <w:tcPr>
                  <w:tcW w:w="7790" w:type="dxa"/>
                  <w:gridSpan w:val="2"/>
                  <w:vAlign w:val="center"/>
                </w:tcPr>
                <w:p w14:paraId="4259F669">
                  <w:pPr>
                    <w:spacing w:line="0" w:lineRule="atLeast"/>
                    <w:ind w:left="-105" w:leftChars="-50" w:right="-105" w:rightChars="-50" w:firstLine="105" w:firstLineChars="50"/>
                    <w:rPr>
                      <w:bCs/>
                      <w:snapToGrid w:val="0"/>
                      <w:kern w:val="24"/>
                      <w:szCs w:val="21"/>
                      <w:lang w:val="pt-BR"/>
                    </w:rPr>
                  </w:pPr>
                  <w:r>
                    <w:rPr>
                      <w:rFonts w:hint="eastAsia"/>
                      <w:bCs/>
                      <w:snapToGrid w:val="0"/>
                      <w:kern w:val="24"/>
                      <w:szCs w:val="21"/>
                      <w:lang w:val="pt-BR"/>
                    </w:rPr>
                    <w:t xml:space="preserve">伞形科 </w:t>
                  </w:r>
                  <w:r>
                    <w:rPr>
                      <w:bCs/>
                      <w:i/>
                      <w:snapToGrid w:val="0"/>
                      <w:kern w:val="24"/>
                      <w:szCs w:val="21"/>
                      <w:lang w:val="pt-BR"/>
                    </w:rPr>
                    <w:t xml:space="preserve">Apiaceae </w:t>
                  </w:r>
                </w:p>
              </w:tc>
            </w:tr>
            <w:tr w14:paraId="6C8EE4A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1FB4975E">
                  <w:pPr>
                    <w:spacing w:line="0" w:lineRule="atLeast"/>
                    <w:jc w:val="center"/>
                    <w:rPr>
                      <w:rFonts w:hint="eastAsia"/>
                      <w:lang w:val="pt-BR"/>
                    </w:rPr>
                  </w:pPr>
                  <w:r>
                    <w:rPr>
                      <w:rFonts w:hint="eastAsia"/>
                      <w:lang w:val="pt-BR"/>
                    </w:rPr>
                    <w:t>35</w:t>
                  </w:r>
                </w:p>
              </w:tc>
              <w:tc>
                <w:tcPr>
                  <w:tcW w:w="2573" w:type="dxa"/>
                  <w:vAlign w:val="center"/>
                </w:tcPr>
                <w:p w14:paraId="085E09E8">
                  <w:pPr>
                    <w:spacing w:line="0" w:lineRule="atLeast"/>
                    <w:ind w:left="-105" w:leftChars="-50" w:right="-105" w:rightChars="-50"/>
                    <w:jc w:val="center"/>
                    <w:rPr>
                      <w:rFonts w:hint="eastAsia"/>
                      <w:bCs/>
                      <w:snapToGrid w:val="0"/>
                      <w:kern w:val="24"/>
                      <w:szCs w:val="21"/>
                      <w:lang w:val="pt-BR"/>
                    </w:rPr>
                  </w:pPr>
                  <w:r>
                    <w:rPr>
                      <w:rFonts w:hint="eastAsia"/>
                      <w:bCs/>
                      <w:snapToGrid w:val="0"/>
                      <w:kern w:val="24"/>
                      <w:szCs w:val="21"/>
                      <w:lang w:val="pt-BR"/>
                    </w:rPr>
                    <w:t>狭叶柴胡</w:t>
                  </w:r>
                </w:p>
              </w:tc>
              <w:tc>
                <w:tcPr>
                  <w:tcW w:w="5217" w:type="dxa"/>
                  <w:vAlign w:val="center"/>
                </w:tcPr>
                <w:p w14:paraId="45C58DF2">
                  <w:pPr>
                    <w:spacing w:line="0" w:lineRule="atLeast"/>
                    <w:ind w:left="-105" w:leftChars="-50" w:right="-105" w:rightChars="-50"/>
                    <w:jc w:val="center"/>
                    <w:rPr>
                      <w:i/>
                      <w:color w:val="000000"/>
                      <w:szCs w:val="21"/>
                      <w:lang w:val="pt-BR"/>
                    </w:rPr>
                  </w:pPr>
                  <w:r>
                    <w:rPr>
                      <w:i/>
                      <w:color w:val="000000"/>
                      <w:szCs w:val="21"/>
                      <w:lang w:val="pt-BR"/>
                    </w:rPr>
                    <w:t xml:space="preserve">Red Thorowax </w:t>
                  </w:r>
                  <w:r>
                    <w:rPr>
                      <w:color w:val="000000"/>
                      <w:szCs w:val="21"/>
                      <w:lang w:val="pt-BR"/>
                    </w:rPr>
                    <w:t>Root</w:t>
                  </w:r>
                </w:p>
              </w:tc>
            </w:tr>
            <w:tr w14:paraId="495A6DB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45FAA61A">
                  <w:pPr>
                    <w:spacing w:line="0" w:lineRule="atLeast"/>
                    <w:jc w:val="center"/>
                    <w:rPr>
                      <w:rFonts w:hint="eastAsia"/>
                      <w:lang w:val="pt-BR"/>
                    </w:rPr>
                  </w:pPr>
                  <w:r>
                    <w:rPr>
                      <w:rFonts w:hint="eastAsia"/>
                      <w:lang w:val="pt-BR"/>
                    </w:rPr>
                    <w:t>36</w:t>
                  </w:r>
                </w:p>
              </w:tc>
              <w:tc>
                <w:tcPr>
                  <w:tcW w:w="2573" w:type="dxa"/>
                  <w:vAlign w:val="center"/>
                </w:tcPr>
                <w:p w14:paraId="04B75513">
                  <w:pPr>
                    <w:spacing w:line="0" w:lineRule="atLeast"/>
                    <w:ind w:left="-105" w:leftChars="-50" w:right="-105" w:rightChars="-50"/>
                    <w:jc w:val="center"/>
                    <w:rPr>
                      <w:rFonts w:hint="eastAsia"/>
                      <w:bCs/>
                      <w:snapToGrid w:val="0"/>
                      <w:kern w:val="24"/>
                      <w:szCs w:val="21"/>
                      <w:lang w:val="pt-BR"/>
                    </w:rPr>
                  </w:pPr>
                  <w:r>
                    <w:rPr>
                      <w:rFonts w:hint="eastAsia"/>
                      <w:bCs/>
                      <w:snapToGrid w:val="0"/>
                      <w:kern w:val="24"/>
                      <w:szCs w:val="21"/>
                      <w:lang w:val="pt-BR"/>
                    </w:rPr>
                    <w:t>防风</w:t>
                  </w:r>
                </w:p>
              </w:tc>
              <w:tc>
                <w:tcPr>
                  <w:tcW w:w="5217" w:type="dxa"/>
                  <w:vAlign w:val="center"/>
                </w:tcPr>
                <w:p w14:paraId="2FC7F1D7">
                  <w:pPr>
                    <w:spacing w:line="0" w:lineRule="atLeast"/>
                    <w:ind w:left="-105" w:leftChars="-50" w:right="-105" w:rightChars="-50"/>
                    <w:jc w:val="center"/>
                    <w:rPr>
                      <w:rFonts w:hint="eastAsia"/>
                      <w:color w:val="000000"/>
                      <w:szCs w:val="21"/>
                      <w:lang w:val="pt-BR"/>
                    </w:rPr>
                  </w:pPr>
                  <w:r>
                    <w:rPr>
                      <w:rFonts w:hint="eastAsia"/>
                      <w:i/>
                      <w:color w:val="000000"/>
                      <w:szCs w:val="21"/>
                      <w:lang w:val="pt-BR"/>
                    </w:rPr>
                    <w:t>Saposhnikovia divaricata</w:t>
                  </w:r>
                  <w:r>
                    <w:rPr>
                      <w:rFonts w:hint="eastAsia"/>
                      <w:color w:val="000000"/>
                      <w:szCs w:val="21"/>
                      <w:lang w:val="pt-BR"/>
                    </w:rPr>
                    <w:t>（turcz.）Schischk</w:t>
                  </w:r>
                </w:p>
              </w:tc>
            </w:tr>
            <w:tr w14:paraId="3434A20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359171D4">
                  <w:pPr>
                    <w:spacing w:line="0" w:lineRule="atLeast"/>
                    <w:jc w:val="center"/>
                    <w:rPr>
                      <w:rFonts w:hint="eastAsia"/>
                      <w:lang w:val="pt-BR"/>
                    </w:rPr>
                  </w:pPr>
                  <w:r>
                    <w:rPr>
                      <w:rFonts w:hint="eastAsia"/>
                      <w:lang w:val="pt-BR"/>
                    </w:rPr>
                    <w:t>十四</w:t>
                  </w:r>
                </w:p>
              </w:tc>
              <w:tc>
                <w:tcPr>
                  <w:tcW w:w="7790" w:type="dxa"/>
                  <w:gridSpan w:val="2"/>
                  <w:vAlign w:val="center"/>
                </w:tcPr>
                <w:p w14:paraId="7AC99168">
                  <w:pPr>
                    <w:spacing w:line="0" w:lineRule="atLeast"/>
                    <w:ind w:left="-105" w:leftChars="-50" w:right="-105" w:rightChars="-50" w:firstLine="105" w:firstLineChars="50"/>
                    <w:rPr>
                      <w:bCs/>
                      <w:snapToGrid w:val="0"/>
                      <w:kern w:val="24"/>
                      <w:szCs w:val="21"/>
                      <w:lang w:val="pt-BR"/>
                    </w:rPr>
                  </w:pPr>
                  <w:r>
                    <w:rPr>
                      <w:rFonts w:hint="eastAsia"/>
                      <w:bCs/>
                      <w:snapToGrid w:val="0"/>
                      <w:kern w:val="24"/>
                      <w:szCs w:val="21"/>
                      <w:lang w:val="pt-BR"/>
                    </w:rPr>
                    <w:t xml:space="preserve">龙胆科 </w:t>
                  </w:r>
                  <w:r>
                    <w:rPr>
                      <w:bCs/>
                      <w:i/>
                      <w:snapToGrid w:val="0"/>
                      <w:kern w:val="24"/>
                      <w:szCs w:val="21"/>
                      <w:lang w:val="pt-BR"/>
                    </w:rPr>
                    <w:t>Gentianeae</w:t>
                  </w:r>
                </w:p>
              </w:tc>
            </w:tr>
            <w:tr w14:paraId="315C356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6A5A4CE4">
                  <w:pPr>
                    <w:spacing w:line="0" w:lineRule="atLeast"/>
                    <w:jc w:val="center"/>
                    <w:rPr>
                      <w:rFonts w:hint="eastAsia"/>
                      <w:lang w:val="pt-BR"/>
                    </w:rPr>
                  </w:pPr>
                  <w:r>
                    <w:rPr>
                      <w:rFonts w:hint="eastAsia"/>
                      <w:lang w:val="pt-BR"/>
                    </w:rPr>
                    <w:t>37</w:t>
                  </w:r>
                </w:p>
              </w:tc>
              <w:tc>
                <w:tcPr>
                  <w:tcW w:w="2573" w:type="dxa"/>
                  <w:vAlign w:val="center"/>
                </w:tcPr>
                <w:p w14:paraId="0C6BEFC0">
                  <w:pPr>
                    <w:spacing w:line="0" w:lineRule="atLeast"/>
                    <w:ind w:left="-105" w:leftChars="-50" w:right="-105" w:rightChars="-50"/>
                    <w:jc w:val="center"/>
                    <w:rPr>
                      <w:rFonts w:hint="eastAsia"/>
                      <w:bCs/>
                      <w:snapToGrid w:val="0"/>
                      <w:kern w:val="24"/>
                      <w:szCs w:val="21"/>
                      <w:lang w:val="pt-BR"/>
                    </w:rPr>
                  </w:pPr>
                  <w:r>
                    <w:rPr>
                      <w:rFonts w:hint="eastAsia"/>
                      <w:bCs/>
                      <w:snapToGrid w:val="0"/>
                      <w:kern w:val="24"/>
                      <w:szCs w:val="21"/>
                      <w:lang w:val="pt-BR"/>
                    </w:rPr>
                    <w:t>小龙胆</w:t>
                  </w:r>
                </w:p>
              </w:tc>
              <w:tc>
                <w:tcPr>
                  <w:tcW w:w="5217" w:type="dxa"/>
                  <w:vAlign w:val="center"/>
                </w:tcPr>
                <w:p w14:paraId="04A4BD67">
                  <w:pPr>
                    <w:spacing w:line="0" w:lineRule="atLeast"/>
                    <w:ind w:left="-105" w:leftChars="-50" w:right="-105" w:rightChars="-50"/>
                    <w:jc w:val="center"/>
                    <w:rPr>
                      <w:i/>
                      <w:color w:val="000000"/>
                      <w:szCs w:val="21"/>
                      <w:lang w:val="pt-BR"/>
                    </w:rPr>
                  </w:pPr>
                  <w:r>
                    <w:rPr>
                      <w:i/>
                      <w:color w:val="000000"/>
                      <w:szCs w:val="21"/>
                      <w:lang w:val="pt-BR"/>
                    </w:rPr>
                    <w:t xml:space="preserve">Gentiana parvula </w:t>
                  </w:r>
                  <w:r>
                    <w:rPr>
                      <w:color w:val="000000"/>
                      <w:szCs w:val="21"/>
                      <w:lang w:val="pt-BR"/>
                    </w:rPr>
                    <w:t>H. Smith</w:t>
                  </w:r>
                </w:p>
              </w:tc>
            </w:tr>
            <w:tr w14:paraId="7499414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32D5CB3A">
                  <w:pPr>
                    <w:spacing w:line="0" w:lineRule="atLeast"/>
                    <w:jc w:val="center"/>
                    <w:rPr>
                      <w:rFonts w:hint="eastAsia"/>
                      <w:lang w:val="pt-BR"/>
                    </w:rPr>
                  </w:pPr>
                  <w:r>
                    <w:rPr>
                      <w:rFonts w:hint="eastAsia"/>
                      <w:lang w:val="pt-BR"/>
                    </w:rPr>
                    <w:t>十五</w:t>
                  </w:r>
                </w:p>
              </w:tc>
              <w:tc>
                <w:tcPr>
                  <w:tcW w:w="7790" w:type="dxa"/>
                  <w:gridSpan w:val="2"/>
                  <w:vAlign w:val="center"/>
                </w:tcPr>
                <w:p w14:paraId="1C60C426">
                  <w:pPr>
                    <w:spacing w:line="0" w:lineRule="atLeast"/>
                    <w:ind w:left="-105" w:leftChars="-50" w:right="-105" w:rightChars="-50" w:firstLine="105" w:firstLineChars="50"/>
                    <w:rPr>
                      <w:i/>
                      <w:color w:val="000000"/>
                      <w:szCs w:val="21"/>
                      <w:lang w:val="pt-BR"/>
                    </w:rPr>
                  </w:pPr>
                  <w:r>
                    <w:rPr>
                      <w:rFonts w:hint="eastAsia"/>
                      <w:bCs/>
                      <w:snapToGrid w:val="0"/>
                      <w:kern w:val="24"/>
                      <w:szCs w:val="21"/>
                      <w:lang w:val="pt-BR"/>
                    </w:rPr>
                    <w:t>唇形科</w:t>
                  </w:r>
                </w:p>
              </w:tc>
            </w:tr>
            <w:tr w14:paraId="26231BA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49FA706B">
                  <w:pPr>
                    <w:spacing w:line="0" w:lineRule="atLeast"/>
                    <w:jc w:val="center"/>
                    <w:rPr>
                      <w:rFonts w:hint="eastAsia"/>
                      <w:lang w:val="pt-BR"/>
                    </w:rPr>
                  </w:pPr>
                  <w:r>
                    <w:rPr>
                      <w:rFonts w:hint="eastAsia"/>
                      <w:lang w:val="pt-BR"/>
                    </w:rPr>
                    <w:t>38</w:t>
                  </w:r>
                </w:p>
              </w:tc>
              <w:tc>
                <w:tcPr>
                  <w:tcW w:w="2573" w:type="dxa"/>
                  <w:vAlign w:val="center"/>
                </w:tcPr>
                <w:p w14:paraId="6A5CE757">
                  <w:pPr>
                    <w:spacing w:line="0" w:lineRule="atLeast"/>
                    <w:ind w:left="-105" w:leftChars="-50" w:right="-105" w:rightChars="-50"/>
                    <w:jc w:val="center"/>
                    <w:rPr>
                      <w:rFonts w:hint="eastAsia"/>
                      <w:bCs/>
                      <w:snapToGrid w:val="0"/>
                      <w:kern w:val="24"/>
                      <w:szCs w:val="21"/>
                    </w:rPr>
                  </w:pPr>
                  <w:r>
                    <w:rPr>
                      <w:rFonts w:hint="eastAsia"/>
                      <w:bCs/>
                      <w:snapToGrid w:val="0"/>
                      <w:kern w:val="24"/>
                      <w:szCs w:val="21"/>
                    </w:rPr>
                    <w:t>百里香</w:t>
                  </w:r>
                </w:p>
              </w:tc>
              <w:tc>
                <w:tcPr>
                  <w:tcW w:w="5217" w:type="dxa"/>
                  <w:vAlign w:val="center"/>
                </w:tcPr>
                <w:p w14:paraId="6AF15A14">
                  <w:pPr>
                    <w:spacing w:line="0" w:lineRule="atLeast"/>
                    <w:ind w:left="-105" w:leftChars="-50" w:right="-105" w:rightChars="-50"/>
                    <w:jc w:val="center"/>
                    <w:rPr>
                      <w:rFonts w:hint="eastAsia"/>
                      <w:color w:val="000000"/>
                      <w:szCs w:val="21"/>
                    </w:rPr>
                  </w:pPr>
                  <w:r>
                    <w:rPr>
                      <w:i/>
                      <w:color w:val="000000"/>
                      <w:szCs w:val="21"/>
                    </w:rPr>
                    <w:t>Thymus mongolicus</w:t>
                  </w:r>
                  <w:r>
                    <w:rPr>
                      <w:color w:val="000000"/>
                      <w:szCs w:val="21"/>
                    </w:rPr>
                    <w:t xml:space="preserve"> Ronn.</w:t>
                  </w:r>
                </w:p>
              </w:tc>
            </w:tr>
            <w:tr w14:paraId="6320350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6BF385E5">
                  <w:pPr>
                    <w:spacing w:line="0" w:lineRule="atLeast"/>
                    <w:jc w:val="center"/>
                    <w:rPr>
                      <w:rFonts w:hint="eastAsia"/>
                      <w:lang w:val="pt-BR"/>
                    </w:rPr>
                  </w:pPr>
                  <w:r>
                    <w:rPr>
                      <w:rFonts w:hint="eastAsia"/>
                      <w:lang w:val="pt-BR"/>
                    </w:rPr>
                    <w:t>39</w:t>
                  </w:r>
                </w:p>
              </w:tc>
              <w:tc>
                <w:tcPr>
                  <w:tcW w:w="2573" w:type="dxa"/>
                  <w:vAlign w:val="center"/>
                </w:tcPr>
                <w:p w14:paraId="745F484D">
                  <w:pPr>
                    <w:spacing w:line="0" w:lineRule="atLeast"/>
                    <w:ind w:left="-105" w:leftChars="-50" w:right="-105" w:rightChars="-50"/>
                    <w:jc w:val="center"/>
                    <w:rPr>
                      <w:rFonts w:hint="eastAsia"/>
                      <w:bCs/>
                      <w:snapToGrid w:val="0"/>
                      <w:kern w:val="24"/>
                      <w:szCs w:val="21"/>
                      <w:lang w:val="pt-BR"/>
                    </w:rPr>
                  </w:pPr>
                  <w:r>
                    <w:rPr>
                      <w:rFonts w:hint="eastAsia"/>
                      <w:bCs/>
                      <w:snapToGrid w:val="0"/>
                      <w:kern w:val="24"/>
                      <w:szCs w:val="21"/>
                      <w:lang w:val="pt-BR"/>
                    </w:rPr>
                    <w:t>蒙古糙苏</w:t>
                  </w:r>
                </w:p>
              </w:tc>
              <w:tc>
                <w:tcPr>
                  <w:tcW w:w="5217" w:type="dxa"/>
                  <w:vAlign w:val="center"/>
                </w:tcPr>
                <w:p w14:paraId="0E1168F6">
                  <w:pPr>
                    <w:spacing w:line="0" w:lineRule="atLeast"/>
                    <w:ind w:left="-105" w:leftChars="-50" w:right="-105" w:rightChars="-50"/>
                    <w:jc w:val="center"/>
                    <w:rPr>
                      <w:rFonts w:hint="eastAsia"/>
                      <w:i/>
                      <w:color w:val="000000"/>
                      <w:szCs w:val="21"/>
                      <w:lang w:val="pt-BR"/>
                    </w:rPr>
                  </w:pPr>
                  <w:r>
                    <w:rPr>
                      <w:i/>
                      <w:color w:val="000000"/>
                      <w:szCs w:val="21"/>
                      <w:lang w:val="pt-BR"/>
                    </w:rPr>
                    <w:t xml:space="preserve">Phlomis </w:t>
                  </w:r>
                  <w:r>
                    <w:rPr>
                      <w:rFonts w:hint="eastAsia"/>
                      <w:i/>
                      <w:color w:val="000000"/>
                      <w:szCs w:val="21"/>
                      <w:lang w:val="pt-BR"/>
                    </w:rPr>
                    <w:t xml:space="preserve">mongolica </w:t>
                  </w:r>
                  <w:r>
                    <w:rPr>
                      <w:rFonts w:hint="eastAsia"/>
                      <w:color w:val="000000"/>
                      <w:szCs w:val="21"/>
                      <w:lang w:val="pt-BR"/>
                    </w:rPr>
                    <w:t>Turcz.</w:t>
                  </w:r>
                </w:p>
              </w:tc>
            </w:tr>
            <w:tr w14:paraId="18B7D94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1A6BFF78">
                  <w:pPr>
                    <w:spacing w:line="0" w:lineRule="atLeast"/>
                    <w:jc w:val="center"/>
                    <w:rPr>
                      <w:rFonts w:hint="eastAsia"/>
                      <w:lang w:val="pt-BR"/>
                    </w:rPr>
                  </w:pPr>
                  <w:r>
                    <w:rPr>
                      <w:rFonts w:hint="eastAsia"/>
                      <w:lang w:val="pt-BR"/>
                    </w:rPr>
                    <w:t>40</w:t>
                  </w:r>
                </w:p>
              </w:tc>
              <w:tc>
                <w:tcPr>
                  <w:tcW w:w="2573" w:type="dxa"/>
                  <w:vAlign w:val="center"/>
                </w:tcPr>
                <w:p w14:paraId="668AA461">
                  <w:pPr>
                    <w:spacing w:line="0" w:lineRule="atLeast"/>
                    <w:ind w:left="-105" w:leftChars="-50" w:right="-105" w:rightChars="-50"/>
                    <w:jc w:val="center"/>
                    <w:rPr>
                      <w:rFonts w:hint="eastAsia"/>
                      <w:bCs/>
                      <w:snapToGrid w:val="0"/>
                      <w:kern w:val="24"/>
                      <w:szCs w:val="21"/>
                      <w:lang w:val="pt-BR"/>
                    </w:rPr>
                  </w:pPr>
                  <w:r>
                    <w:rPr>
                      <w:rFonts w:hint="eastAsia"/>
                      <w:bCs/>
                      <w:snapToGrid w:val="0"/>
                      <w:kern w:val="24"/>
                      <w:szCs w:val="21"/>
                      <w:lang w:val="pt-BR"/>
                    </w:rPr>
                    <w:t>裂叶荆芥</w:t>
                  </w:r>
                </w:p>
              </w:tc>
              <w:tc>
                <w:tcPr>
                  <w:tcW w:w="5217" w:type="dxa"/>
                  <w:vAlign w:val="center"/>
                </w:tcPr>
                <w:p w14:paraId="00F43565">
                  <w:pPr>
                    <w:spacing w:line="0" w:lineRule="atLeast"/>
                    <w:ind w:left="-105" w:leftChars="-50" w:right="-105" w:rightChars="-50"/>
                    <w:jc w:val="center"/>
                    <w:rPr>
                      <w:i/>
                      <w:color w:val="000000"/>
                      <w:szCs w:val="21"/>
                      <w:lang w:val="pt-BR"/>
                    </w:rPr>
                  </w:pPr>
                  <w:r>
                    <w:rPr>
                      <w:i/>
                      <w:color w:val="000000"/>
                      <w:szCs w:val="21"/>
                      <w:lang w:val="pt-BR"/>
                    </w:rPr>
                    <w:t>Schizonepeta tenuifolia</w:t>
                  </w:r>
                  <w:r>
                    <w:rPr>
                      <w:color w:val="000000"/>
                      <w:szCs w:val="21"/>
                      <w:lang w:val="pt-BR"/>
                    </w:rPr>
                    <w:t xml:space="preserve"> Briq.</w:t>
                  </w:r>
                </w:p>
              </w:tc>
            </w:tr>
            <w:tr w14:paraId="51637A1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5B0702D6">
                  <w:pPr>
                    <w:spacing w:line="0" w:lineRule="atLeast"/>
                    <w:jc w:val="center"/>
                    <w:rPr>
                      <w:rFonts w:hint="eastAsia"/>
                      <w:lang w:val="pt-BR"/>
                    </w:rPr>
                  </w:pPr>
                  <w:r>
                    <w:rPr>
                      <w:rFonts w:hint="eastAsia"/>
                      <w:lang w:val="pt-BR"/>
                    </w:rPr>
                    <w:t>41</w:t>
                  </w:r>
                </w:p>
              </w:tc>
              <w:tc>
                <w:tcPr>
                  <w:tcW w:w="2573" w:type="dxa"/>
                  <w:vAlign w:val="center"/>
                </w:tcPr>
                <w:p w14:paraId="292B29FA">
                  <w:pPr>
                    <w:spacing w:line="0" w:lineRule="atLeast"/>
                    <w:ind w:left="-105" w:leftChars="-50" w:right="-105" w:rightChars="-50"/>
                    <w:jc w:val="center"/>
                    <w:rPr>
                      <w:rFonts w:hint="eastAsia"/>
                      <w:bCs/>
                      <w:snapToGrid w:val="0"/>
                      <w:kern w:val="24"/>
                      <w:szCs w:val="21"/>
                      <w:lang w:val="pt-BR"/>
                    </w:rPr>
                  </w:pPr>
                  <w:r>
                    <w:rPr>
                      <w:rFonts w:hint="eastAsia"/>
                      <w:bCs/>
                      <w:snapToGrid w:val="0"/>
                      <w:kern w:val="24"/>
                      <w:szCs w:val="21"/>
                      <w:lang w:val="pt-BR"/>
                    </w:rPr>
                    <w:t>并头黄芩</w:t>
                  </w:r>
                </w:p>
              </w:tc>
              <w:tc>
                <w:tcPr>
                  <w:tcW w:w="5217" w:type="dxa"/>
                  <w:vAlign w:val="center"/>
                </w:tcPr>
                <w:p w14:paraId="7D6556EE">
                  <w:pPr>
                    <w:spacing w:line="0" w:lineRule="atLeast"/>
                    <w:ind w:left="-105" w:leftChars="-50" w:right="-105" w:rightChars="-50"/>
                    <w:jc w:val="center"/>
                    <w:rPr>
                      <w:i/>
                      <w:color w:val="000000"/>
                      <w:szCs w:val="21"/>
                      <w:lang w:val="pt-BR"/>
                    </w:rPr>
                  </w:pPr>
                  <w:r>
                    <w:rPr>
                      <w:i/>
                      <w:color w:val="000000"/>
                      <w:szCs w:val="21"/>
                      <w:lang w:val="pt-BR"/>
                    </w:rPr>
                    <w:t xml:space="preserve">Scutellaria scordifolia </w:t>
                  </w:r>
                  <w:r>
                    <w:rPr>
                      <w:color w:val="000000"/>
                      <w:szCs w:val="21"/>
                      <w:lang w:val="pt-BR"/>
                    </w:rPr>
                    <w:t>Fisch</w:t>
                  </w:r>
                </w:p>
              </w:tc>
            </w:tr>
            <w:tr w14:paraId="7192087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5DA221ED">
                  <w:pPr>
                    <w:spacing w:line="0" w:lineRule="atLeast"/>
                    <w:jc w:val="center"/>
                    <w:rPr>
                      <w:rFonts w:hint="eastAsia"/>
                      <w:lang w:val="pt-BR"/>
                    </w:rPr>
                  </w:pPr>
                  <w:r>
                    <w:rPr>
                      <w:rFonts w:hint="eastAsia"/>
                      <w:lang w:val="pt-BR"/>
                    </w:rPr>
                    <w:t>十六</w:t>
                  </w:r>
                </w:p>
              </w:tc>
              <w:tc>
                <w:tcPr>
                  <w:tcW w:w="7790" w:type="dxa"/>
                  <w:gridSpan w:val="2"/>
                  <w:vAlign w:val="center"/>
                </w:tcPr>
                <w:p w14:paraId="5314538E">
                  <w:pPr>
                    <w:spacing w:line="0" w:lineRule="atLeast"/>
                    <w:ind w:left="-105" w:leftChars="-50" w:right="-105" w:rightChars="-50" w:firstLine="105" w:firstLineChars="50"/>
                    <w:rPr>
                      <w:bCs/>
                      <w:snapToGrid w:val="0"/>
                      <w:kern w:val="24"/>
                      <w:szCs w:val="21"/>
                      <w:lang w:val="pt-BR"/>
                    </w:rPr>
                  </w:pPr>
                  <w:r>
                    <w:rPr>
                      <w:rFonts w:hint="eastAsia"/>
                      <w:bCs/>
                      <w:snapToGrid w:val="0"/>
                      <w:kern w:val="24"/>
                      <w:szCs w:val="21"/>
                      <w:lang w:val="pt-BR"/>
                    </w:rPr>
                    <w:t xml:space="preserve">玄参科 </w:t>
                  </w:r>
                  <w:r>
                    <w:rPr>
                      <w:bCs/>
                      <w:i/>
                      <w:snapToGrid w:val="0"/>
                      <w:kern w:val="24"/>
                      <w:szCs w:val="21"/>
                      <w:lang w:val="pt-BR"/>
                    </w:rPr>
                    <w:t>Scrophulariaceae</w:t>
                  </w:r>
                </w:p>
              </w:tc>
            </w:tr>
            <w:tr w14:paraId="2240071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31311FC7">
                  <w:pPr>
                    <w:spacing w:line="0" w:lineRule="atLeast"/>
                    <w:jc w:val="center"/>
                    <w:rPr>
                      <w:rFonts w:hint="eastAsia"/>
                      <w:lang w:val="pt-BR"/>
                    </w:rPr>
                  </w:pPr>
                  <w:r>
                    <w:rPr>
                      <w:rFonts w:hint="eastAsia"/>
                      <w:lang w:val="pt-BR"/>
                    </w:rPr>
                    <w:t>42</w:t>
                  </w:r>
                </w:p>
              </w:tc>
              <w:tc>
                <w:tcPr>
                  <w:tcW w:w="2573" w:type="dxa"/>
                  <w:vAlign w:val="center"/>
                </w:tcPr>
                <w:p w14:paraId="03C9C776">
                  <w:pPr>
                    <w:spacing w:line="0" w:lineRule="atLeast"/>
                    <w:ind w:left="-105" w:leftChars="-50" w:right="-105" w:rightChars="-50"/>
                    <w:jc w:val="center"/>
                    <w:rPr>
                      <w:rFonts w:hint="eastAsia"/>
                      <w:bCs/>
                      <w:snapToGrid w:val="0"/>
                      <w:kern w:val="24"/>
                      <w:szCs w:val="21"/>
                      <w:lang w:val="pt-BR"/>
                    </w:rPr>
                  </w:pPr>
                  <w:r>
                    <w:rPr>
                      <w:rFonts w:hint="eastAsia"/>
                      <w:bCs/>
                      <w:snapToGrid w:val="0"/>
                      <w:kern w:val="24"/>
                      <w:szCs w:val="21"/>
                      <w:lang w:val="pt-BR"/>
                    </w:rPr>
                    <w:t>芯芭</w:t>
                  </w:r>
                </w:p>
              </w:tc>
              <w:tc>
                <w:tcPr>
                  <w:tcW w:w="5217" w:type="dxa"/>
                  <w:vAlign w:val="center"/>
                </w:tcPr>
                <w:p w14:paraId="7081D12D">
                  <w:pPr>
                    <w:spacing w:line="0" w:lineRule="atLeast"/>
                    <w:ind w:left="-105" w:leftChars="-50" w:right="-105" w:rightChars="-50"/>
                    <w:jc w:val="center"/>
                    <w:rPr>
                      <w:i/>
                      <w:color w:val="000000"/>
                      <w:szCs w:val="21"/>
                      <w:lang w:val="pt-BR"/>
                    </w:rPr>
                  </w:pPr>
                  <w:r>
                    <w:rPr>
                      <w:i/>
                      <w:color w:val="000000"/>
                      <w:szCs w:val="21"/>
                      <w:lang w:val="pt-BR"/>
                    </w:rPr>
                    <w:t xml:space="preserve">Cymbariadahurica </w:t>
                  </w:r>
                  <w:r>
                    <w:rPr>
                      <w:color w:val="000000"/>
                      <w:szCs w:val="21"/>
                      <w:lang w:val="pt-BR"/>
                    </w:rPr>
                    <w:t>L.</w:t>
                  </w:r>
                </w:p>
              </w:tc>
            </w:tr>
            <w:tr w14:paraId="68B5A18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287714E3">
                  <w:pPr>
                    <w:spacing w:line="0" w:lineRule="atLeast"/>
                    <w:jc w:val="center"/>
                    <w:rPr>
                      <w:rFonts w:hint="eastAsia"/>
                      <w:lang w:val="pt-BR"/>
                    </w:rPr>
                  </w:pPr>
                  <w:r>
                    <w:rPr>
                      <w:rFonts w:hint="eastAsia"/>
                      <w:lang w:val="pt-BR"/>
                    </w:rPr>
                    <w:t>43</w:t>
                  </w:r>
                </w:p>
              </w:tc>
              <w:tc>
                <w:tcPr>
                  <w:tcW w:w="2573" w:type="dxa"/>
                  <w:vAlign w:val="center"/>
                </w:tcPr>
                <w:p w14:paraId="136EC15B">
                  <w:pPr>
                    <w:spacing w:line="0" w:lineRule="atLeast"/>
                    <w:ind w:left="-105" w:leftChars="-50" w:right="-105" w:rightChars="-50"/>
                    <w:jc w:val="center"/>
                    <w:rPr>
                      <w:rFonts w:hint="eastAsia"/>
                      <w:bCs/>
                      <w:snapToGrid w:val="0"/>
                      <w:kern w:val="24"/>
                      <w:szCs w:val="21"/>
                      <w:lang w:val="pt-BR"/>
                    </w:rPr>
                  </w:pPr>
                  <w:r>
                    <w:rPr>
                      <w:rFonts w:hint="eastAsia"/>
                      <w:bCs/>
                      <w:snapToGrid w:val="0"/>
                      <w:kern w:val="24"/>
                      <w:szCs w:val="21"/>
                      <w:lang w:val="pt-BR"/>
                    </w:rPr>
                    <w:t>柳穿鱼</w:t>
                  </w:r>
                </w:p>
              </w:tc>
              <w:tc>
                <w:tcPr>
                  <w:tcW w:w="5217" w:type="dxa"/>
                  <w:vAlign w:val="center"/>
                </w:tcPr>
                <w:p w14:paraId="3B8EF250">
                  <w:pPr>
                    <w:spacing w:line="0" w:lineRule="atLeast"/>
                    <w:ind w:left="-105" w:leftChars="-50" w:right="-105" w:rightChars="-50"/>
                    <w:jc w:val="center"/>
                    <w:rPr>
                      <w:i/>
                      <w:color w:val="000000"/>
                      <w:szCs w:val="21"/>
                      <w:lang w:val="pt-BR"/>
                    </w:rPr>
                  </w:pPr>
                  <w:r>
                    <w:rPr>
                      <w:i/>
                      <w:color w:val="000000"/>
                      <w:szCs w:val="21"/>
                      <w:lang w:val="pt-BR"/>
                    </w:rPr>
                    <w:t xml:space="preserve">Linaria vulgaris </w:t>
                  </w:r>
                  <w:r>
                    <w:rPr>
                      <w:color w:val="000000"/>
                      <w:szCs w:val="21"/>
                      <w:lang w:val="pt-BR"/>
                    </w:rPr>
                    <w:t>Mill.</w:t>
                  </w:r>
                </w:p>
              </w:tc>
            </w:tr>
            <w:tr w14:paraId="50B9C32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6C742DA0">
                  <w:pPr>
                    <w:spacing w:line="0" w:lineRule="atLeast"/>
                    <w:jc w:val="center"/>
                    <w:rPr>
                      <w:rFonts w:hint="eastAsia"/>
                      <w:lang w:val="pt-BR"/>
                    </w:rPr>
                  </w:pPr>
                  <w:r>
                    <w:rPr>
                      <w:rFonts w:hint="eastAsia"/>
                      <w:lang w:val="pt-BR"/>
                    </w:rPr>
                    <w:t>44</w:t>
                  </w:r>
                </w:p>
              </w:tc>
              <w:tc>
                <w:tcPr>
                  <w:tcW w:w="2573" w:type="dxa"/>
                  <w:vAlign w:val="center"/>
                </w:tcPr>
                <w:p w14:paraId="247B44AA">
                  <w:pPr>
                    <w:spacing w:line="0" w:lineRule="atLeast"/>
                    <w:ind w:left="-105" w:leftChars="-50" w:right="-105" w:rightChars="-50"/>
                    <w:jc w:val="center"/>
                    <w:rPr>
                      <w:rFonts w:hint="eastAsia"/>
                      <w:bCs/>
                      <w:snapToGrid w:val="0"/>
                      <w:kern w:val="24"/>
                      <w:szCs w:val="21"/>
                      <w:lang w:val="pt-BR"/>
                    </w:rPr>
                  </w:pPr>
                  <w:r>
                    <w:rPr>
                      <w:rFonts w:hint="eastAsia"/>
                      <w:bCs/>
                      <w:snapToGrid w:val="0"/>
                      <w:kern w:val="24"/>
                      <w:szCs w:val="21"/>
                      <w:lang w:val="pt-BR"/>
                    </w:rPr>
                    <w:t>红纹马先蒿</w:t>
                  </w:r>
                </w:p>
              </w:tc>
              <w:tc>
                <w:tcPr>
                  <w:tcW w:w="5217" w:type="dxa"/>
                  <w:vAlign w:val="center"/>
                </w:tcPr>
                <w:p w14:paraId="33AA7F4D">
                  <w:pPr>
                    <w:spacing w:line="0" w:lineRule="atLeast"/>
                    <w:ind w:left="-105" w:leftChars="-50" w:right="-105" w:rightChars="-50"/>
                    <w:jc w:val="center"/>
                    <w:rPr>
                      <w:i/>
                      <w:color w:val="000000"/>
                      <w:szCs w:val="21"/>
                      <w:lang w:val="pt-BR"/>
                    </w:rPr>
                  </w:pPr>
                  <w:r>
                    <w:rPr>
                      <w:i/>
                      <w:color w:val="000000"/>
                      <w:szCs w:val="21"/>
                      <w:lang w:val="pt-BR"/>
                    </w:rPr>
                    <w:t xml:space="preserve">Pedicularis sfriata </w:t>
                  </w:r>
                  <w:r>
                    <w:rPr>
                      <w:color w:val="000000"/>
                      <w:szCs w:val="21"/>
                      <w:lang w:val="pt-BR"/>
                    </w:rPr>
                    <w:t>Pall.</w:t>
                  </w:r>
                </w:p>
              </w:tc>
            </w:tr>
            <w:tr w14:paraId="286A702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7EF70081">
                  <w:pPr>
                    <w:spacing w:line="0" w:lineRule="atLeast"/>
                    <w:jc w:val="center"/>
                    <w:rPr>
                      <w:rFonts w:hint="eastAsia"/>
                      <w:lang w:val="pt-BR"/>
                    </w:rPr>
                  </w:pPr>
                  <w:r>
                    <w:rPr>
                      <w:rFonts w:hint="eastAsia"/>
                      <w:lang w:val="pt-BR"/>
                    </w:rPr>
                    <w:t>45</w:t>
                  </w:r>
                </w:p>
              </w:tc>
              <w:tc>
                <w:tcPr>
                  <w:tcW w:w="2573" w:type="dxa"/>
                  <w:vAlign w:val="center"/>
                </w:tcPr>
                <w:p w14:paraId="02972D9D">
                  <w:pPr>
                    <w:spacing w:line="0" w:lineRule="atLeast"/>
                    <w:ind w:left="-105" w:leftChars="-50" w:right="-105" w:rightChars="-50"/>
                    <w:jc w:val="center"/>
                    <w:rPr>
                      <w:rFonts w:hint="eastAsia"/>
                      <w:bCs/>
                      <w:snapToGrid w:val="0"/>
                      <w:kern w:val="24"/>
                      <w:szCs w:val="21"/>
                      <w:lang w:val="pt-BR"/>
                    </w:rPr>
                  </w:pPr>
                  <w:r>
                    <w:rPr>
                      <w:rFonts w:hint="eastAsia"/>
                      <w:bCs/>
                      <w:snapToGrid w:val="0"/>
                      <w:kern w:val="24"/>
                      <w:szCs w:val="21"/>
                      <w:lang w:val="pt-BR"/>
                    </w:rPr>
                    <w:t>白婆婆纳</w:t>
                  </w:r>
                </w:p>
              </w:tc>
              <w:tc>
                <w:tcPr>
                  <w:tcW w:w="5217" w:type="dxa"/>
                  <w:vAlign w:val="center"/>
                </w:tcPr>
                <w:p w14:paraId="1ACFA4A5">
                  <w:pPr>
                    <w:spacing w:line="0" w:lineRule="atLeast"/>
                    <w:ind w:left="-105" w:leftChars="-50" w:right="-105" w:rightChars="-50"/>
                    <w:jc w:val="center"/>
                    <w:rPr>
                      <w:i/>
                      <w:color w:val="000000"/>
                      <w:szCs w:val="21"/>
                      <w:lang w:val="pt-BR"/>
                    </w:rPr>
                  </w:pPr>
                  <w:r>
                    <w:rPr>
                      <w:i/>
                      <w:color w:val="000000"/>
                      <w:szCs w:val="21"/>
                      <w:lang w:val="pt-BR"/>
                    </w:rPr>
                    <w:t xml:space="preserve">Veronica incana </w:t>
                  </w:r>
                  <w:r>
                    <w:rPr>
                      <w:color w:val="000000"/>
                      <w:szCs w:val="21"/>
                      <w:lang w:val="pt-BR"/>
                    </w:rPr>
                    <w:t>Linn.</w:t>
                  </w:r>
                </w:p>
              </w:tc>
            </w:tr>
            <w:tr w14:paraId="3124C78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6AFFB1BB">
                  <w:pPr>
                    <w:spacing w:line="0" w:lineRule="atLeast"/>
                    <w:jc w:val="center"/>
                    <w:rPr>
                      <w:rFonts w:hint="eastAsia"/>
                      <w:lang w:val="pt-BR"/>
                    </w:rPr>
                  </w:pPr>
                  <w:r>
                    <w:rPr>
                      <w:rFonts w:hint="eastAsia"/>
                      <w:lang w:val="pt-BR"/>
                    </w:rPr>
                    <w:t>十七</w:t>
                  </w:r>
                </w:p>
              </w:tc>
              <w:tc>
                <w:tcPr>
                  <w:tcW w:w="7790" w:type="dxa"/>
                  <w:gridSpan w:val="2"/>
                  <w:vAlign w:val="center"/>
                </w:tcPr>
                <w:p w14:paraId="26311223">
                  <w:pPr>
                    <w:spacing w:line="0" w:lineRule="atLeast"/>
                    <w:ind w:left="-105" w:leftChars="-50" w:right="-105" w:rightChars="-50" w:firstLine="105" w:firstLineChars="50"/>
                    <w:rPr>
                      <w:bCs/>
                      <w:snapToGrid w:val="0"/>
                      <w:kern w:val="24"/>
                      <w:szCs w:val="21"/>
                      <w:lang w:val="pt-BR"/>
                    </w:rPr>
                  </w:pPr>
                  <w:r>
                    <w:rPr>
                      <w:rFonts w:hint="eastAsia"/>
                      <w:bCs/>
                      <w:snapToGrid w:val="0"/>
                      <w:kern w:val="24"/>
                      <w:szCs w:val="21"/>
                      <w:lang w:val="pt-BR"/>
                    </w:rPr>
                    <w:t xml:space="preserve">茜草科 </w:t>
                  </w:r>
                  <w:r>
                    <w:rPr>
                      <w:bCs/>
                      <w:i/>
                      <w:snapToGrid w:val="0"/>
                      <w:kern w:val="24"/>
                      <w:szCs w:val="21"/>
                      <w:lang w:val="pt-BR"/>
                    </w:rPr>
                    <w:t>Rubiaceae</w:t>
                  </w:r>
                </w:p>
              </w:tc>
            </w:tr>
            <w:tr w14:paraId="2828D20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09F57296">
                  <w:pPr>
                    <w:spacing w:line="0" w:lineRule="atLeast"/>
                    <w:jc w:val="center"/>
                    <w:rPr>
                      <w:rFonts w:hint="eastAsia"/>
                      <w:lang w:val="pt-BR"/>
                    </w:rPr>
                  </w:pPr>
                  <w:r>
                    <w:rPr>
                      <w:rFonts w:hint="eastAsia"/>
                      <w:lang w:val="pt-BR"/>
                    </w:rPr>
                    <w:t>46</w:t>
                  </w:r>
                </w:p>
              </w:tc>
              <w:tc>
                <w:tcPr>
                  <w:tcW w:w="2573" w:type="dxa"/>
                  <w:vAlign w:val="center"/>
                </w:tcPr>
                <w:p w14:paraId="02CF8033">
                  <w:pPr>
                    <w:spacing w:line="0" w:lineRule="atLeast"/>
                    <w:ind w:left="-105" w:leftChars="-50" w:right="-105" w:rightChars="-50"/>
                    <w:jc w:val="center"/>
                    <w:rPr>
                      <w:rFonts w:hint="eastAsia"/>
                      <w:bCs/>
                      <w:snapToGrid w:val="0"/>
                      <w:kern w:val="24"/>
                      <w:szCs w:val="21"/>
                      <w:lang w:val="pt-BR"/>
                    </w:rPr>
                  </w:pPr>
                  <w:r>
                    <w:rPr>
                      <w:rFonts w:hint="eastAsia"/>
                      <w:bCs/>
                      <w:snapToGrid w:val="0"/>
                      <w:kern w:val="24"/>
                      <w:szCs w:val="21"/>
                      <w:lang w:val="pt-BR"/>
                    </w:rPr>
                    <w:t>蓬子菜</w:t>
                  </w:r>
                </w:p>
              </w:tc>
              <w:tc>
                <w:tcPr>
                  <w:tcW w:w="5217" w:type="dxa"/>
                  <w:vAlign w:val="center"/>
                </w:tcPr>
                <w:p w14:paraId="2974BFC5">
                  <w:pPr>
                    <w:spacing w:line="0" w:lineRule="atLeast"/>
                    <w:ind w:left="-105" w:leftChars="-50" w:right="-105" w:rightChars="-50"/>
                    <w:jc w:val="center"/>
                    <w:rPr>
                      <w:rFonts w:hint="eastAsia"/>
                      <w:i/>
                      <w:color w:val="000000"/>
                      <w:szCs w:val="21"/>
                      <w:lang w:val="pt-BR"/>
                    </w:rPr>
                  </w:pPr>
                  <w:r>
                    <w:rPr>
                      <w:rFonts w:hint="eastAsia"/>
                      <w:i/>
                      <w:color w:val="000000"/>
                      <w:szCs w:val="21"/>
                      <w:lang w:val="pt-BR"/>
                    </w:rPr>
                    <w:t xml:space="preserve">Galiun uerun </w:t>
                  </w:r>
                  <w:r>
                    <w:rPr>
                      <w:rFonts w:hint="eastAsia"/>
                      <w:color w:val="000000"/>
                      <w:szCs w:val="21"/>
                      <w:lang w:val="pt-BR"/>
                    </w:rPr>
                    <w:t>L.</w:t>
                  </w:r>
                </w:p>
              </w:tc>
            </w:tr>
            <w:tr w14:paraId="03571F6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6EB87E65">
                  <w:pPr>
                    <w:spacing w:line="0" w:lineRule="atLeast"/>
                    <w:jc w:val="center"/>
                    <w:rPr>
                      <w:rFonts w:hint="eastAsia"/>
                      <w:lang w:val="pt-BR"/>
                    </w:rPr>
                  </w:pPr>
                  <w:r>
                    <w:rPr>
                      <w:rFonts w:hint="eastAsia"/>
                      <w:lang w:val="pt-BR"/>
                    </w:rPr>
                    <w:t>十八</w:t>
                  </w:r>
                </w:p>
              </w:tc>
              <w:tc>
                <w:tcPr>
                  <w:tcW w:w="7790" w:type="dxa"/>
                  <w:gridSpan w:val="2"/>
                  <w:vAlign w:val="center"/>
                </w:tcPr>
                <w:p w14:paraId="0B64E245">
                  <w:pPr>
                    <w:spacing w:line="0" w:lineRule="atLeast"/>
                    <w:ind w:left="-105" w:leftChars="-50" w:right="-105" w:rightChars="-50" w:firstLine="105" w:firstLineChars="50"/>
                    <w:rPr>
                      <w:bCs/>
                      <w:snapToGrid w:val="0"/>
                      <w:kern w:val="24"/>
                      <w:szCs w:val="21"/>
                      <w:lang w:val="pt-BR"/>
                    </w:rPr>
                  </w:pPr>
                  <w:r>
                    <w:rPr>
                      <w:rFonts w:hint="eastAsia"/>
                      <w:bCs/>
                      <w:snapToGrid w:val="0"/>
                      <w:kern w:val="24"/>
                      <w:szCs w:val="21"/>
                      <w:lang w:val="pt-BR"/>
                    </w:rPr>
                    <w:t xml:space="preserve">川续断科 </w:t>
                  </w:r>
                  <w:r>
                    <w:rPr>
                      <w:bCs/>
                      <w:i/>
                      <w:snapToGrid w:val="0"/>
                      <w:kern w:val="24"/>
                      <w:szCs w:val="21"/>
                      <w:lang w:val="pt-BR"/>
                    </w:rPr>
                    <w:t>Dipsacus</w:t>
                  </w:r>
                </w:p>
              </w:tc>
            </w:tr>
            <w:tr w14:paraId="00E8558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4618DF20">
                  <w:pPr>
                    <w:spacing w:line="0" w:lineRule="atLeast"/>
                    <w:jc w:val="center"/>
                    <w:rPr>
                      <w:rFonts w:hint="eastAsia"/>
                      <w:lang w:val="pt-BR"/>
                    </w:rPr>
                  </w:pPr>
                  <w:r>
                    <w:rPr>
                      <w:rFonts w:hint="eastAsia"/>
                      <w:lang w:val="pt-BR"/>
                    </w:rPr>
                    <w:t>47</w:t>
                  </w:r>
                </w:p>
              </w:tc>
              <w:tc>
                <w:tcPr>
                  <w:tcW w:w="2573" w:type="dxa"/>
                  <w:vAlign w:val="center"/>
                </w:tcPr>
                <w:p w14:paraId="4C6EDF37">
                  <w:pPr>
                    <w:spacing w:line="0" w:lineRule="atLeast"/>
                    <w:ind w:left="-105" w:leftChars="-50" w:right="-105" w:rightChars="-50"/>
                    <w:jc w:val="center"/>
                    <w:rPr>
                      <w:rFonts w:hint="eastAsia"/>
                      <w:bCs/>
                      <w:snapToGrid w:val="0"/>
                      <w:kern w:val="24"/>
                      <w:szCs w:val="21"/>
                      <w:lang w:val="pt-BR"/>
                    </w:rPr>
                  </w:pPr>
                  <w:r>
                    <w:rPr>
                      <w:rFonts w:hint="eastAsia"/>
                      <w:bCs/>
                      <w:snapToGrid w:val="0"/>
                      <w:kern w:val="24"/>
                      <w:szCs w:val="21"/>
                      <w:lang w:val="pt-BR"/>
                    </w:rPr>
                    <w:t>窄叶兰盆花</w:t>
                  </w:r>
                </w:p>
              </w:tc>
              <w:tc>
                <w:tcPr>
                  <w:tcW w:w="5217" w:type="dxa"/>
                  <w:vAlign w:val="center"/>
                </w:tcPr>
                <w:p w14:paraId="372B42AF">
                  <w:pPr>
                    <w:spacing w:line="0" w:lineRule="atLeast"/>
                    <w:ind w:left="-105" w:leftChars="-50" w:right="-105" w:rightChars="-50"/>
                    <w:jc w:val="center"/>
                    <w:rPr>
                      <w:rFonts w:hint="eastAsia"/>
                      <w:i/>
                      <w:color w:val="000000"/>
                      <w:szCs w:val="21"/>
                      <w:lang w:val="pt-BR"/>
                    </w:rPr>
                  </w:pPr>
                  <w:r>
                    <w:rPr>
                      <w:rFonts w:hint="eastAsia"/>
                      <w:i/>
                      <w:color w:val="000000"/>
                      <w:szCs w:val="21"/>
                      <w:lang w:val="pt-BR"/>
                    </w:rPr>
                    <w:t xml:space="preserve">Scabiosa gomosa </w:t>
                  </w:r>
                  <w:r>
                    <w:rPr>
                      <w:rFonts w:hint="eastAsia"/>
                      <w:color w:val="000000"/>
                      <w:szCs w:val="21"/>
                      <w:lang w:val="pt-BR"/>
                    </w:rPr>
                    <w:t>Fisch</w:t>
                  </w:r>
                </w:p>
              </w:tc>
            </w:tr>
            <w:tr w14:paraId="40B8D09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7659B4D6">
                  <w:pPr>
                    <w:spacing w:line="0" w:lineRule="atLeast"/>
                    <w:jc w:val="center"/>
                    <w:rPr>
                      <w:rFonts w:hint="eastAsia"/>
                      <w:lang w:val="pt-BR"/>
                    </w:rPr>
                  </w:pPr>
                  <w:r>
                    <w:rPr>
                      <w:rFonts w:hint="eastAsia"/>
                      <w:lang w:val="pt-BR"/>
                    </w:rPr>
                    <w:t>十九</w:t>
                  </w:r>
                </w:p>
              </w:tc>
              <w:tc>
                <w:tcPr>
                  <w:tcW w:w="7790" w:type="dxa"/>
                  <w:gridSpan w:val="2"/>
                  <w:vAlign w:val="center"/>
                </w:tcPr>
                <w:p w14:paraId="5DD043FE">
                  <w:pPr>
                    <w:spacing w:line="0" w:lineRule="atLeast"/>
                    <w:ind w:left="-105" w:leftChars="-50" w:right="-105" w:rightChars="-50" w:firstLine="105" w:firstLineChars="50"/>
                    <w:rPr>
                      <w:bCs/>
                      <w:snapToGrid w:val="0"/>
                      <w:kern w:val="24"/>
                      <w:szCs w:val="21"/>
                      <w:lang w:val="pt-BR"/>
                    </w:rPr>
                  </w:pPr>
                  <w:r>
                    <w:rPr>
                      <w:rFonts w:hint="eastAsia"/>
                      <w:bCs/>
                      <w:snapToGrid w:val="0"/>
                      <w:kern w:val="24"/>
                      <w:szCs w:val="21"/>
                      <w:lang w:val="pt-BR"/>
                    </w:rPr>
                    <w:t xml:space="preserve">桔梗科 </w:t>
                  </w:r>
                  <w:r>
                    <w:rPr>
                      <w:bCs/>
                      <w:i/>
                      <w:snapToGrid w:val="0"/>
                      <w:kern w:val="24"/>
                      <w:szCs w:val="21"/>
                      <w:lang w:val="pt-BR"/>
                    </w:rPr>
                    <w:t>Campanulaceae</w:t>
                  </w:r>
                </w:p>
              </w:tc>
            </w:tr>
            <w:tr w14:paraId="2B147DE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17E2BAA9">
                  <w:pPr>
                    <w:spacing w:line="0" w:lineRule="atLeast"/>
                    <w:jc w:val="center"/>
                    <w:rPr>
                      <w:rFonts w:hint="eastAsia"/>
                      <w:lang w:val="pt-BR"/>
                    </w:rPr>
                  </w:pPr>
                  <w:r>
                    <w:rPr>
                      <w:rFonts w:hint="eastAsia"/>
                      <w:lang w:val="pt-BR"/>
                    </w:rPr>
                    <w:t>48</w:t>
                  </w:r>
                </w:p>
              </w:tc>
              <w:tc>
                <w:tcPr>
                  <w:tcW w:w="2573" w:type="dxa"/>
                  <w:vAlign w:val="center"/>
                </w:tcPr>
                <w:p w14:paraId="43BAF055">
                  <w:pPr>
                    <w:spacing w:line="0" w:lineRule="atLeast"/>
                    <w:ind w:left="-105" w:leftChars="-50" w:right="-105" w:rightChars="-50"/>
                    <w:jc w:val="center"/>
                    <w:rPr>
                      <w:rFonts w:hint="eastAsia"/>
                      <w:bCs/>
                      <w:snapToGrid w:val="0"/>
                      <w:kern w:val="24"/>
                      <w:szCs w:val="21"/>
                      <w:lang w:val="pt-BR"/>
                    </w:rPr>
                  </w:pPr>
                  <w:r>
                    <w:rPr>
                      <w:rFonts w:hint="eastAsia"/>
                      <w:bCs/>
                      <w:snapToGrid w:val="0"/>
                      <w:kern w:val="24"/>
                      <w:szCs w:val="21"/>
                      <w:lang w:val="pt-BR"/>
                    </w:rPr>
                    <w:t>长柱沙参</w:t>
                  </w:r>
                </w:p>
              </w:tc>
              <w:tc>
                <w:tcPr>
                  <w:tcW w:w="5217" w:type="dxa"/>
                  <w:vAlign w:val="center"/>
                </w:tcPr>
                <w:p w14:paraId="4C2C8681">
                  <w:pPr>
                    <w:spacing w:line="0" w:lineRule="atLeast"/>
                    <w:ind w:left="-105" w:leftChars="-50" w:right="-105" w:rightChars="-50"/>
                    <w:jc w:val="center"/>
                    <w:rPr>
                      <w:i/>
                      <w:color w:val="000000"/>
                      <w:szCs w:val="21"/>
                    </w:rPr>
                  </w:pPr>
                  <w:r>
                    <w:rPr>
                      <w:rFonts w:hint="eastAsia"/>
                      <w:i/>
                      <w:color w:val="000000"/>
                      <w:szCs w:val="21"/>
                    </w:rPr>
                    <w:t>Adenophora stenanthina</w:t>
                  </w:r>
                  <w:r>
                    <w:rPr>
                      <w:rFonts w:hint="eastAsia"/>
                      <w:color w:val="000000"/>
                      <w:szCs w:val="21"/>
                    </w:rPr>
                    <w:t>（Ledeb.）Kitagawa</w:t>
                  </w:r>
                </w:p>
              </w:tc>
            </w:tr>
            <w:tr w14:paraId="1E83BFB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1E3049AD">
                  <w:pPr>
                    <w:spacing w:line="0" w:lineRule="atLeast"/>
                    <w:jc w:val="center"/>
                    <w:rPr>
                      <w:rFonts w:hint="eastAsia"/>
                    </w:rPr>
                  </w:pPr>
                  <w:r>
                    <w:rPr>
                      <w:rFonts w:hint="eastAsia"/>
                    </w:rPr>
                    <w:t>二十</w:t>
                  </w:r>
                </w:p>
              </w:tc>
              <w:tc>
                <w:tcPr>
                  <w:tcW w:w="7790" w:type="dxa"/>
                  <w:gridSpan w:val="2"/>
                  <w:vAlign w:val="center"/>
                </w:tcPr>
                <w:p w14:paraId="4E3528B2">
                  <w:pPr>
                    <w:spacing w:line="0" w:lineRule="atLeast"/>
                    <w:ind w:left="-105" w:leftChars="-50" w:right="-105" w:rightChars="-50"/>
                    <w:rPr>
                      <w:rFonts w:hint="eastAsia"/>
                      <w:color w:val="000000"/>
                      <w:szCs w:val="21"/>
                    </w:rPr>
                  </w:pPr>
                  <w:r>
                    <w:rPr>
                      <w:rFonts w:hint="eastAsia"/>
                      <w:color w:val="000000"/>
                      <w:szCs w:val="21"/>
                    </w:rPr>
                    <w:t xml:space="preserve"> 菊科 </w:t>
                  </w:r>
                  <w:r>
                    <w:rPr>
                      <w:rFonts w:hint="eastAsia"/>
                      <w:i/>
                      <w:color w:val="000000"/>
                      <w:szCs w:val="21"/>
                    </w:rPr>
                    <w:t>Compositae</w:t>
                  </w:r>
                </w:p>
              </w:tc>
            </w:tr>
            <w:tr w14:paraId="1EC2456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2F20B420">
                  <w:pPr>
                    <w:spacing w:line="0" w:lineRule="atLeast"/>
                    <w:jc w:val="center"/>
                    <w:rPr>
                      <w:rFonts w:hint="eastAsia"/>
                    </w:rPr>
                  </w:pPr>
                  <w:r>
                    <w:rPr>
                      <w:rFonts w:hint="eastAsia"/>
                    </w:rPr>
                    <w:t>49</w:t>
                  </w:r>
                </w:p>
              </w:tc>
              <w:tc>
                <w:tcPr>
                  <w:tcW w:w="2573" w:type="dxa"/>
                  <w:vAlign w:val="center"/>
                </w:tcPr>
                <w:p w14:paraId="17154D66">
                  <w:pPr>
                    <w:spacing w:line="0" w:lineRule="atLeast"/>
                    <w:ind w:left="-105" w:leftChars="-50" w:right="-105" w:rightChars="-50"/>
                    <w:jc w:val="center"/>
                    <w:rPr>
                      <w:rFonts w:hint="eastAsia"/>
                      <w:bCs/>
                      <w:snapToGrid w:val="0"/>
                      <w:kern w:val="24"/>
                      <w:szCs w:val="21"/>
                    </w:rPr>
                  </w:pPr>
                  <w:r>
                    <w:rPr>
                      <w:rFonts w:hint="eastAsia"/>
                      <w:bCs/>
                      <w:snapToGrid w:val="0"/>
                      <w:kern w:val="24"/>
                      <w:szCs w:val="21"/>
                    </w:rPr>
                    <w:t>黄花蒿</w:t>
                  </w:r>
                </w:p>
              </w:tc>
              <w:tc>
                <w:tcPr>
                  <w:tcW w:w="5217" w:type="dxa"/>
                  <w:vAlign w:val="center"/>
                </w:tcPr>
                <w:p w14:paraId="729E9E67">
                  <w:pPr>
                    <w:spacing w:line="0" w:lineRule="atLeast"/>
                    <w:ind w:left="-105" w:leftChars="-50" w:right="-105" w:rightChars="-50"/>
                    <w:jc w:val="center"/>
                    <w:rPr>
                      <w:rFonts w:hint="eastAsia"/>
                      <w:color w:val="000000"/>
                      <w:szCs w:val="21"/>
                    </w:rPr>
                  </w:pPr>
                  <w:r>
                    <w:rPr>
                      <w:i/>
                      <w:color w:val="000000"/>
                      <w:szCs w:val="21"/>
                    </w:rPr>
                    <w:t xml:space="preserve">Artemisia annua </w:t>
                  </w:r>
                  <w:r>
                    <w:rPr>
                      <w:color w:val="000000"/>
                      <w:szCs w:val="21"/>
                    </w:rPr>
                    <w:t>Linn.</w:t>
                  </w:r>
                </w:p>
              </w:tc>
            </w:tr>
            <w:tr w14:paraId="6B0EAAB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647DDB6A">
                  <w:pPr>
                    <w:spacing w:line="0" w:lineRule="atLeast"/>
                    <w:jc w:val="center"/>
                    <w:rPr>
                      <w:rFonts w:hint="eastAsia"/>
                    </w:rPr>
                  </w:pPr>
                  <w:r>
                    <w:rPr>
                      <w:rFonts w:hint="eastAsia"/>
                    </w:rPr>
                    <w:t>50</w:t>
                  </w:r>
                </w:p>
              </w:tc>
              <w:tc>
                <w:tcPr>
                  <w:tcW w:w="2573" w:type="dxa"/>
                  <w:vAlign w:val="center"/>
                </w:tcPr>
                <w:p w14:paraId="08EC4529">
                  <w:pPr>
                    <w:spacing w:line="0" w:lineRule="atLeast"/>
                    <w:ind w:left="-105" w:leftChars="-50" w:right="-105" w:rightChars="-50"/>
                    <w:jc w:val="center"/>
                    <w:rPr>
                      <w:rFonts w:hint="eastAsia"/>
                      <w:bCs/>
                      <w:snapToGrid w:val="0"/>
                      <w:kern w:val="24"/>
                      <w:szCs w:val="21"/>
                    </w:rPr>
                  </w:pPr>
                  <w:r>
                    <w:rPr>
                      <w:rFonts w:hint="eastAsia"/>
                      <w:bCs/>
                      <w:snapToGrid w:val="0"/>
                      <w:kern w:val="24"/>
                      <w:szCs w:val="21"/>
                    </w:rPr>
                    <w:t>变蒿</w:t>
                  </w:r>
                </w:p>
              </w:tc>
              <w:tc>
                <w:tcPr>
                  <w:tcW w:w="5217" w:type="dxa"/>
                  <w:vAlign w:val="center"/>
                </w:tcPr>
                <w:p w14:paraId="3C20A3E1">
                  <w:pPr>
                    <w:spacing w:line="0" w:lineRule="atLeast"/>
                    <w:ind w:left="-105" w:leftChars="-50" w:right="-105" w:rightChars="-50"/>
                    <w:jc w:val="center"/>
                    <w:rPr>
                      <w:i/>
                      <w:color w:val="000000"/>
                      <w:szCs w:val="21"/>
                    </w:rPr>
                  </w:pPr>
                  <w:r>
                    <w:rPr>
                      <w:i/>
                      <w:color w:val="000000"/>
                      <w:szCs w:val="21"/>
                    </w:rPr>
                    <w:t>Artemisia commutata</w:t>
                  </w:r>
                </w:p>
              </w:tc>
            </w:tr>
            <w:tr w14:paraId="1A35E62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2B60AABF">
                  <w:pPr>
                    <w:spacing w:line="0" w:lineRule="atLeast"/>
                    <w:jc w:val="center"/>
                    <w:rPr>
                      <w:rFonts w:hint="eastAsia"/>
                    </w:rPr>
                  </w:pPr>
                  <w:r>
                    <w:rPr>
                      <w:rFonts w:hint="eastAsia"/>
                    </w:rPr>
                    <w:t>51</w:t>
                  </w:r>
                </w:p>
              </w:tc>
              <w:tc>
                <w:tcPr>
                  <w:tcW w:w="2573" w:type="dxa"/>
                  <w:vAlign w:val="center"/>
                </w:tcPr>
                <w:p w14:paraId="01DD0711">
                  <w:pPr>
                    <w:spacing w:line="0" w:lineRule="atLeast"/>
                    <w:ind w:left="-105" w:leftChars="-50" w:right="-105" w:rightChars="-50"/>
                    <w:jc w:val="center"/>
                    <w:rPr>
                      <w:rFonts w:hint="eastAsia"/>
                      <w:bCs/>
                      <w:snapToGrid w:val="0"/>
                      <w:kern w:val="24"/>
                      <w:szCs w:val="21"/>
                    </w:rPr>
                  </w:pPr>
                  <w:r>
                    <w:rPr>
                      <w:rFonts w:hint="eastAsia"/>
                      <w:bCs/>
                      <w:snapToGrid w:val="0"/>
                      <w:kern w:val="24"/>
                      <w:szCs w:val="21"/>
                    </w:rPr>
                    <w:t>冷蒿</w:t>
                  </w:r>
                </w:p>
              </w:tc>
              <w:tc>
                <w:tcPr>
                  <w:tcW w:w="5217" w:type="dxa"/>
                  <w:vAlign w:val="center"/>
                </w:tcPr>
                <w:p w14:paraId="12A5CDFB">
                  <w:pPr>
                    <w:spacing w:line="0" w:lineRule="atLeast"/>
                    <w:ind w:left="-105" w:leftChars="-50" w:right="-105" w:rightChars="-50"/>
                    <w:jc w:val="center"/>
                    <w:rPr>
                      <w:i/>
                      <w:color w:val="000000"/>
                      <w:szCs w:val="21"/>
                    </w:rPr>
                  </w:pPr>
                  <w:r>
                    <w:rPr>
                      <w:i/>
                      <w:color w:val="000000"/>
                      <w:szCs w:val="21"/>
                    </w:rPr>
                    <w:t xml:space="preserve">Artemisia frigida </w:t>
                  </w:r>
                  <w:r>
                    <w:rPr>
                      <w:color w:val="000000"/>
                      <w:szCs w:val="21"/>
                    </w:rPr>
                    <w:t>Willd.</w:t>
                  </w:r>
                </w:p>
              </w:tc>
            </w:tr>
            <w:tr w14:paraId="24F9336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3CEB39FE">
                  <w:pPr>
                    <w:spacing w:line="0" w:lineRule="atLeast"/>
                    <w:jc w:val="center"/>
                    <w:rPr>
                      <w:rFonts w:hint="eastAsia"/>
                    </w:rPr>
                  </w:pPr>
                  <w:r>
                    <w:rPr>
                      <w:rFonts w:hint="eastAsia"/>
                    </w:rPr>
                    <w:t>52</w:t>
                  </w:r>
                </w:p>
              </w:tc>
              <w:tc>
                <w:tcPr>
                  <w:tcW w:w="2573" w:type="dxa"/>
                  <w:vAlign w:val="center"/>
                </w:tcPr>
                <w:p w14:paraId="538EFC1D">
                  <w:pPr>
                    <w:spacing w:line="0" w:lineRule="atLeast"/>
                    <w:ind w:left="-105" w:leftChars="-50" w:right="-105" w:rightChars="-50"/>
                    <w:jc w:val="center"/>
                    <w:rPr>
                      <w:rFonts w:hint="eastAsia"/>
                      <w:bCs/>
                      <w:snapToGrid w:val="0"/>
                      <w:kern w:val="24"/>
                      <w:szCs w:val="21"/>
                    </w:rPr>
                  </w:pPr>
                  <w:r>
                    <w:rPr>
                      <w:rFonts w:hint="eastAsia"/>
                      <w:bCs/>
                      <w:snapToGrid w:val="0"/>
                      <w:kern w:val="24"/>
                      <w:szCs w:val="21"/>
                    </w:rPr>
                    <w:t>铁杆蒿</w:t>
                  </w:r>
                </w:p>
              </w:tc>
              <w:tc>
                <w:tcPr>
                  <w:tcW w:w="5217" w:type="dxa"/>
                  <w:vAlign w:val="center"/>
                </w:tcPr>
                <w:p w14:paraId="3756B017">
                  <w:pPr>
                    <w:spacing w:line="0" w:lineRule="atLeast"/>
                    <w:ind w:left="-105" w:leftChars="-50" w:right="-105" w:rightChars="-50"/>
                    <w:jc w:val="center"/>
                    <w:rPr>
                      <w:i/>
                      <w:color w:val="000000"/>
                      <w:szCs w:val="21"/>
                    </w:rPr>
                  </w:pPr>
                  <w:r>
                    <w:rPr>
                      <w:i/>
                      <w:color w:val="000000"/>
                      <w:szCs w:val="21"/>
                    </w:rPr>
                    <w:t>Artemisia gmelinii</w:t>
                  </w:r>
                </w:p>
              </w:tc>
            </w:tr>
            <w:tr w14:paraId="7E1028D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7E7399DC">
                  <w:pPr>
                    <w:spacing w:line="0" w:lineRule="atLeast"/>
                    <w:jc w:val="center"/>
                    <w:rPr>
                      <w:rFonts w:hint="eastAsia"/>
                    </w:rPr>
                  </w:pPr>
                  <w:r>
                    <w:rPr>
                      <w:rFonts w:hint="eastAsia"/>
                    </w:rPr>
                    <w:t>53</w:t>
                  </w:r>
                </w:p>
              </w:tc>
              <w:tc>
                <w:tcPr>
                  <w:tcW w:w="2573" w:type="dxa"/>
                  <w:vAlign w:val="center"/>
                </w:tcPr>
                <w:p w14:paraId="03716722">
                  <w:pPr>
                    <w:spacing w:line="0" w:lineRule="atLeast"/>
                    <w:ind w:left="-105" w:leftChars="-50" w:right="-105" w:rightChars="-50"/>
                    <w:jc w:val="center"/>
                    <w:rPr>
                      <w:rFonts w:hint="eastAsia"/>
                      <w:bCs/>
                      <w:snapToGrid w:val="0"/>
                      <w:kern w:val="24"/>
                      <w:szCs w:val="21"/>
                    </w:rPr>
                  </w:pPr>
                  <w:r>
                    <w:rPr>
                      <w:rFonts w:hint="eastAsia"/>
                      <w:bCs/>
                      <w:snapToGrid w:val="0"/>
                      <w:kern w:val="24"/>
                      <w:szCs w:val="21"/>
                    </w:rPr>
                    <w:t>裂叶蒿</w:t>
                  </w:r>
                </w:p>
              </w:tc>
              <w:tc>
                <w:tcPr>
                  <w:tcW w:w="5217" w:type="dxa"/>
                  <w:vAlign w:val="center"/>
                </w:tcPr>
                <w:p w14:paraId="2A0F2BF3">
                  <w:pPr>
                    <w:spacing w:line="0" w:lineRule="atLeast"/>
                    <w:ind w:left="-105" w:leftChars="-50" w:right="-105" w:rightChars="-50"/>
                    <w:jc w:val="center"/>
                    <w:rPr>
                      <w:i/>
                      <w:color w:val="000000"/>
                      <w:szCs w:val="21"/>
                    </w:rPr>
                  </w:pPr>
                  <w:r>
                    <w:rPr>
                      <w:i/>
                      <w:color w:val="000000"/>
                      <w:szCs w:val="21"/>
                    </w:rPr>
                    <w:t xml:space="preserve">Artemisia tanacetifolia </w:t>
                  </w:r>
                  <w:r>
                    <w:rPr>
                      <w:color w:val="000000"/>
                      <w:szCs w:val="21"/>
                    </w:rPr>
                    <w:t>Linn.</w:t>
                  </w:r>
                </w:p>
              </w:tc>
            </w:tr>
            <w:tr w14:paraId="7092725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4C0893D8">
                  <w:pPr>
                    <w:spacing w:line="0" w:lineRule="atLeast"/>
                    <w:jc w:val="center"/>
                    <w:rPr>
                      <w:rFonts w:hint="eastAsia"/>
                    </w:rPr>
                  </w:pPr>
                  <w:r>
                    <w:rPr>
                      <w:rFonts w:hint="eastAsia"/>
                    </w:rPr>
                    <w:t>54</w:t>
                  </w:r>
                </w:p>
              </w:tc>
              <w:tc>
                <w:tcPr>
                  <w:tcW w:w="2573" w:type="dxa"/>
                  <w:vAlign w:val="center"/>
                </w:tcPr>
                <w:p w14:paraId="6C87D048">
                  <w:pPr>
                    <w:spacing w:line="0" w:lineRule="atLeast"/>
                    <w:ind w:left="-105" w:leftChars="-50" w:right="-105" w:rightChars="-50"/>
                    <w:jc w:val="center"/>
                    <w:rPr>
                      <w:rFonts w:hint="eastAsia"/>
                      <w:bCs/>
                      <w:snapToGrid w:val="0"/>
                      <w:kern w:val="24"/>
                      <w:szCs w:val="21"/>
                    </w:rPr>
                  </w:pPr>
                  <w:r>
                    <w:rPr>
                      <w:rFonts w:hint="eastAsia"/>
                      <w:bCs/>
                      <w:snapToGrid w:val="0"/>
                      <w:kern w:val="24"/>
                      <w:szCs w:val="21"/>
                    </w:rPr>
                    <w:t>大籽蒿</w:t>
                  </w:r>
                </w:p>
              </w:tc>
              <w:tc>
                <w:tcPr>
                  <w:tcW w:w="5217" w:type="dxa"/>
                  <w:vAlign w:val="center"/>
                </w:tcPr>
                <w:p w14:paraId="553D5E92">
                  <w:pPr>
                    <w:spacing w:line="0" w:lineRule="atLeast"/>
                    <w:ind w:left="-105" w:leftChars="-50" w:right="-105" w:rightChars="-50"/>
                    <w:jc w:val="center"/>
                    <w:rPr>
                      <w:i/>
                      <w:color w:val="000000"/>
                      <w:szCs w:val="21"/>
                    </w:rPr>
                  </w:pPr>
                  <w:r>
                    <w:rPr>
                      <w:i/>
                      <w:color w:val="000000"/>
                      <w:szCs w:val="21"/>
                    </w:rPr>
                    <w:t xml:space="preserve">Artemisia sieversiana </w:t>
                  </w:r>
                  <w:r>
                    <w:rPr>
                      <w:color w:val="000000"/>
                      <w:szCs w:val="21"/>
                    </w:rPr>
                    <w:t>Ehrhart ex Willd.</w:t>
                  </w:r>
                </w:p>
              </w:tc>
            </w:tr>
            <w:tr w14:paraId="15D18C4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18BF64F3">
                  <w:pPr>
                    <w:spacing w:line="0" w:lineRule="atLeast"/>
                    <w:jc w:val="center"/>
                    <w:rPr>
                      <w:rFonts w:hint="eastAsia"/>
                    </w:rPr>
                  </w:pPr>
                  <w:r>
                    <w:rPr>
                      <w:rFonts w:hint="eastAsia"/>
                    </w:rPr>
                    <w:t>55</w:t>
                  </w:r>
                </w:p>
              </w:tc>
              <w:tc>
                <w:tcPr>
                  <w:tcW w:w="2573" w:type="dxa"/>
                  <w:vAlign w:val="center"/>
                </w:tcPr>
                <w:p w14:paraId="13661541">
                  <w:pPr>
                    <w:spacing w:line="0" w:lineRule="atLeast"/>
                    <w:ind w:left="-105" w:leftChars="-50" w:right="-105" w:rightChars="-50"/>
                    <w:jc w:val="center"/>
                    <w:rPr>
                      <w:rFonts w:hint="eastAsia"/>
                      <w:bCs/>
                      <w:snapToGrid w:val="0"/>
                      <w:kern w:val="24"/>
                      <w:szCs w:val="21"/>
                    </w:rPr>
                  </w:pPr>
                  <w:r>
                    <w:rPr>
                      <w:rFonts w:hint="eastAsia"/>
                      <w:bCs/>
                      <w:snapToGrid w:val="0"/>
                      <w:kern w:val="24"/>
                      <w:szCs w:val="21"/>
                    </w:rPr>
                    <w:t>线叶菊</w:t>
                  </w:r>
                </w:p>
              </w:tc>
              <w:tc>
                <w:tcPr>
                  <w:tcW w:w="5217" w:type="dxa"/>
                  <w:vAlign w:val="center"/>
                </w:tcPr>
                <w:p w14:paraId="6A9B9867">
                  <w:pPr>
                    <w:spacing w:line="0" w:lineRule="atLeast"/>
                    <w:ind w:left="-105" w:leftChars="-50" w:right="-105" w:rightChars="-50"/>
                    <w:jc w:val="center"/>
                    <w:rPr>
                      <w:i/>
                      <w:color w:val="000000"/>
                      <w:szCs w:val="21"/>
                      <w:lang w:val="pt-BR"/>
                    </w:rPr>
                  </w:pPr>
                  <w:r>
                    <w:rPr>
                      <w:i/>
                      <w:color w:val="000000"/>
                      <w:szCs w:val="21"/>
                      <w:lang w:val="pt-BR"/>
                    </w:rPr>
                    <w:t>Filifolium</w:t>
                  </w:r>
                  <w:r>
                    <w:rPr>
                      <w:rFonts w:hint="eastAsia"/>
                      <w:i/>
                      <w:color w:val="000000"/>
                      <w:szCs w:val="21"/>
                      <w:lang w:val="pt-BR"/>
                    </w:rPr>
                    <w:t xml:space="preserve"> </w:t>
                  </w:r>
                  <w:r>
                    <w:rPr>
                      <w:i/>
                      <w:color w:val="000000"/>
                      <w:szCs w:val="21"/>
                      <w:lang w:val="pt-BR"/>
                    </w:rPr>
                    <w:t>sibiricum</w:t>
                  </w:r>
                  <w:r>
                    <w:rPr>
                      <w:rFonts w:hint="eastAsia"/>
                      <w:color w:val="000000"/>
                      <w:szCs w:val="21"/>
                      <w:lang w:val="pt-BR"/>
                    </w:rPr>
                    <w:t>（</w:t>
                  </w:r>
                  <w:r>
                    <w:rPr>
                      <w:color w:val="000000"/>
                      <w:szCs w:val="21"/>
                      <w:lang w:val="pt-BR"/>
                    </w:rPr>
                    <w:t>L.</w:t>
                  </w:r>
                  <w:r>
                    <w:rPr>
                      <w:rFonts w:hint="eastAsia"/>
                      <w:color w:val="000000"/>
                      <w:szCs w:val="21"/>
                      <w:lang w:val="pt-BR"/>
                    </w:rPr>
                    <w:t>）</w:t>
                  </w:r>
                  <w:r>
                    <w:rPr>
                      <w:color w:val="000000"/>
                      <w:szCs w:val="21"/>
                      <w:lang w:val="pt-BR"/>
                    </w:rPr>
                    <w:t>Kitam</w:t>
                  </w:r>
                </w:p>
              </w:tc>
            </w:tr>
            <w:tr w14:paraId="6E943E5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734B80E2">
                  <w:pPr>
                    <w:spacing w:line="0" w:lineRule="atLeast"/>
                    <w:jc w:val="center"/>
                    <w:rPr>
                      <w:rFonts w:hint="eastAsia"/>
                      <w:lang w:val="pt-BR"/>
                    </w:rPr>
                  </w:pPr>
                  <w:r>
                    <w:rPr>
                      <w:rFonts w:hint="eastAsia"/>
                      <w:lang w:val="pt-BR"/>
                    </w:rPr>
                    <w:t>56</w:t>
                  </w:r>
                </w:p>
              </w:tc>
              <w:tc>
                <w:tcPr>
                  <w:tcW w:w="2573" w:type="dxa"/>
                  <w:vAlign w:val="center"/>
                </w:tcPr>
                <w:p w14:paraId="00BFFB74">
                  <w:pPr>
                    <w:spacing w:line="0" w:lineRule="atLeast"/>
                    <w:ind w:left="-105" w:leftChars="-50" w:right="-105" w:rightChars="-50"/>
                    <w:jc w:val="center"/>
                    <w:rPr>
                      <w:rFonts w:hint="eastAsia"/>
                      <w:bCs/>
                      <w:snapToGrid w:val="0"/>
                      <w:kern w:val="24"/>
                      <w:szCs w:val="21"/>
                    </w:rPr>
                  </w:pPr>
                  <w:r>
                    <w:rPr>
                      <w:rFonts w:hint="eastAsia"/>
                      <w:bCs/>
                      <w:snapToGrid w:val="0"/>
                      <w:kern w:val="24"/>
                      <w:szCs w:val="21"/>
                    </w:rPr>
                    <w:t>阿尔泰狗娃花</w:t>
                  </w:r>
                </w:p>
              </w:tc>
              <w:tc>
                <w:tcPr>
                  <w:tcW w:w="5217" w:type="dxa"/>
                  <w:vAlign w:val="center"/>
                </w:tcPr>
                <w:p w14:paraId="3443BC37">
                  <w:pPr>
                    <w:spacing w:line="0" w:lineRule="atLeast"/>
                    <w:ind w:left="-105" w:leftChars="-50" w:right="-105" w:rightChars="-50"/>
                    <w:jc w:val="center"/>
                    <w:rPr>
                      <w:i/>
                      <w:color w:val="000000"/>
                      <w:szCs w:val="21"/>
                      <w:lang w:val="pt-BR"/>
                    </w:rPr>
                  </w:pPr>
                  <w:r>
                    <w:rPr>
                      <w:i/>
                      <w:color w:val="000000"/>
                      <w:szCs w:val="21"/>
                      <w:lang w:val="pt-BR"/>
                    </w:rPr>
                    <w:t>Heteropappus altaicus</w:t>
                  </w:r>
                  <w:r>
                    <w:rPr>
                      <w:rFonts w:hint="eastAsia"/>
                      <w:color w:val="000000"/>
                      <w:szCs w:val="21"/>
                      <w:lang w:val="pt-BR"/>
                    </w:rPr>
                    <w:t>（</w:t>
                  </w:r>
                  <w:r>
                    <w:rPr>
                      <w:color w:val="000000"/>
                      <w:szCs w:val="21"/>
                      <w:lang w:val="pt-BR"/>
                    </w:rPr>
                    <w:t>Willd</w:t>
                  </w:r>
                  <w:r>
                    <w:rPr>
                      <w:rFonts w:hint="eastAsia"/>
                      <w:color w:val="000000"/>
                      <w:szCs w:val="21"/>
                      <w:lang w:val="pt-BR"/>
                    </w:rPr>
                    <w:t>）</w:t>
                  </w:r>
                  <w:r>
                    <w:rPr>
                      <w:color w:val="000000"/>
                      <w:szCs w:val="21"/>
                      <w:lang w:val="pt-BR"/>
                    </w:rPr>
                    <w:t xml:space="preserve"> Novopokr</w:t>
                  </w:r>
                </w:p>
              </w:tc>
            </w:tr>
            <w:tr w14:paraId="6A34776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47CE9CBB">
                  <w:pPr>
                    <w:spacing w:line="0" w:lineRule="atLeast"/>
                    <w:jc w:val="center"/>
                    <w:rPr>
                      <w:rFonts w:hint="eastAsia"/>
                      <w:lang w:val="pt-BR"/>
                    </w:rPr>
                  </w:pPr>
                  <w:r>
                    <w:rPr>
                      <w:rFonts w:hint="eastAsia"/>
                      <w:lang w:val="pt-BR"/>
                    </w:rPr>
                    <w:t>57</w:t>
                  </w:r>
                </w:p>
              </w:tc>
              <w:tc>
                <w:tcPr>
                  <w:tcW w:w="2573" w:type="dxa"/>
                  <w:vAlign w:val="center"/>
                </w:tcPr>
                <w:p w14:paraId="152C457A">
                  <w:pPr>
                    <w:spacing w:line="0" w:lineRule="atLeast"/>
                    <w:ind w:left="-105" w:leftChars="-50" w:right="-105" w:rightChars="-50"/>
                    <w:jc w:val="center"/>
                    <w:rPr>
                      <w:rFonts w:hint="eastAsia"/>
                      <w:bCs/>
                      <w:snapToGrid w:val="0"/>
                      <w:kern w:val="24"/>
                      <w:szCs w:val="21"/>
                      <w:lang w:val="pt-BR"/>
                    </w:rPr>
                  </w:pPr>
                  <w:r>
                    <w:rPr>
                      <w:rFonts w:hint="eastAsia"/>
                      <w:bCs/>
                      <w:snapToGrid w:val="0"/>
                      <w:kern w:val="24"/>
                      <w:szCs w:val="21"/>
                      <w:lang w:val="pt-BR"/>
                    </w:rPr>
                    <w:t>火绒草</w:t>
                  </w:r>
                </w:p>
              </w:tc>
              <w:tc>
                <w:tcPr>
                  <w:tcW w:w="5217" w:type="dxa"/>
                  <w:vAlign w:val="center"/>
                </w:tcPr>
                <w:p w14:paraId="554B31DD">
                  <w:pPr>
                    <w:spacing w:line="0" w:lineRule="atLeast"/>
                    <w:ind w:left="-105" w:leftChars="-50" w:right="-105" w:rightChars="-50"/>
                    <w:jc w:val="center"/>
                    <w:rPr>
                      <w:i/>
                      <w:color w:val="000000"/>
                      <w:szCs w:val="21"/>
                      <w:lang w:val="pt-BR"/>
                    </w:rPr>
                  </w:pPr>
                  <w:r>
                    <w:rPr>
                      <w:i/>
                      <w:color w:val="000000"/>
                      <w:szCs w:val="21"/>
                      <w:lang w:val="pt-BR"/>
                    </w:rPr>
                    <w:t>Leontopodium japonicum</w:t>
                  </w:r>
                </w:p>
              </w:tc>
            </w:tr>
            <w:tr w14:paraId="7A99DFF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25E746A0">
                  <w:pPr>
                    <w:spacing w:line="0" w:lineRule="atLeast"/>
                    <w:jc w:val="center"/>
                    <w:rPr>
                      <w:rFonts w:hint="eastAsia"/>
                      <w:lang w:val="pt-BR"/>
                    </w:rPr>
                  </w:pPr>
                  <w:r>
                    <w:rPr>
                      <w:rFonts w:hint="eastAsia"/>
                      <w:lang w:val="pt-BR"/>
                    </w:rPr>
                    <w:t>58</w:t>
                  </w:r>
                </w:p>
              </w:tc>
              <w:tc>
                <w:tcPr>
                  <w:tcW w:w="2573" w:type="dxa"/>
                  <w:vAlign w:val="center"/>
                </w:tcPr>
                <w:p w14:paraId="0757D225">
                  <w:pPr>
                    <w:spacing w:line="0" w:lineRule="atLeast"/>
                    <w:ind w:left="-105" w:leftChars="-50" w:right="-105" w:rightChars="-50"/>
                    <w:jc w:val="center"/>
                    <w:rPr>
                      <w:rFonts w:hint="eastAsia"/>
                      <w:bCs/>
                      <w:snapToGrid w:val="0"/>
                      <w:kern w:val="24"/>
                      <w:szCs w:val="21"/>
                      <w:lang w:val="pt-BR"/>
                    </w:rPr>
                  </w:pPr>
                  <w:r>
                    <w:rPr>
                      <w:rFonts w:hint="eastAsia"/>
                      <w:bCs/>
                      <w:snapToGrid w:val="0"/>
                      <w:kern w:val="24"/>
                      <w:szCs w:val="21"/>
                      <w:lang w:val="pt-BR"/>
                    </w:rPr>
                    <w:t>凤毛</w:t>
                  </w:r>
                  <w:r>
                    <w:rPr>
                      <w:rFonts w:hint="eastAsia"/>
                      <w:color w:val="000000"/>
                      <w:szCs w:val="21"/>
                    </w:rPr>
                    <w:t>菊</w:t>
                  </w:r>
                </w:p>
              </w:tc>
              <w:tc>
                <w:tcPr>
                  <w:tcW w:w="5217" w:type="dxa"/>
                  <w:vAlign w:val="center"/>
                </w:tcPr>
                <w:p w14:paraId="20126FA9">
                  <w:pPr>
                    <w:spacing w:line="0" w:lineRule="atLeast"/>
                    <w:ind w:left="-105" w:leftChars="-50" w:right="-105" w:rightChars="-50"/>
                    <w:jc w:val="center"/>
                    <w:rPr>
                      <w:i/>
                      <w:color w:val="000000"/>
                      <w:szCs w:val="21"/>
                      <w:lang w:val="pt-BR"/>
                    </w:rPr>
                  </w:pPr>
                  <w:r>
                    <w:rPr>
                      <w:i/>
                      <w:color w:val="000000"/>
                      <w:szCs w:val="21"/>
                      <w:lang w:val="pt-BR"/>
                    </w:rPr>
                    <w:t xml:space="preserve">Saussurea japonica </w:t>
                  </w:r>
                  <w:r>
                    <w:rPr>
                      <w:rFonts w:hint="eastAsia"/>
                      <w:color w:val="000000"/>
                      <w:szCs w:val="21"/>
                      <w:lang w:val="pt-BR"/>
                    </w:rPr>
                    <w:t>（</w:t>
                  </w:r>
                  <w:r>
                    <w:rPr>
                      <w:color w:val="000000"/>
                      <w:szCs w:val="21"/>
                      <w:lang w:val="pt-BR"/>
                    </w:rPr>
                    <w:t>Thunb.</w:t>
                  </w:r>
                  <w:r>
                    <w:rPr>
                      <w:rFonts w:hint="eastAsia"/>
                      <w:color w:val="000000"/>
                      <w:szCs w:val="21"/>
                      <w:lang w:val="pt-BR"/>
                    </w:rPr>
                    <w:t>）</w:t>
                  </w:r>
                  <w:r>
                    <w:rPr>
                      <w:color w:val="000000"/>
                      <w:szCs w:val="21"/>
                      <w:lang w:val="pt-BR"/>
                    </w:rPr>
                    <w:t>DC.</w:t>
                  </w:r>
                </w:p>
              </w:tc>
            </w:tr>
            <w:tr w14:paraId="1288D53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2DF29115">
                  <w:pPr>
                    <w:spacing w:line="0" w:lineRule="atLeast"/>
                    <w:jc w:val="center"/>
                    <w:rPr>
                      <w:rFonts w:hint="eastAsia"/>
                      <w:lang w:val="pt-BR"/>
                    </w:rPr>
                  </w:pPr>
                  <w:r>
                    <w:rPr>
                      <w:rFonts w:hint="eastAsia"/>
                      <w:lang w:val="pt-BR"/>
                    </w:rPr>
                    <w:t>59</w:t>
                  </w:r>
                </w:p>
              </w:tc>
              <w:tc>
                <w:tcPr>
                  <w:tcW w:w="2573" w:type="dxa"/>
                  <w:vAlign w:val="center"/>
                </w:tcPr>
                <w:p w14:paraId="27EDDE50">
                  <w:pPr>
                    <w:spacing w:line="0" w:lineRule="atLeast"/>
                    <w:ind w:left="-105" w:leftChars="-50" w:right="-105" w:rightChars="-50"/>
                    <w:jc w:val="center"/>
                    <w:rPr>
                      <w:rFonts w:hint="eastAsia"/>
                      <w:bCs/>
                      <w:snapToGrid w:val="0"/>
                      <w:kern w:val="24"/>
                      <w:szCs w:val="21"/>
                      <w:lang w:val="pt-BR"/>
                    </w:rPr>
                  </w:pPr>
                  <w:r>
                    <w:rPr>
                      <w:rFonts w:hint="eastAsia"/>
                      <w:bCs/>
                      <w:snapToGrid w:val="0"/>
                      <w:kern w:val="24"/>
                      <w:szCs w:val="21"/>
                      <w:lang w:val="pt-BR"/>
                    </w:rPr>
                    <w:t>鸦葱</w:t>
                  </w:r>
                </w:p>
              </w:tc>
              <w:tc>
                <w:tcPr>
                  <w:tcW w:w="5217" w:type="dxa"/>
                  <w:vAlign w:val="center"/>
                </w:tcPr>
                <w:p w14:paraId="7D2DA6E4">
                  <w:pPr>
                    <w:spacing w:line="0" w:lineRule="atLeast"/>
                    <w:ind w:left="-105" w:leftChars="-50" w:right="-105" w:rightChars="-50"/>
                    <w:jc w:val="center"/>
                    <w:rPr>
                      <w:i/>
                      <w:color w:val="000000"/>
                      <w:szCs w:val="21"/>
                      <w:lang w:val="pt-BR"/>
                    </w:rPr>
                  </w:pPr>
                  <w:r>
                    <w:rPr>
                      <w:i/>
                      <w:color w:val="000000"/>
                      <w:szCs w:val="21"/>
                      <w:lang w:val="pt-BR"/>
                    </w:rPr>
                    <w:t xml:space="preserve">Scorzonera ruprechtiana </w:t>
                  </w:r>
                  <w:r>
                    <w:rPr>
                      <w:color w:val="000000"/>
                      <w:szCs w:val="21"/>
                      <w:lang w:val="pt-BR"/>
                    </w:rPr>
                    <w:t>Lipsch. et Krasch.</w:t>
                  </w:r>
                </w:p>
              </w:tc>
            </w:tr>
            <w:tr w14:paraId="3ED4337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7E9BD192">
                  <w:pPr>
                    <w:spacing w:line="0" w:lineRule="atLeast"/>
                    <w:jc w:val="center"/>
                    <w:rPr>
                      <w:rFonts w:hint="eastAsia"/>
                      <w:lang w:val="pt-BR"/>
                    </w:rPr>
                  </w:pPr>
                  <w:r>
                    <w:rPr>
                      <w:rFonts w:hint="eastAsia"/>
                      <w:lang w:val="pt-BR"/>
                    </w:rPr>
                    <w:t>60</w:t>
                  </w:r>
                </w:p>
              </w:tc>
              <w:tc>
                <w:tcPr>
                  <w:tcW w:w="2573" w:type="dxa"/>
                  <w:vAlign w:val="center"/>
                </w:tcPr>
                <w:p w14:paraId="4C17D968">
                  <w:pPr>
                    <w:spacing w:line="0" w:lineRule="atLeast"/>
                    <w:ind w:left="-105" w:leftChars="-50" w:right="-105" w:rightChars="-50"/>
                    <w:jc w:val="center"/>
                    <w:rPr>
                      <w:rFonts w:hint="eastAsia"/>
                      <w:bCs/>
                      <w:snapToGrid w:val="0"/>
                      <w:kern w:val="24"/>
                      <w:szCs w:val="21"/>
                      <w:lang w:val="pt-BR"/>
                    </w:rPr>
                  </w:pPr>
                  <w:r>
                    <w:rPr>
                      <w:rFonts w:hint="eastAsia"/>
                      <w:bCs/>
                      <w:snapToGrid w:val="0"/>
                      <w:kern w:val="24"/>
                      <w:szCs w:val="21"/>
                      <w:lang w:val="pt-BR"/>
                    </w:rPr>
                    <w:t>麻花头</w:t>
                  </w:r>
                </w:p>
              </w:tc>
              <w:tc>
                <w:tcPr>
                  <w:tcW w:w="5217" w:type="dxa"/>
                  <w:vAlign w:val="center"/>
                </w:tcPr>
                <w:p w14:paraId="37CEC530">
                  <w:pPr>
                    <w:spacing w:line="0" w:lineRule="atLeast"/>
                    <w:ind w:left="-105" w:leftChars="-50" w:right="-105" w:rightChars="-50"/>
                    <w:jc w:val="center"/>
                    <w:rPr>
                      <w:i/>
                      <w:color w:val="000000"/>
                      <w:szCs w:val="21"/>
                      <w:lang w:val="pt-BR"/>
                    </w:rPr>
                  </w:pPr>
                  <w:r>
                    <w:rPr>
                      <w:i/>
                      <w:color w:val="000000"/>
                      <w:szCs w:val="21"/>
                      <w:lang w:val="pt-BR"/>
                    </w:rPr>
                    <w:t>Serratulacentauroides</w:t>
                  </w:r>
                  <w:r>
                    <w:rPr>
                      <w:rFonts w:hint="eastAsia"/>
                      <w:i/>
                      <w:color w:val="000000"/>
                      <w:szCs w:val="21"/>
                      <w:lang w:val="pt-BR"/>
                    </w:rPr>
                    <w:t xml:space="preserve"> </w:t>
                  </w:r>
                  <w:r>
                    <w:rPr>
                      <w:color w:val="000000"/>
                      <w:szCs w:val="21"/>
                      <w:lang w:val="pt-BR"/>
                    </w:rPr>
                    <w:t>L.</w:t>
                  </w:r>
                </w:p>
              </w:tc>
            </w:tr>
            <w:tr w14:paraId="219017D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38248E2F">
                  <w:pPr>
                    <w:spacing w:line="0" w:lineRule="atLeast"/>
                    <w:jc w:val="center"/>
                    <w:rPr>
                      <w:rFonts w:hint="eastAsia"/>
                      <w:lang w:val="pt-BR"/>
                    </w:rPr>
                  </w:pPr>
                  <w:r>
                    <w:rPr>
                      <w:rFonts w:hint="eastAsia"/>
                      <w:lang w:val="pt-BR"/>
                    </w:rPr>
                    <w:t>61</w:t>
                  </w:r>
                </w:p>
              </w:tc>
              <w:tc>
                <w:tcPr>
                  <w:tcW w:w="2573" w:type="dxa"/>
                  <w:vAlign w:val="center"/>
                </w:tcPr>
                <w:p w14:paraId="1DE03314">
                  <w:pPr>
                    <w:spacing w:line="0" w:lineRule="atLeast"/>
                    <w:ind w:left="-105" w:leftChars="-50" w:right="-105" w:rightChars="-50"/>
                    <w:jc w:val="center"/>
                    <w:rPr>
                      <w:rFonts w:hint="eastAsia"/>
                      <w:bCs/>
                      <w:snapToGrid w:val="0"/>
                      <w:kern w:val="24"/>
                      <w:szCs w:val="21"/>
                      <w:lang w:val="pt-BR"/>
                    </w:rPr>
                  </w:pPr>
                  <w:r>
                    <w:rPr>
                      <w:rFonts w:hint="eastAsia"/>
                      <w:bCs/>
                      <w:snapToGrid w:val="0"/>
                      <w:kern w:val="24"/>
                      <w:szCs w:val="21"/>
                      <w:lang w:val="pt-BR"/>
                    </w:rPr>
                    <w:t>苍耳</w:t>
                  </w:r>
                </w:p>
              </w:tc>
              <w:tc>
                <w:tcPr>
                  <w:tcW w:w="5217" w:type="dxa"/>
                  <w:vAlign w:val="center"/>
                </w:tcPr>
                <w:p w14:paraId="093CE1BA">
                  <w:pPr>
                    <w:spacing w:line="0" w:lineRule="atLeast"/>
                    <w:ind w:left="-105" w:leftChars="-50" w:right="-105" w:rightChars="-50"/>
                    <w:jc w:val="center"/>
                    <w:rPr>
                      <w:i/>
                      <w:color w:val="000000"/>
                      <w:szCs w:val="21"/>
                      <w:lang w:val="pt-BR"/>
                    </w:rPr>
                  </w:pPr>
                  <w:r>
                    <w:rPr>
                      <w:i/>
                      <w:color w:val="000000"/>
                      <w:szCs w:val="21"/>
                      <w:lang w:val="pt-BR"/>
                    </w:rPr>
                    <w:t xml:space="preserve">Xanthium sibiricum </w:t>
                  </w:r>
                  <w:r>
                    <w:rPr>
                      <w:color w:val="000000"/>
                      <w:szCs w:val="21"/>
                      <w:lang w:val="pt-BR"/>
                    </w:rPr>
                    <w:t>Patrin ex Widder</w:t>
                  </w:r>
                </w:p>
              </w:tc>
            </w:tr>
            <w:tr w14:paraId="74EC97E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0D44AEC3">
                  <w:pPr>
                    <w:spacing w:line="0" w:lineRule="atLeast"/>
                    <w:jc w:val="center"/>
                    <w:rPr>
                      <w:rFonts w:hint="eastAsia"/>
                    </w:rPr>
                  </w:pPr>
                  <w:r>
                    <w:rPr>
                      <w:rFonts w:hint="eastAsia"/>
                    </w:rPr>
                    <w:t>二十一</w:t>
                  </w:r>
                </w:p>
              </w:tc>
              <w:tc>
                <w:tcPr>
                  <w:tcW w:w="7790" w:type="dxa"/>
                  <w:gridSpan w:val="2"/>
                  <w:vAlign w:val="center"/>
                </w:tcPr>
                <w:p w14:paraId="540DE287">
                  <w:pPr>
                    <w:spacing w:line="0" w:lineRule="atLeast"/>
                    <w:ind w:left="-105" w:leftChars="-50" w:right="-105" w:rightChars="-50"/>
                    <w:rPr>
                      <w:rFonts w:hint="eastAsia"/>
                      <w:color w:val="000000"/>
                      <w:szCs w:val="21"/>
                    </w:rPr>
                  </w:pPr>
                  <w:r>
                    <w:rPr>
                      <w:rFonts w:hint="eastAsia"/>
                      <w:color w:val="000000"/>
                      <w:szCs w:val="21"/>
                    </w:rPr>
                    <w:t xml:space="preserve"> 禾本科 </w:t>
                  </w:r>
                  <w:r>
                    <w:rPr>
                      <w:rFonts w:hint="eastAsia"/>
                      <w:i/>
                      <w:color w:val="000000"/>
                      <w:szCs w:val="21"/>
                    </w:rPr>
                    <w:t>Gramineae</w:t>
                  </w:r>
                </w:p>
              </w:tc>
            </w:tr>
            <w:tr w14:paraId="1F7D4A9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2521AFBF">
                  <w:pPr>
                    <w:spacing w:line="0" w:lineRule="atLeast"/>
                    <w:jc w:val="center"/>
                    <w:rPr>
                      <w:rFonts w:hint="eastAsia"/>
                    </w:rPr>
                  </w:pPr>
                  <w:r>
                    <w:rPr>
                      <w:rFonts w:hint="eastAsia"/>
                    </w:rPr>
                    <w:t>62</w:t>
                  </w:r>
                </w:p>
              </w:tc>
              <w:tc>
                <w:tcPr>
                  <w:tcW w:w="2573" w:type="dxa"/>
                  <w:vAlign w:val="center"/>
                </w:tcPr>
                <w:p w14:paraId="6E23D9FF">
                  <w:pPr>
                    <w:spacing w:line="0" w:lineRule="atLeast"/>
                    <w:ind w:left="-105" w:leftChars="-50" w:right="-105" w:rightChars="-50"/>
                    <w:jc w:val="center"/>
                    <w:rPr>
                      <w:rFonts w:hint="eastAsia"/>
                      <w:bCs/>
                      <w:snapToGrid w:val="0"/>
                      <w:kern w:val="24"/>
                      <w:szCs w:val="21"/>
                    </w:rPr>
                  </w:pPr>
                  <w:r>
                    <w:rPr>
                      <w:rFonts w:hint="eastAsia"/>
                      <w:bCs/>
                      <w:snapToGrid w:val="0"/>
                      <w:kern w:val="24"/>
                      <w:szCs w:val="21"/>
                    </w:rPr>
                    <w:t>芨芨草</w:t>
                  </w:r>
                </w:p>
              </w:tc>
              <w:tc>
                <w:tcPr>
                  <w:tcW w:w="5217" w:type="dxa"/>
                  <w:vAlign w:val="center"/>
                </w:tcPr>
                <w:p w14:paraId="0D50209A">
                  <w:pPr>
                    <w:spacing w:line="0" w:lineRule="atLeast"/>
                    <w:ind w:left="-105" w:leftChars="-50" w:right="-105" w:rightChars="-50"/>
                    <w:jc w:val="center"/>
                    <w:rPr>
                      <w:rFonts w:hint="eastAsia"/>
                      <w:i/>
                      <w:color w:val="000000"/>
                      <w:szCs w:val="21"/>
                    </w:rPr>
                  </w:pPr>
                  <w:r>
                    <w:rPr>
                      <w:i/>
                      <w:color w:val="000000"/>
                      <w:szCs w:val="21"/>
                    </w:rPr>
                    <w:t>Achnatherum splendens</w:t>
                  </w:r>
                </w:p>
              </w:tc>
            </w:tr>
            <w:tr w14:paraId="7CAFB12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0679AA9D">
                  <w:pPr>
                    <w:spacing w:line="0" w:lineRule="atLeast"/>
                    <w:jc w:val="center"/>
                    <w:rPr>
                      <w:rFonts w:hint="eastAsia"/>
                    </w:rPr>
                  </w:pPr>
                  <w:r>
                    <w:rPr>
                      <w:rFonts w:hint="eastAsia"/>
                    </w:rPr>
                    <w:t>63</w:t>
                  </w:r>
                </w:p>
              </w:tc>
              <w:tc>
                <w:tcPr>
                  <w:tcW w:w="2573" w:type="dxa"/>
                  <w:vAlign w:val="center"/>
                </w:tcPr>
                <w:p w14:paraId="6804BA47">
                  <w:pPr>
                    <w:spacing w:line="0" w:lineRule="atLeast"/>
                    <w:ind w:left="-105" w:leftChars="-50" w:right="-105" w:rightChars="-50"/>
                    <w:jc w:val="center"/>
                    <w:rPr>
                      <w:rFonts w:hint="eastAsia"/>
                      <w:bCs/>
                      <w:snapToGrid w:val="0"/>
                      <w:kern w:val="24"/>
                      <w:szCs w:val="21"/>
                    </w:rPr>
                  </w:pPr>
                  <w:r>
                    <w:rPr>
                      <w:rFonts w:hint="eastAsia"/>
                      <w:bCs/>
                      <w:snapToGrid w:val="0"/>
                      <w:kern w:val="24"/>
                      <w:szCs w:val="21"/>
                    </w:rPr>
                    <w:t>西伯利亚羽茅</w:t>
                  </w:r>
                </w:p>
              </w:tc>
              <w:tc>
                <w:tcPr>
                  <w:tcW w:w="5217" w:type="dxa"/>
                  <w:vAlign w:val="center"/>
                </w:tcPr>
                <w:p w14:paraId="2A419D2F">
                  <w:pPr>
                    <w:spacing w:line="0" w:lineRule="atLeast"/>
                    <w:ind w:left="-105" w:leftChars="-50" w:right="-105" w:rightChars="-50"/>
                    <w:jc w:val="center"/>
                    <w:rPr>
                      <w:rFonts w:hint="eastAsia"/>
                      <w:color w:val="000000"/>
                      <w:szCs w:val="21"/>
                    </w:rPr>
                  </w:pPr>
                  <w:r>
                    <w:rPr>
                      <w:i/>
                      <w:color w:val="000000"/>
                      <w:szCs w:val="21"/>
                    </w:rPr>
                    <w:t>Achnatherum sibiricum</w:t>
                  </w:r>
                  <w:r>
                    <w:rPr>
                      <w:rFonts w:hint="eastAsia"/>
                      <w:color w:val="000000"/>
                      <w:szCs w:val="21"/>
                    </w:rPr>
                    <w:t>（L.）Keng</w:t>
                  </w:r>
                </w:p>
              </w:tc>
            </w:tr>
            <w:tr w14:paraId="6EA763E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18158C28">
                  <w:pPr>
                    <w:spacing w:line="0" w:lineRule="atLeast"/>
                    <w:jc w:val="center"/>
                    <w:rPr>
                      <w:rFonts w:hint="eastAsia"/>
                    </w:rPr>
                  </w:pPr>
                  <w:r>
                    <w:rPr>
                      <w:rFonts w:hint="eastAsia"/>
                    </w:rPr>
                    <w:t>64</w:t>
                  </w:r>
                </w:p>
              </w:tc>
              <w:tc>
                <w:tcPr>
                  <w:tcW w:w="2573" w:type="dxa"/>
                  <w:vAlign w:val="center"/>
                </w:tcPr>
                <w:p w14:paraId="1AB24DE5">
                  <w:pPr>
                    <w:spacing w:line="0" w:lineRule="atLeast"/>
                    <w:ind w:left="-105" w:leftChars="-50" w:right="-105" w:rightChars="-50"/>
                    <w:jc w:val="center"/>
                    <w:rPr>
                      <w:rFonts w:hint="eastAsia"/>
                      <w:bCs/>
                      <w:snapToGrid w:val="0"/>
                      <w:kern w:val="24"/>
                      <w:szCs w:val="21"/>
                    </w:rPr>
                  </w:pPr>
                  <w:r>
                    <w:rPr>
                      <w:rFonts w:hint="eastAsia"/>
                      <w:bCs/>
                      <w:snapToGrid w:val="0"/>
                      <w:kern w:val="24"/>
                      <w:szCs w:val="21"/>
                    </w:rPr>
                    <w:t>羊草</w:t>
                  </w:r>
                </w:p>
              </w:tc>
              <w:tc>
                <w:tcPr>
                  <w:tcW w:w="5217" w:type="dxa"/>
                  <w:vAlign w:val="center"/>
                </w:tcPr>
                <w:p w14:paraId="78EF29D4">
                  <w:pPr>
                    <w:spacing w:line="0" w:lineRule="atLeast"/>
                    <w:ind w:left="-105" w:leftChars="-50" w:right="-105" w:rightChars="-50"/>
                    <w:jc w:val="center"/>
                    <w:rPr>
                      <w:i/>
                      <w:color w:val="000000"/>
                      <w:szCs w:val="21"/>
                    </w:rPr>
                  </w:pPr>
                  <w:r>
                    <w:rPr>
                      <w:i/>
                      <w:color w:val="000000"/>
                      <w:szCs w:val="21"/>
                    </w:rPr>
                    <w:t>Leymus chinensis</w:t>
                  </w:r>
                  <w:r>
                    <w:rPr>
                      <w:rFonts w:hint="eastAsia"/>
                      <w:i/>
                      <w:color w:val="000000"/>
                      <w:szCs w:val="21"/>
                    </w:rPr>
                    <w:t xml:space="preserve"> </w:t>
                  </w:r>
                  <w:r>
                    <w:rPr>
                      <w:color w:val="000000"/>
                      <w:szCs w:val="21"/>
                    </w:rPr>
                    <w:t>(Trin.) Tzvel.</w:t>
                  </w:r>
                </w:p>
              </w:tc>
            </w:tr>
            <w:tr w14:paraId="430F298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6FF0ECC1">
                  <w:pPr>
                    <w:spacing w:line="0" w:lineRule="atLeast"/>
                    <w:jc w:val="center"/>
                    <w:rPr>
                      <w:rFonts w:hint="eastAsia"/>
                    </w:rPr>
                  </w:pPr>
                  <w:r>
                    <w:rPr>
                      <w:rFonts w:hint="eastAsia"/>
                    </w:rPr>
                    <w:t>65</w:t>
                  </w:r>
                </w:p>
              </w:tc>
              <w:tc>
                <w:tcPr>
                  <w:tcW w:w="2573" w:type="dxa"/>
                  <w:vAlign w:val="center"/>
                </w:tcPr>
                <w:p w14:paraId="3D508685">
                  <w:pPr>
                    <w:spacing w:line="0" w:lineRule="atLeast"/>
                    <w:ind w:left="-105" w:leftChars="-50" w:right="-105" w:rightChars="-50"/>
                    <w:jc w:val="center"/>
                    <w:rPr>
                      <w:rFonts w:hint="eastAsia"/>
                      <w:bCs/>
                      <w:snapToGrid w:val="0"/>
                      <w:kern w:val="24"/>
                      <w:szCs w:val="21"/>
                    </w:rPr>
                  </w:pPr>
                  <w:r>
                    <w:rPr>
                      <w:rFonts w:hint="eastAsia"/>
                      <w:bCs/>
                      <w:snapToGrid w:val="0"/>
                      <w:kern w:val="24"/>
                      <w:szCs w:val="21"/>
                    </w:rPr>
                    <w:t>冰草</w:t>
                  </w:r>
                </w:p>
              </w:tc>
              <w:tc>
                <w:tcPr>
                  <w:tcW w:w="5217" w:type="dxa"/>
                  <w:vAlign w:val="center"/>
                </w:tcPr>
                <w:p w14:paraId="5D9BB5EC">
                  <w:pPr>
                    <w:spacing w:line="0" w:lineRule="atLeast"/>
                    <w:ind w:left="-105" w:leftChars="-50" w:right="-105" w:rightChars="-50"/>
                    <w:jc w:val="center"/>
                    <w:rPr>
                      <w:i/>
                      <w:color w:val="000000"/>
                      <w:szCs w:val="21"/>
                    </w:rPr>
                  </w:pPr>
                  <w:r>
                    <w:rPr>
                      <w:i/>
                      <w:color w:val="000000"/>
                      <w:szCs w:val="21"/>
                    </w:rPr>
                    <w:t>Agropyron cristatum</w:t>
                  </w:r>
                  <w:r>
                    <w:rPr>
                      <w:color w:val="000000"/>
                      <w:szCs w:val="21"/>
                    </w:rPr>
                    <w:t xml:space="preserve"> </w:t>
                  </w:r>
                  <w:r>
                    <w:rPr>
                      <w:rFonts w:hint="eastAsia"/>
                      <w:color w:val="000000"/>
                      <w:szCs w:val="21"/>
                    </w:rPr>
                    <w:t>（</w:t>
                  </w:r>
                  <w:r>
                    <w:rPr>
                      <w:color w:val="000000"/>
                      <w:szCs w:val="21"/>
                    </w:rPr>
                    <w:t>L.</w:t>
                  </w:r>
                  <w:r>
                    <w:rPr>
                      <w:rFonts w:hint="eastAsia"/>
                      <w:color w:val="000000"/>
                      <w:szCs w:val="21"/>
                    </w:rPr>
                    <w:t>）</w:t>
                  </w:r>
                  <w:r>
                    <w:rPr>
                      <w:color w:val="000000"/>
                      <w:szCs w:val="21"/>
                    </w:rPr>
                    <w:t>Gaertn.</w:t>
                  </w:r>
                </w:p>
              </w:tc>
            </w:tr>
            <w:tr w14:paraId="1EC1D8A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09D1CC97">
                  <w:pPr>
                    <w:spacing w:line="0" w:lineRule="atLeast"/>
                    <w:jc w:val="center"/>
                    <w:rPr>
                      <w:rFonts w:hint="eastAsia"/>
                    </w:rPr>
                  </w:pPr>
                  <w:r>
                    <w:rPr>
                      <w:rFonts w:hint="eastAsia"/>
                    </w:rPr>
                    <w:t>66</w:t>
                  </w:r>
                </w:p>
              </w:tc>
              <w:tc>
                <w:tcPr>
                  <w:tcW w:w="2573" w:type="dxa"/>
                  <w:vAlign w:val="center"/>
                </w:tcPr>
                <w:p w14:paraId="35CD33DD">
                  <w:pPr>
                    <w:spacing w:line="0" w:lineRule="atLeast"/>
                    <w:ind w:left="-105" w:leftChars="-50" w:right="-105" w:rightChars="-50"/>
                    <w:jc w:val="center"/>
                    <w:rPr>
                      <w:rFonts w:hint="eastAsia"/>
                      <w:bCs/>
                      <w:snapToGrid w:val="0"/>
                      <w:kern w:val="24"/>
                      <w:szCs w:val="21"/>
                    </w:rPr>
                  </w:pPr>
                  <w:r>
                    <w:rPr>
                      <w:rFonts w:hint="eastAsia"/>
                      <w:bCs/>
                      <w:snapToGrid w:val="0"/>
                      <w:kern w:val="24"/>
                      <w:szCs w:val="21"/>
                    </w:rPr>
                    <w:t>糙隐子草</w:t>
                  </w:r>
                </w:p>
              </w:tc>
              <w:tc>
                <w:tcPr>
                  <w:tcW w:w="5217" w:type="dxa"/>
                  <w:vAlign w:val="center"/>
                </w:tcPr>
                <w:p w14:paraId="3830C4A5">
                  <w:pPr>
                    <w:spacing w:line="0" w:lineRule="atLeast"/>
                    <w:ind w:left="-105" w:leftChars="-50" w:right="-105" w:rightChars="-50"/>
                    <w:jc w:val="center"/>
                    <w:rPr>
                      <w:i/>
                      <w:color w:val="000000"/>
                      <w:szCs w:val="21"/>
                    </w:rPr>
                  </w:pPr>
                  <w:r>
                    <w:rPr>
                      <w:i/>
                      <w:color w:val="000000"/>
                      <w:szCs w:val="21"/>
                    </w:rPr>
                    <w:t xml:space="preserve">Cleistogenes squarrosa </w:t>
                  </w:r>
                  <w:r>
                    <w:rPr>
                      <w:color w:val="000000"/>
                      <w:szCs w:val="21"/>
                    </w:rPr>
                    <w:t>(Trin.) Keng</w:t>
                  </w:r>
                </w:p>
              </w:tc>
            </w:tr>
            <w:tr w14:paraId="2D5E54F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2BFB1771">
                  <w:pPr>
                    <w:spacing w:line="0" w:lineRule="atLeast"/>
                    <w:jc w:val="center"/>
                    <w:rPr>
                      <w:rFonts w:hint="eastAsia"/>
                    </w:rPr>
                  </w:pPr>
                  <w:r>
                    <w:rPr>
                      <w:rFonts w:hint="eastAsia"/>
                    </w:rPr>
                    <w:t>67</w:t>
                  </w:r>
                </w:p>
              </w:tc>
              <w:tc>
                <w:tcPr>
                  <w:tcW w:w="2573" w:type="dxa"/>
                  <w:vAlign w:val="center"/>
                </w:tcPr>
                <w:p w14:paraId="32355C70">
                  <w:pPr>
                    <w:spacing w:line="0" w:lineRule="atLeast"/>
                    <w:ind w:left="-105" w:leftChars="-50" w:right="-105" w:rightChars="-50"/>
                    <w:jc w:val="center"/>
                    <w:rPr>
                      <w:rFonts w:hint="eastAsia"/>
                      <w:bCs/>
                      <w:snapToGrid w:val="0"/>
                      <w:kern w:val="24"/>
                      <w:szCs w:val="21"/>
                    </w:rPr>
                  </w:pPr>
                  <w:r>
                    <w:rPr>
                      <w:rFonts w:hint="eastAsia"/>
                      <w:bCs/>
                      <w:snapToGrid w:val="0"/>
                      <w:kern w:val="24"/>
                      <w:szCs w:val="21"/>
                    </w:rPr>
                    <w:t>羊茅</w:t>
                  </w:r>
                </w:p>
              </w:tc>
              <w:tc>
                <w:tcPr>
                  <w:tcW w:w="5217" w:type="dxa"/>
                  <w:vAlign w:val="center"/>
                </w:tcPr>
                <w:p w14:paraId="6AAC0870">
                  <w:pPr>
                    <w:spacing w:line="0" w:lineRule="atLeast"/>
                    <w:ind w:left="-105" w:leftChars="-50" w:right="-105" w:rightChars="-50"/>
                    <w:jc w:val="center"/>
                    <w:rPr>
                      <w:i/>
                      <w:color w:val="000000"/>
                      <w:szCs w:val="21"/>
                    </w:rPr>
                  </w:pPr>
                  <w:r>
                    <w:rPr>
                      <w:i/>
                      <w:color w:val="000000"/>
                      <w:szCs w:val="21"/>
                    </w:rPr>
                    <w:t xml:space="preserve">Festuca ovina </w:t>
                  </w:r>
                  <w:r>
                    <w:rPr>
                      <w:color w:val="000000"/>
                      <w:szCs w:val="21"/>
                    </w:rPr>
                    <w:t>L.</w:t>
                  </w:r>
                </w:p>
              </w:tc>
            </w:tr>
            <w:tr w14:paraId="2EDD2E4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067C9073">
                  <w:pPr>
                    <w:spacing w:line="0" w:lineRule="atLeast"/>
                    <w:jc w:val="center"/>
                    <w:rPr>
                      <w:rFonts w:hint="eastAsia"/>
                    </w:rPr>
                  </w:pPr>
                  <w:r>
                    <w:rPr>
                      <w:rFonts w:hint="eastAsia"/>
                    </w:rPr>
                    <w:t>68</w:t>
                  </w:r>
                </w:p>
              </w:tc>
              <w:tc>
                <w:tcPr>
                  <w:tcW w:w="2573" w:type="dxa"/>
                  <w:vAlign w:val="center"/>
                </w:tcPr>
                <w:p w14:paraId="250E70B0">
                  <w:pPr>
                    <w:spacing w:line="0" w:lineRule="atLeast"/>
                    <w:ind w:left="-105" w:leftChars="-50" w:right="-105" w:rightChars="-50"/>
                    <w:jc w:val="center"/>
                    <w:rPr>
                      <w:rFonts w:hint="eastAsia"/>
                      <w:bCs/>
                      <w:snapToGrid w:val="0"/>
                      <w:kern w:val="24"/>
                      <w:szCs w:val="21"/>
                    </w:rPr>
                  </w:pPr>
                  <w:r>
                    <w:rPr>
                      <w:rFonts w:hint="eastAsia"/>
                      <w:bCs/>
                      <w:snapToGrid w:val="0"/>
                      <w:kern w:val="24"/>
                      <w:szCs w:val="21"/>
                    </w:rPr>
                    <w:t>洽草</w:t>
                  </w:r>
                </w:p>
              </w:tc>
              <w:tc>
                <w:tcPr>
                  <w:tcW w:w="5217" w:type="dxa"/>
                  <w:vAlign w:val="center"/>
                </w:tcPr>
                <w:p w14:paraId="304D8754">
                  <w:pPr>
                    <w:spacing w:line="0" w:lineRule="atLeast"/>
                    <w:ind w:left="-105" w:leftChars="-50" w:right="-105" w:rightChars="-50"/>
                    <w:jc w:val="center"/>
                    <w:rPr>
                      <w:rFonts w:hint="eastAsia"/>
                      <w:color w:val="000000"/>
                      <w:szCs w:val="21"/>
                      <w:lang w:val="pt-BR"/>
                    </w:rPr>
                  </w:pPr>
                  <w:r>
                    <w:rPr>
                      <w:i/>
                      <w:color w:val="000000"/>
                      <w:szCs w:val="21"/>
                      <w:lang w:val="pt-BR"/>
                    </w:rPr>
                    <w:t>Koeleria</w:t>
                  </w:r>
                  <w:r>
                    <w:rPr>
                      <w:rFonts w:hint="eastAsia"/>
                      <w:i/>
                      <w:color w:val="000000"/>
                      <w:szCs w:val="21"/>
                      <w:lang w:val="pt-BR"/>
                    </w:rPr>
                    <w:t xml:space="preserve"> cristata </w:t>
                  </w:r>
                  <w:r>
                    <w:rPr>
                      <w:rFonts w:hint="eastAsia"/>
                      <w:color w:val="000000"/>
                      <w:szCs w:val="21"/>
                      <w:lang w:val="pt-BR"/>
                    </w:rPr>
                    <w:t>（L.）Pers</w:t>
                  </w:r>
                </w:p>
              </w:tc>
            </w:tr>
            <w:tr w14:paraId="106D245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0FDD4580">
                  <w:pPr>
                    <w:spacing w:line="0" w:lineRule="atLeast"/>
                    <w:jc w:val="center"/>
                    <w:rPr>
                      <w:rFonts w:hint="eastAsia"/>
                    </w:rPr>
                  </w:pPr>
                  <w:r>
                    <w:rPr>
                      <w:rFonts w:hint="eastAsia"/>
                    </w:rPr>
                    <w:t>69</w:t>
                  </w:r>
                </w:p>
              </w:tc>
              <w:tc>
                <w:tcPr>
                  <w:tcW w:w="2573" w:type="dxa"/>
                  <w:vAlign w:val="center"/>
                </w:tcPr>
                <w:p w14:paraId="71B3AC3A">
                  <w:pPr>
                    <w:spacing w:line="0" w:lineRule="atLeast"/>
                    <w:ind w:left="-105" w:leftChars="-50" w:right="-105" w:rightChars="-50"/>
                    <w:jc w:val="center"/>
                    <w:rPr>
                      <w:rFonts w:hint="eastAsia"/>
                      <w:bCs/>
                      <w:snapToGrid w:val="0"/>
                      <w:kern w:val="24"/>
                      <w:szCs w:val="21"/>
                    </w:rPr>
                  </w:pPr>
                  <w:r>
                    <w:rPr>
                      <w:rFonts w:hint="eastAsia"/>
                      <w:bCs/>
                      <w:snapToGrid w:val="0"/>
                      <w:kern w:val="24"/>
                      <w:szCs w:val="21"/>
                    </w:rPr>
                    <w:t>芦苇</w:t>
                  </w:r>
                </w:p>
              </w:tc>
              <w:tc>
                <w:tcPr>
                  <w:tcW w:w="5217" w:type="dxa"/>
                  <w:vAlign w:val="center"/>
                </w:tcPr>
                <w:p w14:paraId="0598049F">
                  <w:pPr>
                    <w:spacing w:line="0" w:lineRule="atLeast"/>
                    <w:ind w:left="-105" w:leftChars="-50" w:right="-105" w:rightChars="-50"/>
                    <w:jc w:val="center"/>
                    <w:rPr>
                      <w:rFonts w:hint="eastAsia"/>
                      <w:i/>
                      <w:color w:val="000000"/>
                      <w:szCs w:val="21"/>
                    </w:rPr>
                  </w:pPr>
                  <w:r>
                    <w:rPr>
                      <w:i/>
                      <w:color w:val="000000"/>
                      <w:szCs w:val="21"/>
                    </w:rPr>
                    <w:t>Phragmites communis</w:t>
                  </w:r>
                </w:p>
              </w:tc>
            </w:tr>
            <w:tr w14:paraId="5755C8F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27117339">
                  <w:pPr>
                    <w:spacing w:line="0" w:lineRule="atLeast"/>
                    <w:jc w:val="center"/>
                    <w:rPr>
                      <w:rFonts w:hint="eastAsia"/>
                    </w:rPr>
                  </w:pPr>
                  <w:r>
                    <w:rPr>
                      <w:rFonts w:hint="eastAsia"/>
                    </w:rPr>
                    <w:t>70</w:t>
                  </w:r>
                </w:p>
              </w:tc>
              <w:tc>
                <w:tcPr>
                  <w:tcW w:w="2573" w:type="dxa"/>
                  <w:vAlign w:val="center"/>
                </w:tcPr>
                <w:p w14:paraId="6CF1DDCC">
                  <w:pPr>
                    <w:spacing w:line="0" w:lineRule="atLeast"/>
                    <w:ind w:left="-105" w:leftChars="-50" w:right="-105" w:rightChars="-50"/>
                    <w:jc w:val="center"/>
                    <w:rPr>
                      <w:rFonts w:hint="eastAsia"/>
                      <w:bCs/>
                      <w:snapToGrid w:val="0"/>
                      <w:kern w:val="24"/>
                      <w:szCs w:val="21"/>
                    </w:rPr>
                  </w:pPr>
                  <w:r>
                    <w:rPr>
                      <w:rFonts w:hint="eastAsia"/>
                      <w:bCs/>
                      <w:snapToGrid w:val="0"/>
                      <w:kern w:val="24"/>
                      <w:szCs w:val="21"/>
                    </w:rPr>
                    <w:t>蒙古早熟禾</w:t>
                  </w:r>
                </w:p>
              </w:tc>
              <w:tc>
                <w:tcPr>
                  <w:tcW w:w="5217" w:type="dxa"/>
                  <w:vAlign w:val="center"/>
                </w:tcPr>
                <w:p w14:paraId="758C984E">
                  <w:pPr>
                    <w:spacing w:line="0" w:lineRule="atLeast"/>
                    <w:ind w:left="-105" w:leftChars="-50" w:right="-105" w:rightChars="-50"/>
                    <w:jc w:val="center"/>
                    <w:rPr>
                      <w:i/>
                      <w:color w:val="000000"/>
                      <w:szCs w:val="21"/>
                    </w:rPr>
                  </w:pPr>
                  <w:r>
                    <w:rPr>
                      <w:rFonts w:hint="eastAsia"/>
                      <w:i/>
                      <w:color w:val="000000"/>
                      <w:szCs w:val="21"/>
                    </w:rPr>
                    <w:t xml:space="preserve">Poa mongolica </w:t>
                  </w:r>
                  <w:r>
                    <w:rPr>
                      <w:rFonts w:hint="eastAsia"/>
                      <w:color w:val="000000"/>
                      <w:szCs w:val="21"/>
                    </w:rPr>
                    <w:t>（</w:t>
                  </w:r>
                  <w:r>
                    <w:rPr>
                      <w:rFonts w:hint="eastAsia"/>
                      <w:i/>
                      <w:color w:val="000000"/>
                      <w:szCs w:val="21"/>
                    </w:rPr>
                    <w:t>Rendle</w:t>
                  </w:r>
                  <w:r>
                    <w:rPr>
                      <w:rFonts w:hint="eastAsia"/>
                      <w:color w:val="000000"/>
                      <w:szCs w:val="21"/>
                    </w:rPr>
                    <w:t>）Keng ex Shan Chen</w:t>
                  </w:r>
                </w:p>
              </w:tc>
            </w:tr>
            <w:tr w14:paraId="47B153A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52C6C665">
                  <w:pPr>
                    <w:spacing w:line="0" w:lineRule="atLeast"/>
                    <w:jc w:val="center"/>
                    <w:rPr>
                      <w:rFonts w:hint="eastAsia"/>
                    </w:rPr>
                  </w:pPr>
                  <w:r>
                    <w:rPr>
                      <w:rFonts w:hint="eastAsia"/>
                    </w:rPr>
                    <w:t>71</w:t>
                  </w:r>
                </w:p>
              </w:tc>
              <w:tc>
                <w:tcPr>
                  <w:tcW w:w="2573" w:type="dxa"/>
                  <w:vAlign w:val="center"/>
                </w:tcPr>
                <w:p w14:paraId="5B83B940">
                  <w:pPr>
                    <w:spacing w:line="0" w:lineRule="atLeast"/>
                    <w:ind w:left="-105" w:leftChars="-50" w:right="-105" w:rightChars="-50"/>
                    <w:jc w:val="center"/>
                    <w:rPr>
                      <w:rFonts w:hint="eastAsia"/>
                      <w:bCs/>
                      <w:snapToGrid w:val="0"/>
                      <w:kern w:val="24"/>
                      <w:szCs w:val="21"/>
                    </w:rPr>
                  </w:pPr>
                  <w:r>
                    <w:rPr>
                      <w:rFonts w:hint="eastAsia"/>
                      <w:bCs/>
                      <w:snapToGrid w:val="0"/>
                      <w:kern w:val="24"/>
                      <w:szCs w:val="21"/>
                    </w:rPr>
                    <w:t>碱茅</w:t>
                  </w:r>
                </w:p>
              </w:tc>
              <w:tc>
                <w:tcPr>
                  <w:tcW w:w="5217" w:type="dxa"/>
                  <w:vAlign w:val="center"/>
                </w:tcPr>
                <w:p w14:paraId="13596870">
                  <w:pPr>
                    <w:spacing w:line="0" w:lineRule="atLeast"/>
                    <w:ind w:left="-105" w:leftChars="-50" w:right="-105" w:rightChars="-50"/>
                    <w:jc w:val="center"/>
                    <w:rPr>
                      <w:rFonts w:hint="eastAsia"/>
                      <w:i/>
                      <w:color w:val="000000"/>
                      <w:szCs w:val="21"/>
                    </w:rPr>
                  </w:pPr>
                  <w:r>
                    <w:rPr>
                      <w:i/>
                      <w:color w:val="000000"/>
                      <w:szCs w:val="21"/>
                    </w:rPr>
                    <w:t>Puccinellia distans</w:t>
                  </w:r>
                </w:p>
              </w:tc>
            </w:tr>
            <w:tr w14:paraId="63B264A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13CE47CA">
                  <w:pPr>
                    <w:spacing w:line="0" w:lineRule="atLeast"/>
                    <w:jc w:val="center"/>
                    <w:rPr>
                      <w:rFonts w:hint="eastAsia"/>
                    </w:rPr>
                  </w:pPr>
                  <w:r>
                    <w:rPr>
                      <w:rFonts w:hint="eastAsia"/>
                    </w:rPr>
                    <w:t>72</w:t>
                  </w:r>
                </w:p>
              </w:tc>
              <w:tc>
                <w:tcPr>
                  <w:tcW w:w="2573" w:type="dxa"/>
                  <w:vAlign w:val="center"/>
                </w:tcPr>
                <w:p w14:paraId="57448D4E">
                  <w:pPr>
                    <w:spacing w:line="0" w:lineRule="atLeast"/>
                    <w:ind w:left="-105" w:leftChars="-50" w:right="-105" w:rightChars="-50"/>
                    <w:jc w:val="center"/>
                    <w:rPr>
                      <w:rFonts w:hint="eastAsia"/>
                      <w:bCs/>
                      <w:snapToGrid w:val="0"/>
                      <w:kern w:val="24"/>
                      <w:szCs w:val="21"/>
                    </w:rPr>
                  </w:pPr>
                  <w:r>
                    <w:rPr>
                      <w:rFonts w:hint="eastAsia"/>
                      <w:bCs/>
                      <w:snapToGrid w:val="0"/>
                      <w:kern w:val="24"/>
                      <w:szCs w:val="21"/>
                    </w:rPr>
                    <w:t>狗尾草</w:t>
                  </w:r>
                </w:p>
              </w:tc>
              <w:tc>
                <w:tcPr>
                  <w:tcW w:w="5217" w:type="dxa"/>
                  <w:vAlign w:val="center"/>
                </w:tcPr>
                <w:p w14:paraId="66FF0214">
                  <w:pPr>
                    <w:spacing w:line="0" w:lineRule="atLeast"/>
                    <w:ind w:left="-105" w:leftChars="-50" w:right="-105" w:rightChars="-50"/>
                    <w:jc w:val="center"/>
                    <w:rPr>
                      <w:i/>
                      <w:color w:val="000000"/>
                      <w:szCs w:val="21"/>
                      <w:lang w:val="pt-BR"/>
                    </w:rPr>
                  </w:pPr>
                  <w:r>
                    <w:rPr>
                      <w:i/>
                      <w:color w:val="000000"/>
                      <w:szCs w:val="21"/>
                      <w:lang w:val="pt-BR"/>
                    </w:rPr>
                    <w:t>Setaria viridis</w:t>
                  </w:r>
                  <w:r>
                    <w:rPr>
                      <w:rFonts w:hint="eastAsia"/>
                      <w:color w:val="000000"/>
                      <w:szCs w:val="21"/>
                      <w:lang w:val="pt-BR"/>
                    </w:rPr>
                    <w:t>（</w:t>
                  </w:r>
                  <w:r>
                    <w:rPr>
                      <w:color w:val="000000"/>
                      <w:szCs w:val="21"/>
                      <w:lang w:val="pt-BR"/>
                    </w:rPr>
                    <w:t>L.</w:t>
                  </w:r>
                  <w:r>
                    <w:rPr>
                      <w:rFonts w:hint="eastAsia"/>
                      <w:color w:val="000000"/>
                      <w:szCs w:val="21"/>
                      <w:lang w:val="pt-BR"/>
                    </w:rPr>
                    <w:t>）</w:t>
                  </w:r>
                  <w:r>
                    <w:rPr>
                      <w:color w:val="000000"/>
                      <w:szCs w:val="21"/>
                      <w:lang w:val="pt-BR"/>
                    </w:rPr>
                    <w:t>Beauv.</w:t>
                  </w:r>
                </w:p>
              </w:tc>
            </w:tr>
            <w:tr w14:paraId="762EB92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4884019C">
                  <w:pPr>
                    <w:spacing w:line="0" w:lineRule="atLeast"/>
                    <w:jc w:val="center"/>
                    <w:rPr>
                      <w:rFonts w:hint="eastAsia"/>
                    </w:rPr>
                  </w:pPr>
                  <w:r>
                    <w:rPr>
                      <w:rFonts w:hint="eastAsia"/>
                    </w:rPr>
                    <w:t>73</w:t>
                  </w:r>
                </w:p>
              </w:tc>
              <w:tc>
                <w:tcPr>
                  <w:tcW w:w="2573" w:type="dxa"/>
                  <w:vAlign w:val="center"/>
                </w:tcPr>
                <w:p w14:paraId="33EA80E6">
                  <w:pPr>
                    <w:spacing w:line="0" w:lineRule="atLeast"/>
                    <w:ind w:left="-105" w:leftChars="-50" w:right="-105" w:rightChars="-50"/>
                    <w:jc w:val="center"/>
                    <w:rPr>
                      <w:rFonts w:hint="eastAsia"/>
                      <w:bCs/>
                      <w:snapToGrid w:val="0"/>
                      <w:kern w:val="24"/>
                      <w:szCs w:val="21"/>
                    </w:rPr>
                  </w:pPr>
                  <w:r>
                    <w:rPr>
                      <w:rFonts w:hint="eastAsia"/>
                      <w:bCs/>
                      <w:snapToGrid w:val="0"/>
                      <w:kern w:val="24"/>
                      <w:szCs w:val="21"/>
                    </w:rPr>
                    <w:t>小针茅</w:t>
                  </w:r>
                </w:p>
              </w:tc>
              <w:tc>
                <w:tcPr>
                  <w:tcW w:w="5217" w:type="dxa"/>
                  <w:vAlign w:val="center"/>
                </w:tcPr>
                <w:p w14:paraId="659856E4">
                  <w:pPr>
                    <w:spacing w:line="0" w:lineRule="atLeast"/>
                    <w:ind w:left="-105" w:leftChars="-50" w:right="-105" w:rightChars="-50"/>
                    <w:jc w:val="center"/>
                    <w:rPr>
                      <w:rFonts w:hint="eastAsia"/>
                      <w:color w:val="000000"/>
                      <w:szCs w:val="21"/>
                    </w:rPr>
                  </w:pPr>
                  <w:r>
                    <w:rPr>
                      <w:i/>
                      <w:color w:val="000000"/>
                      <w:szCs w:val="21"/>
                    </w:rPr>
                    <w:t>Stipa</w:t>
                  </w:r>
                  <w:r>
                    <w:rPr>
                      <w:rFonts w:hint="eastAsia"/>
                      <w:i/>
                      <w:color w:val="000000"/>
                      <w:szCs w:val="21"/>
                    </w:rPr>
                    <w:t xml:space="preserve"> Klemenzii</w:t>
                  </w:r>
                </w:p>
              </w:tc>
            </w:tr>
            <w:tr w14:paraId="470C182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7DF069A4">
                  <w:pPr>
                    <w:spacing w:line="0" w:lineRule="atLeast"/>
                    <w:jc w:val="center"/>
                    <w:rPr>
                      <w:rFonts w:hint="eastAsia"/>
                    </w:rPr>
                  </w:pPr>
                  <w:r>
                    <w:rPr>
                      <w:rFonts w:hint="eastAsia"/>
                    </w:rPr>
                    <w:t>74</w:t>
                  </w:r>
                </w:p>
              </w:tc>
              <w:tc>
                <w:tcPr>
                  <w:tcW w:w="2573" w:type="dxa"/>
                  <w:vAlign w:val="center"/>
                </w:tcPr>
                <w:p w14:paraId="3D52A17B">
                  <w:pPr>
                    <w:spacing w:line="0" w:lineRule="atLeast"/>
                    <w:ind w:left="-105" w:leftChars="-50" w:right="-105" w:rightChars="-50"/>
                    <w:jc w:val="center"/>
                    <w:rPr>
                      <w:rFonts w:hint="eastAsia"/>
                      <w:bCs/>
                      <w:snapToGrid w:val="0"/>
                      <w:kern w:val="24"/>
                      <w:szCs w:val="21"/>
                    </w:rPr>
                  </w:pPr>
                  <w:r>
                    <w:rPr>
                      <w:rFonts w:hint="eastAsia"/>
                      <w:bCs/>
                      <w:snapToGrid w:val="0"/>
                      <w:kern w:val="24"/>
                      <w:szCs w:val="21"/>
                    </w:rPr>
                    <w:t>大针茅</w:t>
                  </w:r>
                </w:p>
              </w:tc>
              <w:tc>
                <w:tcPr>
                  <w:tcW w:w="5217" w:type="dxa"/>
                  <w:vAlign w:val="center"/>
                </w:tcPr>
                <w:p w14:paraId="3929BCFF">
                  <w:pPr>
                    <w:spacing w:line="0" w:lineRule="atLeast"/>
                    <w:ind w:left="-105" w:leftChars="-50" w:right="-105" w:rightChars="-50"/>
                    <w:jc w:val="center"/>
                    <w:rPr>
                      <w:i/>
                      <w:color w:val="000000"/>
                      <w:szCs w:val="21"/>
                    </w:rPr>
                  </w:pPr>
                  <w:r>
                    <w:rPr>
                      <w:i/>
                      <w:color w:val="000000"/>
                      <w:szCs w:val="21"/>
                    </w:rPr>
                    <w:t xml:space="preserve">Stipa grandis </w:t>
                  </w:r>
                  <w:r>
                    <w:rPr>
                      <w:color w:val="000000"/>
                      <w:szCs w:val="21"/>
                    </w:rPr>
                    <w:t>P. Smirn.</w:t>
                  </w:r>
                </w:p>
              </w:tc>
            </w:tr>
            <w:tr w14:paraId="7A8B845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0CD9AF7D">
                  <w:pPr>
                    <w:spacing w:line="0" w:lineRule="atLeast"/>
                    <w:jc w:val="center"/>
                    <w:rPr>
                      <w:rFonts w:hint="eastAsia"/>
                    </w:rPr>
                  </w:pPr>
                  <w:r>
                    <w:rPr>
                      <w:rFonts w:hint="eastAsia"/>
                    </w:rPr>
                    <w:t>75</w:t>
                  </w:r>
                </w:p>
              </w:tc>
              <w:tc>
                <w:tcPr>
                  <w:tcW w:w="2573" w:type="dxa"/>
                  <w:vAlign w:val="center"/>
                </w:tcPr>
                <w:p w14:paraId="2CE37EFF">
                  <w:pPr>
                    <w:spacing w:line="0" w:lineRule="atLeast"/>
                    <w:ind w:left="-105" w:leftChars="-50" w:right="-105" w:rightChars="-50"/>
                    <w:jc w:val="center"/>
                    <w:rPr>
                      <w:rFonts w:hint="eastAsia"/>
                      <w:bCs/>
                      <w:snapToGrid w:val="0"/>
                      <w:kern w:val="24"/>
                      <w:szCs w:val="21"/>
                    </w:rPr>
                  </w:pPr>
                  <w:r>
                    <w:rPr>
                      <w:rFonts w:hint="eastAsia"/>
                      <w:bCs/>
                      <w:snapToGrid w:val="0"/>
                      <w:kern w:val="24"/>
                      <w:szCs w:val="21"/>
                    </w:rPr>
                    <w:t>克氏针茅</w:t>
                  </w:r>
                </w:p>
              </w:tc>
              <w:tc>
                <w:tcPr>
                  <w:tcW w:w="5217" w:type="dxa"/>
                  <w:vAlign w:val="center"/>
                </w:tcPr>
                <w:p w14:paraId="27899216">
                  <w:pPr>
                    <w:spacing w:line="0" w:lineRule="atLeast"/>
                    <w:ind w:left="-105" w:leftChars="-50" w:right="-105" w:rightChars="-50"/>
                    <w:jc w:val="center"/>
                    <w:rPr>
                      <w:rFonts w:hint="eastAsia"/>
                      <w:i/>
                      <w:color w:val="000000"/>
                      <w:szCs w:val="21"/>
                    </w:rPr>
                  </w:pPr>
                  <w:r>
                    <w:rPr>
                      <w:i/>
                      <w:color w:val="000000"/>
                      <w:szCs w:val="21"/>
                    </w:rPr>
                    <w:t xml:space="preserve">Stipa krylovii </w:t>
                  </w:r>
                  <w:r>
                    <w:rPr>
                      <w:color w:val="000000"/>
                      <w:szCs w:val="21"/>
                    </w:rPr>
                    <w:t>Roshev</w:t>
                  </w:r>
                </w:p>
              </w:tc>
            </w:tr>
            <w:tr w14:paraId="5F9812C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68C33042">
                  <w:pPr>
                    <w:spacing w:line="0" w:lineRule="atLeast"/>
                    <w:jc w:val="center"/>
                    <w:rPr>
                      <w:rFonts w:hint="eastAsia"/>
                    </w:rPr>
                  </w:pPr>
                  <w:r>
                    <w:rPr>
                      <w:rFonts w:hint="eastAsia"/>
                    </w:rPr>
                    <w:t>76</w:t>
                  </w:r>
                </w:p>
              </w:tc>
              <w:tc>
                <w:tcPr>
                  <w:tcW w:w="2573" w:type="dxa"/>
                  <w:vAlign w:val="center"/>
                </w:tcPr>
                <w:p w14:paraId="6A24178E">
                  <w:pPr>
                    <w:spacing w:line="0" w:lineRule="atLeast"/>
                    <w:ind w:left="-105" w:leftChars="-50" w:right="-105" w:rightChars="-50"/>
                    <w:jc w:val="center"/>
                    <w:rPr>
                      <w:rFonts w:hint="eastAsia"/>
                      <w:bCs/>
                      <w:snapToGrid w:val="0"/>
                      <w:kern w:val="24"/>
                      <w:szCs w:val="21"/>
                    </w:rPr>
                  </w:pPr>
                  <w:r>
                    <w:rPr>
                      <w:rFonts w:hint="eastAsia"/>
                      <w:bCs/>
                      <w:snapToGrid w:val="0"/>
                      <w:kern w:val="24"/>
                      <w:szCs w:val="21"/>
                    </w:rPr>
                    <w:t>戈壁针茅</w:t>
                  </w:r>
                </w:p>
              </w:tc>
              <w:tc>
                <w:tcPr>
                  <w:tcW w:w="5217" w:type="dxa"/>
                  <w:vAlign w:val="center"/>
                </w:tcPr>
                <w:p w14:paraId="4BA6BFD6">
                  <w:pPr>
                    <w:spacing w:line="0" w:lineRule="atLeast"/>
                    <w:ind w:left="-105" w:leftChars="-50" w:right="-105" w:rightChars="-50"/>
                    <w:jc w:val="center"/>
                    <w:rPr>
                      <w:i/>
                      <w:color w:val="000000"/>
                      <w:szCs w:val="21"/>
                    </w:rPr>
                  </w:pPr>
                  <w:r>
                    <w:rPr>
                      <w:i/>
                      <w:color w:val="000000"/>
                      <w:szCs w:val="21"/>
                    </w:rPr>
                    <w:t xml:space="preserve">Stipa tianschanica </w:t>
                  </w:r>
                  <w:r>
                    <w:rPr>
                      <w:color w:val="000000"/>
                      <w:szCs w:val="21"/>
                    </w:rPr>
                    <w:t>Roshev. var. gobica</w:t>
                  </w:r>
                  <w:r>
                    <w:rPr>
                      <w:rFonts w:hint="eastAsia"/>
                      <w:color w:val="000000"/>
                      <w:szCs w:val="21"/>
                    </w:rPr>
                    <w:t>（</w:t>
                  </w:r>
                  <w:r>
                    <w:rPr>
                      <w:color w:val="000000"/>
                      <w:szCs w:val="21"/>
                    </w:rPr>
                    <w:t>Roshev.</w:t>
                  </w:r>
                  <w:r>
                    <w:rPr>
                      <w:rFonts w:hint="eastAsia"/>
                      <w:color w:val="000000"/>
                      <w:szCs w:val="21"/>
                    </w:rPr>
                    <w:t>）</w:t>
                  </w:r>
                  <w:r>
                    <w:rPr>
                      <w:color w:val="000000"/>
                      <w:szCs w:val="21"/>
                    </w:rPr>
                    <w:t>P. C. Kuo</w:t>
                  </w:r>
                </w:p>
              </w:tc>
            </w:tr>
            <w:tr w14:paraId="4E74A22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726D5296">
                  <w:pPr>
                    <w:spacing w:line="0" w:lineRule="atLeast"/>
                    <w:jc w:val="center"/>
                    <w:rPr>
                      <w:rFonts w:hint="eastAsia"/>
                    </w:rPr>
                  </w:pPr>
                  <w:r>
                    <w:rPr>
                      <w:rFonts w:hint="eastAsia"/>
                    </w:rPr>
                    <w:t>二十二</w:t>
                  </w:r>
                </w:p>
              </w:tc>
              <w:tc>
                <w:tcPr>
                  <w:tcW w:w="7790" w:type="dxa"/>
                  <w:gridSpan w:val="2"/>
                  <w:vAlign w:val="center"/>
                </w:tcPr>
                <w:p w14:paraId="0FAC1AA9">
                  <w:pPr>
                    <w:spacing w:line="0" w:lineRule="atLeast"/>
                    <w:ind w:left="-105" w:leftChars="-50" w:right="-105" w:rightChars="-50"/>
                    <w:rPr>
                      <w:rFonts w:hint="eastAsia"/>
                      <w:color w:val="000000"/>
                      <w:szCs w:val="21"/>
                    </w:rPr>
                  </w:pPr>
                  <w:r>
                    <w:rPr>
                      <w:rFonts w:hint="eastAsia"/>
                      <w:i/>
                      <w:color w:val="000000"/>
                      <w:szCs w:val="21"/>
                    </w:rPr>
                    <w:t xml:space="preserve"> </w:t>
                  </w:r>
                  <w:r>
                    <w:rPr>
                      <w:rFonts w:hint="eastAsia"/>
                      <w:color w:val="000000"/>
                      <w:szCs w:val="21"/>
                    </w:rPr>
                    <w:t xml:space="preserve">莎草科 </w:t>
                  </w:r>
                  <w:r>
                    <w:rPr>
                      <w:i/>
                      <w:color w:val="000000"/>
                      <w:szCs w:val="21"/>
                    </w:rPr>
                    <w:t>Cyperaceae</w:t>
                  </w:r>
                </w:p>
              </w:tc>
            </w:tr>
            <w:tr w14:paraId="7C16074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6D39BD5A">
                  <w:pPr>
                    <w:spacing w:line="0" w:lineRule="atLeast"/>
                    <w:jc w:val="center"/>
                    <w:rPr>
                      <w:rFonts w:hint="eastAsia"/>
                    </w:rPr>
                  </w:pPr>
                  <w:r>
                    <w:rPr>
                      <w:rFonts w:hint="eastAsia"/>
                    </w:rPr>
                    <w:t>77</w:t>
                  </w:r>
                </w:p>
              </w:tc>
              <w:tc>
                <w:tcPr>
                  <w:tcW w:w="2573" w:type="dxa"/>
                  <w:vAlign w:val="center"/>
                </w:tcPr>
                <w:p w14:paraId="34D4A77F">
                  <w:pPr>
                    <w:spacing w:line="0" w:lineRule="atLeast"/>
                    <w:ind w:left="-105" w:leftChars="-50" w:right="-105" w:rightChars="-50"/>
                    <w:jc w:val="center"/>
                    <w:rPr>
                      <w:rFonts w:hint="eastAsia"/>
                      <w:bCs/>
                      <w:snapToGrid w:val="0"/>
                      <w:kern w:val="24"/>
                      <w:szCs w:val="21"/>
                    </w:rPr>
                  </w:pPr>
                  <w:r>
                    <w:rPr>
                      <w:rFonts w:hint="eastAsia"/>
                      <w:bCs/>
                      <w:snapToGrid w:val="0"/>
                      <w:kern w:val="24"/>
                      <w:szCs w:val="21"/>
                    </w:rPr>
                    <w:t>黄囊苔草</w:t>
                  </w:r>
                </w:p>
              </w:tc>
              <w:tc>
                <w:tcPr>
                  <w:tcW w:w="5217" w:type="dxa"/>
                  <w:vAlign w:val="center"/>
                </w:tcPr>
                <w:p w14:paraId="199947D2">
                  <w:pPr>
                    <w:spacing w:line="0" w:lineRule="atLeast"/>
                    <w:ind w:left="-105" w:leftChars="-50" w:right="-105" w:rightChars="-50"/>
                    <w:jc w:val="center"/>
                    <w:rPr>
                      <w:rFonts w:hint="eastAsia"/>
                      <w:i/>
                      <w:color w:val="000000"/>
                      <w:szCs w:val="21"/>
                    </w:rPr>
                  </w:pPr>
                  <w:r>
                    <w:rPr>
                      <w:i/>
                      <w:color w:val="000000"/>
                      <w:szCs w:val="21"/>
                    </w:rPr>
                    <w:t xml:space="preserve">Carex korshinskyi </w:t>
                  </w:r>
                  <w:r>
                    <w:rPr>
                      <w:color w:val="000000"/>
                      <w:szCs w:val="21"/>
                    </w:rPr>
                    <w:t>Kom</w:t>
                  </w:r>
                </w:p>
              </w:tc>
            </w:tr>
            <w:tr w14:paraId="0ED3EB1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59617D6B">
                  <w:pPr>
                    <w:spacing w:line="0" w:lineRule="atLeast"/>
                    <w:jc w:val="center"/>
                    <w:rPr>
                      <w:rFonts w:hint="eastAsia"/>
                    </w:rPr>
                  </w:pPr>
                  <w:r>
                    <w:rPr>
                      <w:rFonts w:hint="eastAsia"/>
                    </w:rPr>
                    <w:t>二十三</w:t>
                  </w:r>
                </w:p>
              </w:tc>
              <w:tc>
                <w:tcPr>
                  <w:tcW w:w="7790" w:type="dxa"/>
                  <w:gridSpan w:val="2"/>
                  <w:vAlign w:val="center"/>
                </w:tcPr>
                <w:p w14:paraId="38D879B7">
                  <w:pPr>
                    <w:spacing w:line="0" w:lineRule="atLeast"/>
                    <w:ind w:left="-105" w:leftChars="-50" w:right="-105" w:rightChars="-50" w:firstLine="105" w:firstLineChars="50"/>
                    <w:rPr>
                      <w:rFonts w:hint="eastAsia"/>
                      <w:bCs/>
                      <w:snapToGrid w:val="0"/>
                      <w:kern w:val="24"/>
                      <w:szCs w:val="21"/>
                    </w:rPr>
                  </w:pPr>
                  <w:r>
                    <w:rPr>
                      <w:rFonts w:hint="eastAsia"/>
                      <w:bCs/>
                      <w:snapToGrid w:val="0"/>
                      <w:kern w:val="24"/>
                      <w:szCs w:val="21"/>
                    </w:rPr>
                    <w:t xml:space="preserve">百合科 </w:t>
                  </w:r>
                  <w:r>
                    <w:rPr>
                      <w:bCs/>
                      <w:i/>
                      <w:snapToGrid w:val="0"/>
                      <w:kern w:val="24"/>
                      <w:szCs w:val="21"/>
                    </w:rPr>
                    <w:t>Liliaceae</w:t>
                  </w:r>
                </w:p>
              </w:tc>
            </w:tr>
            <w:tr w14:paraId="0929166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01D2B877">
                  <w:pPr>
                    <w:spacing w:line="0" w:lineRule="atLeast"/>
                    <w:jc w:val="center"/>
                    <w:rPr>
                      <w:rFonts w:hint="eastAsia"/>
                    </w:rPr>
                  </w:pPr>
                  <w:r>
                    <w:rPr>
                      <w:rFonts w:hint="eastAsia"/>
                    </w:rPr>
                    <w:t>78</w:t>
                  </w:r>
                </w:p>
              </w:tc>
              <w:tc>
                <w:tcPr>
                  <w:tcW w:w="2573" w:type="dxa"/>
                  <w:vAlign w:val="center"/>
                </w:tcPr>
                <w:p w14:paraId="02692D35">
                  <w:pPr>
                    <w:spacing w:line="0" w:lineRule="atLeast"/>
                    <w:ind w:left="-105" w:leftChars="-50" w:right="-105" w:rightChars="-50"/>
                    <w:jc w:val="center"/>
                    <w:rPr>
                      <w:rFonts w:hint="eastAsia"/>
                      <w:bCs/>
                      <w:snapToGrid w:val="0"/>
                      <w:kern w:val="24"/>
                      <w:szCs w:val="21"/>
                    </w:rPr>
                  </w:pPr>
                  <w:r>
                    <w:rPr>
                      <w:rFonts w:hint="eastAsia"/>
                      <w:bCs/>
                      <w:snapToGrid w:val="0"/>
                      <w:kern w:val="24"/>
                      <w:szCs w:val="21"/>
                    </w:rPr>
                    <w:t>矮葱</w:t>
                  </w:r>
                </w:p>
              </w:tc>
              <w:tc>
                <w:tcPr>
                  <w:tcW w:w="5217" w:type="dxa"/>
                  <w:vAlign w:val="center"/>
                </w:tcPr>
                <w:p w14:paraId="74E4EA32">
                  <w:pPr>
                    <w:spacing w:line="0" w:lineRule="atLeast"/>
                    <w:ind w:left="-105" w:leftChars="-50" w:right="-105" w:rightChars="-50"/>
                    <w:jc w:val="center"/>
                    <w:rPr>
                      <w:rFonts w:hint="eastAsia"/>
                      <w:i/>
                      <w:color w:val="000000"/>
                      <w:szCs w:val="21"/>
                    </w:rPr>
                  </w:pPr>
                  <w:r>
                    <w:rPr>
                      <w:rFonts w:hint="eastAsia"/>
                      <w:i/>
                      <w:color w:val="000000"/>
                      <w:szCs w:val="21"/>
                    </w:rPr>
                    <w:t xml:space="preserve">Allium anisopodium </w:t>
                  </w:r>
                  <w:r>
                    <w:rPr>
                      <w:rFonts w:hint="eastAsia"/>
                      <w:color w:val="000000"/>
                      <w:szCs w:val="21"/>
                    </w:rPr>
                    <w:t>Lbd.</w:t>
                  </w:r>
                </w:p>
              </w:tc>
            </w:tr>
            <w:tr w14:paraId="7ACA2E7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680F50BC">
                  <w:pPr>
                    <w:spacing w:line="0" w:lineRule="atLeast"/>
                    <w:jc w:val="center"/>
                    <w:rPr>
                      <w:rFonts w:hint="eastAsia"/>
                    </w:rPr>
                  </w:pPr>
                  <w:r>
                    <w:rPr>
                      <w:rFonts w:hint="eastAsia"/>
                    </w:rPr>
                    <w:t>79</w:t>
                  </w:r>
                </w:p>
              </w:tc>
              <w:tc>
                <w:tcPr>
                  <w:tcW w:w="2573" w:type="dxa"/>
                  <w:vAlign w:val="center"/>
                </w:tcPr>
                <w:p w14:paraId="1404F3CB">
                  <w:pPr>
                    <w:spacing w:line="0" w:lineRule="atLeast"/>
                    <w:ind w:left="-105" w:leftChars="-50" w:right="-105" w:rightChars="-50"/>
                    <w:jc w:val="center"/>
                    <w:rPr>
                      <w:rFonts w:hint="eastAsia"/>
                      <w:bCs/>
                      <w:snapToGrid w:val="0"/>
                      <w:kern w:val="24"/>
                      <w:szCs w:val="21"/>
                    </w:rPr>
                  </w:pPr>
                  <w:r>
                    <w:rPr>
                      <w:rFonts w:hint="eastAsia"/>
                      <w:bCs/>
                      <w:snapToGrid w:val="0"/>
                      <w:kern w:val="24"/>
                      <w:szCs w:val="21"/>
                    </w:rPr>
                    <w:t>双齿葱</w:t>
                  </w:r>
                </w:p>
              </w:tc>
              <w:tc>
                <w:tcPr>
                  <w:tcW w:w="5217" w:type="dxa"/>
                  <w:vAlign w:val="center"/>
                </w:tcPr>
                <w:p w14:paraId="029B0D50">
                  <w:pPr>
                    <w:spacing w:line="0" w:lineRule="atLeast"/>
                    <w:ind w:left="-105" w:leftChars="-50" w:right="-105" w:rightChars="-50"/>
                    <w:jc w:val="center"/>
                    <w:rPr>
                      <w:rFonts w:hint="eastAsia"/>
                      <w:color w:val="000000"/>
                      <w:szCs w:val="21"/>
                    </w:rPr>
                  </w:pPr>
                  <w:r>
                    <w:rPr>
                      <w:rFonts w:hint="eastAsia"/>
                      <w:i/>
                      <w:color w:val="000000"/>
                      <w:szCs w:val="21"/>
                    </w:rPr>
                    <w:t xml:space="preserve">Allium bidentatum </w:t>
                  </w:r>
                  <w:r>
                    <w:rPr>
                      <w:rFonts w:hint="eastAsia"/>
                      <w:color w:val="000000"/>
                      <w:szCs w:val="21"/>
                    </w:rPr>
                    <w:t>Fish</w:t>
                  </w:r>
                </w:p>
              </w:tc>
            </w:tr>
            <w:tr w14:paraId="5B458DF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1E8275AA">
                  <w:pPr>
                    <w:spacing w:line="0" w:lineRule="atLeast"/>
                    <w:jc w:val="center"/>
                    <w:rPr>
                      <w:rFonts w:hint="eastAsia"/>
                    </w:rPr>
                  </w:pPr>
                  <w:r>
                    <w:rPr>
                      <w:rFonts w:hint="eastAsia"/>
                    </w:rPr>
                    <w:t>80</w:t>
                  </w:r>
                </w:p>
              </w:tc>
              <w:tc>
                <w:tcPr>
                  <w:tcW w:w="2573" w:type="dxa"/>
                  <w:vAlign w:val="center"/>
                </w:tcPr>
                <w:p w14:paraId="3BE6F8A2">
                  <w:pPr>
                    <w:spacing w:line="0" w:lineRule="atLeast"/>
                    <w:ind w:left="-105" w:leftChars="-50" w:right="-105" w:rightChars="-50"/>
                    <w:jc w:val="center"/>
                    <w:rPr>
                      <w:rFonts w:hint="eastAsia"/>
                      <w:bCs/>
                      <w:snapToGrid w:val="0"/>
                      <w:kern w:val="24"/>
                      <w:szCs w:val="21"/>
                    </w:rPr>
                  </w:pPr>
                  <w:r>
                    <w:rPr>
                      <w:rFonts w:hint="eastAsia"/>
                      <w:bCs/>
                      <w:snapToGrid w:val="0"/>
                      <w:kern w:val="24"/>
                      <w:szCs w:val="21"/>
                    </w:rPr>
                    <w:t>黄花葱</w:t>
                  </w:r>
                </w:p>
              </w:tc>
              <w:tc>
                <w:tcPr>
                  <w:tcW w:w="5217" w:type="dxa"/>
                  <w:vAlign w:val="center"/>
                </w:tcPr>
                <w:p w14:paraId="02510346">
                  <w:pPr>
                    <w:spacing w:line="0" w:lineRule="atLeast"/>
                    <w:ind w:left="-105" w:leftChars="-50" w:right="-105" w:rightChars="-50"/>
                    <w:jc w:val="center"/>
                    <w:rPr>
                      <w:rFonts w:hint="eastAsia"/>
                      <w:i/>
                      <w:color w:val="000000"/>
                      <w:szCs w:val="21"/>
                    </w:rPr>
                  </w:pPr>
                  <w:r>
                    <w:rPr>
                      <w:i/>
                      <w:color w:val="000000"/>
                      <w:szCs w:val="21"/>
                    </w:rPr>
                    <w:t xml:space="preserve">Allium moly </w:t>
                  </w:r>
                  <w:r>
                    <w:rPr>
                      <w:color w:val="000000"/>
                      <w:szCs w:val="21"/>
                    </w:rPr>
                    <w:t>Turcz</w:t>
                  </w:r>
                </w:p>
              </w:tc>
            </w:tr>
            <w:tr w14:paraId="744AE47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72F8B618">
                  <w:pPr>
                    <w:spacing w:line="0" w:lineRule="atLeast"/>
                    <w:jc w:val="center"/>
                    <w:rPr>
                      <w:rFonts w:hint="eastAsia"/>
                    </w:rPr>
                  </w:pPr>
                  <w:r>
                    <w:rPr>
                      <w:rFonts w:hint="eastAsia"/>
                    </w:rPr>
                    <w:t>81</w:t>
                  </w:r>
                </w:p>
              </w:tc>
              <w:tc>
                <w:tcPr>
                  <w:tcW w:w="2573" w:type="dxa"/>
                  <w:vAlign w:val="center"/>
                </w:tcPr>
                <w:p w14:paraId="49593FAB">
                  <w:pPr>
                    <w:spacing w:line="0" w:lineRule="atLeast"/>
                    <w:ind w:left="-105" w:leftChars="-50" w:right="-105" w:rightChars="-50"/>
                    <w:jc w:val="center"/>
                    <w:rPr>
                      <w:rFonts w:hint="eastAsia"/>
                      <w:bCs/>
                      <w:snapToGrid w:val="0"/>
                      <w:kern w:val="24"/>
                      <w:szCs w:val="21"/>
                    </w:rPr>
                  </w:pPr>
                  <w:r>
                    <w:rPr>
                      <w:rFonts w:hint="eastAsia"/>
                      <w:bCs/>
                      <w:snapToGrid w:val="0"/>
                      <w:kern w:val="24"/>
                      <w:szCs w:val="21"/>
                    </w:rPr>
                    <w:t>多根葱</w:t>
                  </w:r>
                </w:p>
              </w:tc>
              <w:tc>
                <w:tcPr>
                  <w:tcW w:w="5217" w:type="dxa"/>
                  <w:vAlign w:val="center"/>
                </w:tcPr>
                <w:p w14:paraId="6093EFFD">
                  <w:pPr>
                    <w:spacing w:line="0" w:lineRule="atLeast"/>
                    <w:ind w:left="-105" w:leftChars="-50" w:right="-105" w:rightChars="-50"/>
                    <w:jc w:val="center"/>
                    <w:rPr>
                      <w:rFonts w:hint="eastAsia"/>
                      <w:i/>
                      <w:color w:val="000000"/>
                      <w:szCs w:val="21"/>
                    </w:rPr>
                  </w:pPr>
                  <w:r>
                    <w:rPr>
                      <w:rFonts w:hint="eastAsia"/>
                      <w:i/>
                      <w:color w:val="000000"/>
                      <w:szCs w:val="21"/>
                    </w:rPr>
                    <w:t xml:space="preserve">Allium polyrhizum </w:t>
                  </w:r>
                  <w:r>
                    <w:rPr>
                      <w:rFonts w:hint="eastAsia"/>
                      <w:color w:val="000000"/>
                      <w:szCs w:val="21"/>
                    </w:rPr>
                    <w:t>Turcz.Ex Regel</w:t>
                  </w:r>
                </w:p>
              </w:tc>
            </w:tr>
            <w:tr w14:paraId="450B51F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42CA59C5">
                  <w:pPr>
                    <w:spacing w:line="0" w:lineRule="atLeast"/>
                    <w:jc w:val="center"/>
                    <w:rPr>
                      <w:rFonts w:hint="eastAsia"/>
                    </w:rPr>
                  </w:pPr>
                  <w:r>
                    <w:rPr>
                      <w:rFonts w:hint="eastAsia"/>
                    </w:rPr>
                    <w:t>82</w:t>
                  </w:r>
                </w:p>
              </w:tc>
              <w:tc>
                <w:tcPr>
                  <w:tcW w:w="2573" w:type="dxa"/>
                  <w:vAlign w:val="center"/>
                </w:tcPr>
                <w:p w14:paraId="753A8B15">
                  <w:pPr>
                    <w:spacing w:line="0" w:lineRule="atLeast"/>
                    <w:ind w:left="-105" w:leftChars="-50" w:right="-105" w:rightChars="-50"/>
                    <w:jc w:val="center"/>
                    <w:rPr>
                      <w:rFonts w:hint="eastAsia"/>
                      <w:bCs/>
                      <w:snapToGrid w:val="0"/>
                      <w:kern w:val="24"/>
                      <w:szCs w:val="21"/>
                    </w:rPr>
                  </w:pPr>
                  <w:r>
                    <w:rPr>
                      <w:rFonts w:hint="eastAsia"/>
                      <w:bCs/>
                      <w:snapToGrid w:val="0"/>
                      <w:kern w:val="24"/>
                      <w:szCs w:val="21"/>
                    </w:rPr>
                    <w:t>野韭</w:t>
                  </w:r>
                </w:p>
              </w:tc>
              <w:tc>
                <w:tcPr>
                  <w:tcW w:w="5217" w:type="dxa"/>
                  <w:vAlign w:val="center"/>
                </w:tcPr>
                <w:p w14:paraId="1590C819">
                  <w:pPr>
                    <w:spacing w:line="0" w:lineRule="atLeast"/>
                    <w:ind w:left="-105" w:leftChars="-50" w:right="-105" w:rightChars="-50"/>
                    <w:jc w:val="center"/>
                    <w:rPr>
                      <w:rFonts w:hint="eastAsia"/>
                      <w:i/>
                      <w:color w:val="000000"/>
                      <w:szCs w:val="21"/>
                    </w:rPr>
                  </w:pPr>
                  <w:r>
                    <w:rPr>
                      <w:i/>
                      <w:color w:val="000000"/>
                      <w:szCs w:val="21"/>
                    </w:rPr>
                    <w:t>Angiospermae</w:t>
                  </w:r>
                  <w:r>
                    <w:rPr>
                      <w:rFonts w:hint="eastAsia"/>
                      <w:i/>
                      <w:color w:val="000000"/>
                      <w:szCs w:val="21"/>
                    </w:rPr>
                    <w:t xml:space="preserve"> ramosum </w:t>
                  </w:r>
                  <w:r>
                    <w:rPr>
                      <w:rFonts w:hint="eastAsia"/>
                      <w:color w:val="000000"/>
                      <w:szCs w:val="21"/>
                    </w:rPr>
                    <w:t>L.</w:t>
                  </w:r>
                </w:p>
              </w:tc>
            </w:tr>
            <w:tr w14:paraId="17685AC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64669958">
                  <w:pPr>
                    <w:spacing w:line="0" w:lineRule="atLeast"/>
                    <w:jc w:val="center"/>
                    <w:rPr>
                      <w:rFonts w:hint="eastAsia"/>
                    </w:rPr>
                  </w:pPr>
                  <w:r>
                    <w:rPr>
                      <w:rFonts w:hint="eastAsia"/>
                    </w:rPr>
                    <w:t>83</w:t>
                  </w:r>
                </w:p>
              </w:tc>
              <w:tc>
                <w:tcPr>
                  <w:tcW w:w="2573" w:type="dxa"/>
                  <w:vAlign w:val="center"/>
                </w:tcPr>
                <w:p w14:paraId="301196B9">
                  <w:pPr>
                    <w:spacing w:line="0" w:lineRule="atLeast"/>
                    <w:ind w:left="-105" w:leftChars="-50" w:right="-105" w:rightChars="-50"/>
                    <w:jc w:val="center"/>
                    <w:rPr>
                      <w:rFonts w:hint="eastAsia"/>
                      <w:bCs/>
                      <w:snapToGrid w:val="0"/>
                      <w:kern w:val="24"/>
                      <w:szCs w:val="21"/>
                    </w:rPr>
                  </w:pPr>
                  <w:r>
                    <w:rPr>
                      <w:rFonts w:hint="eastAsia"/>
                      <w:bCs/>
                      <w:snapToGrid w:val="0"/>
                      <w:kern w:val="24"/>
                      <w:szCs w:val="21"/>
                    </w:rPr>
                    <w:t>山葱</w:t>
                  </w:r>
                </w:p>
              </w:tc>
              <w:tc>
                <w:tcPr>
                  <w:tcW w:w="5217" w:type="dxa"/>
                  <w:vAlign w:val="center"/>
                </w:tcPr>
                <w:p w14:paraId="120374E1">
                  <w:pPr>
                    <w:spacing w:line="0" w:lineRule="atLeast"/>
                    <w:ind w:left="-105" w:leftChars="-50" w:right="-105" w:rightChars="-50"/>
                    <w:jc w:val="center"/>
                    <w:rPr>
                      <w:rFonts w:hint="eastAsia"/>
                      <w:i/>
                      <w:color w:val="000000"/>
                      <w:szCs w:val="21"/>
                    </w:rPr>
                  </w:pPr>
                  <w:r>
                    <w:rPr>
                      <w:i/>
                      <w:color w:val="000000"/>
                      <w:szCs w:val="21"/>
                    </w:rPr>
                    <w:t>Angiospermae</w:t>
                  </w:r>
                  <w:r>
                    <w:rPr>
                      <w:rFonts w:hint="eastAsia"/>
                      <w:i/>
                      <w:color w:val="000000"/>
                      <w:szCs w:val="21"/>
                    </w:rPr>
                    <w:t xml:space="preserve"> senescens </w:t>
                  </w:r>
                  <w:r>
                    <w:rPr>
                      <w:rFonts w:hint="eastAsia"/>
                      <w:color w:val="000000"/>
                      <w:szCs w:val="21"/>
                    </w:rPr>
                    <w:t>L.</w:t>
                  </w:r>
                </w:p>
              </w:tc>
            </w:tr>
            <w:tr w14:paraId="793A2F3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4C4BD284">
                  <w:pPr>
                    <w:spacing w:line="0" w:lineRule="atLeast"/>
                    <w:jc w:val="center"/>
                    <w:rPr>
                      <w:rFonts w:hint="eastAsia"/>
                    </w:rPr>
                  </w:pPr>
                  <w:r>
                    <w:rPr>
                      <w:rFonts w:hint="eastAsia"/>
                    </w:rPr>
                    <w:t>84</w:t>
                  </w:r>
                </w:p>
              </w:tc>
              <w:tc>
                <w:tcPr>
                  <w:tcW w:w="2573" w:type="dxa"/>
                  <w:vAlign w:val="center"/>
                </w:tcPr>
                <w:p w14:paraId="221830BB">
                  <w:pPr>
                    <w:spacing w:line="0" w:lineRule="atLeast"/>
                    <w:ind w:left="-105" w:leftChars="-50" w:right="-105" w:rightChars="-50"/>
                    <w:jc w:val="center"/>
                    <w:rPr>
                      <w:rFonts w:hint="eastAsia"/>
                      <w:bCs/>
                      <w:snapToGrid w:val="0"/>
                      <w:kern w:val="24"/>
                      <w:szCs w:val="21"/>
                    </w:rPr>
                  </w:pPr>
                  <w:r>
                    <w:rPr>
                      <w:rFonts w:hint="eastAsia"/>
                      <w:bCs/>
                      <w:snapToGrid w:val="0"/>
                      <w:kern w:val="24"/>
                      <w:szCs w:val="21"/>
                    </w:rPr>
                    <w:t>细叶葱</w:t>
                  </w:r>
                </w:p>
              </w:tc>
              <w:tc>
                <w:tcPr>
                  <w:tcW w:w="5217" w:type="dxa"/>
                  <w:vAlign w:val="center"/>
                </w:tcPr>
                <w:p w14:paraId="40285F9D">
                  <w:pPr>
                    <w:spacing w:line="0" w:lineRule="atLeast"/>
                    <w:ind w:left="-105" w:leftChars="-50" w:right="-105" w:rightChars="-50"/>
                    <w:jc w:val="center"/>
                    <w:rPr>
                      <w:rFonts w:hint="eastAsia"/>
                      <w:i/>
                      <w:color w:val="000000"/>
                      <w:szCs w:val="21"/>
                    </w:rPr>
                  </w:pPr>
                  <w:r>
                    <w:rPr>
                      <w:i/>
                      <w:color w:val="000000"/>
                      <w:szCs w:val="21"/>
                    </w:rPr>
                    <w:t>Angiospermae</w:t>
                  </w:r>
                  <w:r>
                    <w:rPr>
                      <w:rFonts w:hint="eastAsia"/>
                      <w:i/>
                      <w:color w:val="000000"/>
                      <w:szCs w:val="21"/>
                    </w:rPr>
                    <w:t xml:space="preserve"> tenuissinum </w:t>
                  </w:r>
                  <w:r>
                    <w:rPr>
                      <w:rFonts w:hint="eastAsia"/>
                      <w:color w:val="000000"/>
                      <w:szCs w:val="21"/>
                    </w:rPr>
                    <w:t>L.</w:t>
                  </w:r>
                </w:p>
              </w:tc>
            </w:tr>
            <w:tr w14:paraId="51DFF59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5E1B758B">
                  <w:pPr>
                    <w:spacing w:line="0" w:lineRule="atLeast"/>
                    <w:jc w:val="center"/>
                    <w:rPr>
                      <w:rFonts w:hint="eastAsia"/>
                    </w:rPr>
                  </w:pPr>
                  <w:r>
                    <w:rPr>
                      <w:rFonts w:hint="eastAsia"/>
                    </w:rPr>
                    <w:t>85</w:t>
                  </w:r>
                </w:p>
              </w:tc>
              <w:tc>
                <w:tcPr>
                  <w:tcW w:w="2573" w:type="dxa"/>
                  <w:vAlign w:val="center"/>
                </w:tcPr>
                <w:p w14:paraId="0F94CF7A">
                  <w:pPr>
                    <w:spacing w:line="0" w:lineRule="atLeast"/>
                    <w:ind w:left="-105" w:leftChars="-50" w:right="-105" w:rightChars="-50"/>
                    <w:jc w:val="center"/>
                    <w:rPr>
                      <w:rFonts w:hint="eastAsia"/>
                      <w:bCs/>
                      <w:snapToGrid w:val="0"/>
                      <w:kern w:val="24"/>
                      <w:szCs w:val="21"/>
                    </w:rPr>
                  </w:pPr>
                  <w:r>
                    <w:rPr>
                      <w:rFonts w:hint="eastAsia"/>
                      <w:bCs/>
                      <w:snapToGrid w:val="0"/>
                      <w:kern w:val="24"/>
                      <w:szCs w:val="21"/>
                    </w:rPr>
                    <w:t>山天冬</w:t>
                  </w:r>
                </w:p>
              </w:tc>
              <w:tc>
                <w:tcPr>
                  <w:tcW w:w="5217" w:type="dxa"/>
                  <w:vAlign w:val="center"/>
                </w:tcPr>
                <w:p w14:paraId="5D6686D1">
                  <w:pPr>
                    <w:spacing w:line="0" w:lineRule="atLeast"/>
                    <w:ind w:left="-105" w:leftChars="-50" w:right="-105" w:rightChars="-50"/>
                    <w:jc w:val="center"/>
                    <w:rPr>
                      <w:rFonts w:hint="eastAsia"/>
                      <w:i/>
                      <w:color w:val="000000"/>
                      <w:szCs w:val="21"/>
                      <w:lang w:val="pt-BR"/>
                    </w:rPr>
                  </w:pPr>
                  <w:r>
                    <w:rPr>
                      <w:rFonts w:hint="eastAsia"/>
                      <w:i/>
                      <w:color w:val="000000"/>
                      <w:szCs w:val="21"/>
                      <w:lang w:val="pt-BR"/>
                    </w:rPr>
                    <w:t xml:space="preserve">Asparagus davuricus </w:t>
                  </w:r>
                  <w:r>
                    <w:rPr>
                      <w:rFonts w:hint="eastAsia"/>
                      <w:color w:val="000000"/>
                      <w:szCs w:val="21"/>
                      <w:lang w:val="pt-BR"/>
                    </w:rPr>
                    <w:t>Fisch ex Link</w:t>
                  </w:r>
                </w:p>
              </w:tc>
            </w:tr>
            <w:tr w14:paraId="046FAB0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50DC7D69">
                  <w:pPr>
                    <w:spacing w:line="0" w:lineRule="atLeast"/>
                    <w:jc w:val="center"/>
                    <w:rPr>
                      <w:rFonts w:hint="eastAsia"/>
                      <w:lang w:val="pt-BR"/>
                    </w:rPr>
                  </w:pPr>
                  <w:r>
                    <w:rPr>
                      <w:rFonts w:hint="eastAsia"/>
                      <w:lang w:val="pt-BR"/>
                    </w:rPr>
                    <w:t>86</w:t>
                  </w:r>
                </w:p>
              </w:tc>
              <w:tc>
                <w:tcPr>
                  <w:tcW w:w="2573" w:type="dxa"/>
                  <w:vAlign w:val="center"/>
                </w:tcPr>
                <w:p w14:paraId="2C03199E">
                  <w:pPr>
                    <w:spacing w:line="0" w:lineRule="atLeast"/>
                    <w:ind w:left="-105" w:leftChars="-50" w:right="-105" w:rightChars="-50"/>
                    <w:jc w:val="center"/>
                    <w:rPr>
                      <w:rFonts w:hint="eastAsia"/>
                      <w:bCs/>
                      <w:snapToGrid w:val="0"/>
                      <w:kern w:val="24"/>
                      <w:szCs w:val="21"/>
                      <w:lang w:val="pt-BR"/>
                    </w:rPr>
                  </w:pPr>
                  <w:r>
                    <w:rPr>
                      <w:rFonts w:hint="eastAsia"/>
                      <w:bCs/>
                      <w:snapToGrid w:val="0"/>
                      <w:kern w:val="24"/>
                      <w:szCs w:val="21"/>
                    </w:rPr>
                    <w:t>黄花菜</w:t>
                  </w:r>
                </w:p>
              </w:tc>
              <w:tc>
                <w:tcPr>
                  <w:tcW w:w="5217" w:type="dxa"/>
                  <w:vAlign w:val="center"/>
                </w:tcPr>
                <w:p w14:paraId="75A01E66">
                  <w:pPr>
                    <w:spacing w:line="0" w:lineRule="atLeast"/>
                    <w:ind w:left="-105" w:leftChars="-50" w:right="-105" w:rightChars="-50"/>
                    <w:jc w:val="center"/>
                    <w:rPr>
                      <w:rFonts w:hint="eastAsia"/>
                      <w:i/>
                      <w:color w:val="000000"/>
                      <w:szCs w:val="21"/>
                      <w:lang w:val="pt-BR"/>
                    </w:rPr>
                  </w:pPr>
                  <w:r>
                    <w:rPr>
                      <w:i/>
                      <w:color w:val="000000"/>
                      <w:szCs w:val="21"/>
                      <w:lang w:val="pt-BR"/>
                    </w:rPr>
                    <w:t xml:space="preserve">Hemerocallis citrina </w:t>
                  </w:r>
                  <w:r>
                    <w:rPr>
                      <w:color w:val="000000"/>
                      <w:szCs w:val="21"/>
                      <w:lang w:val="pt-BR"/>
                    </w:rPr>
                    <w:t>Baroni</w:t>
                  </w:r>
                </w:p>
              </w:tc>
            </w:tr>
            <w:tr w14:paraId="1A3A540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5B3DB891">
                  <w:pPr>
                    <w:spacing w:line="0" w:lineRule="atLeast"/>
                    <w:jc w:val="center"/>
                    <w:rPr>
                      <w:rFonts w:hint="eastAsia"/>
                      <w:lang w:val="pt-BR"/>
                    </w:rPr>
                  </w:pPr>
                  <w:r>
                    <w:rPr>
                      <w:rFonts w:hint="eastAsia"/>
                    </w:rPr>
                    <w:t>二十四</w:t>
                  </w:r>
                </w:p>
              </w:tc>
              <w:tc>
                <w:tcPr>
                  <w:tcW w:w="7790" w:type="dxa"/>
                  <w:gridSpan w:val="2"/>
                  <w:vAlign w:val="center"/>
                </w:tcPr>
                <w:p w14:paraId="10F2D8F4">
                  <w:pPr>
                    <w:spacing w:line="0" w:lineRule="atLeast"/>
                    <w:ind w:right="-105" w:rightChars="-50"/>
                    <w:rPr>
                      <w:rFonts w:hint="eastAsia"/>
                      <w:color w:val="000000"/>
                      <w:szCs w:val="21"/>
                      <w:lang w:val="pt-BR"/>
                    </w:rPr>
                  </w:pPr>
                  <w:r>
                    <w:rPr>
                      <w:rFonts w:hint="eastAsia"/>
                      <w:color w:val="000000"/>
                      <w:szCs w:val="21"/>
                    </w:rPr>
                    <w:t>鸢尾科</w:t>
                  </w:r>
                  <w:r>
                    <w:rPr>
                      <w:rFonts w:hint="eastAsia"/>
                      <w:i/>
                      <w:color w:val="000000"/>
                      <w:szCs w:val="21"/>
                      <w:lang w:val="pt-BR"/>
                    </w:rPr>
                    <w:t xml:space="preserve"> </w:t>
                  </w:r>
                  <w:r>
                    <w:rPr>
                      <w:i/>
                      <w:color w:val="000000"/>
                      <w:szCs w:val="21"/>
                      <w:lang w:val="pt-BR"/>
                    </w:rPr>
                    <w:t>Iridaceae</w:t>
                  </w:r>
                </w:p>
              </w:tc>
            </w:tr>
            <w:tr w14:paraId="597380F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3B5FCA42">
                  <w:pPr>
                    <w:spacing w:line="0" w:lineRule="atLeast"/>
                    <w:jc w:val="center"/>
                    <w:rPr>
                      <w:rFonts w:hint="eastAsia"/>
                      <w:lang w:val="pt-BR"/>
                    </w:rPr>
                  </w:pPr>
                  <w:r>
                    <w:rPr>
                      <w:rFonts w:hint="eastAsia"/>
                      <w:lang w:val="pt-BR"/>
                    </w:rPr>
                    <w:t>87</w:t>
                  </w:r>
                </w:p>
              </w:tc>
              <w:tc>
                <w:tcPr>
                  <w:tcW w:w="2573" w:type="dxa"/>
                  <w:vAlign w:val="center"/>
                </w:tcPr>
                <w:p w14:paraId="4DA01158">
                  <w:pPr>
                    <w:spacing w:line="0" w:lineRule="atLeast"/>
                    <w:ind w:left="-105" w:leftChars="-50" w:right="-105" w:rightChars="-50"/>
                    <w:jc w:val="center"/>
                    <w:rPr>
                      <w:rFonts w:hint="eastAsia"/>
                      <w:bCs/>
                      <w:snapToGrid w:val="0"/>
                      <w:kern w:val="24"/>
                      <w:szCs w:val="21"/>
                      <w:lang w:val="pt-BR"/>
                    </w:rPr>
                  </w:pPr>
                  <w:r>
                    <w:rPr>
                      <w:rFonts w:hint="eastAsia"/>
                      <w:bCs/>
                      <w:snapToGrid w:val="0"/>
                      <w:kern w:val="24"/>
                      <w:szCs w:val="21"/>
                    </w:rPr>
                    <w:t>射干</w:t>
                  </w:r>
                  <w:r>
                    <w:rPr>
                      <w:rFonts w:hint="eastAsia"/>
                      <w:color w:val="000000"/>
                      <w:szCs w:val="21"/>
                    </w:rPr>
                    <w:t>鸢尾</w:t>
                  </w:r>
                </w:p>
              </w:tc>
              <w:tc>
                <w:tcPr>
                  <w:tcW w:w="5217" w:type="dxa"/>
                  <w:vAlign w:val="center"/>
                </w:tcPr>
                <w:p w14:paraId="53C8F7CA">
                  <w:pPr>
                    <w:spacing w:line="0" w:lineRule="atLeast"/>
                    <w:ind w:left="-105" w:leftChars="-50" w:right="-105" w:rightChars="-50"/>
                    <w:jc w:val="center"/>
                    <w:rPr>
                      <w:rFonts w:hint="eastAsia"/>
                      <w:i/>
                      <w:color w:val="000000"/>
                      <w:szCs w:val="21"/>
                      <w:lang w:val="pt-BR"/>
                    </w:rPr>
                  </w:pPr>
                  <w:r>
                    <w:rPr>
                      <w:i/>
                      <w:color w:val="000000"/>
                      <w:szCs w:val="21"/>
                      <w:lang w:val="pt-BR"/>
                    </w:rPr>
                    <w:t xml:space="preserve">Iris </w:t>
                  </w:r>
                  <w:r>
                    <w:rPr>
                      <w:rFonts w:hint="eastAsia"/>
                      <w:i/>
                      <w:color w:val="000000"/>
                      <w:szCs w:val="21"/>
                      <w:lang w:val="pt-BR"/>
                    </w:rPr>
                    <w:t>dichotoma</w:t>
                  </w:r>
                  <w:r>
                    <w:rPr>
                      <w:i/>
                      <w:color w:val="000000"/>
                      <w:szCs w:val="21"/>
                      <w:lang w:val="pt-BR"/>
                    </w:rPr>
                    <w:t xml:space="preserve"> </w:t>
                  </w:r>
                  <w:r>
                    <w:rPr>
                      <w:color w:val="000000"/>
                      <w:szCs w:val="21"/>
                      <w:lang w:val="pt-BR"/>
                    </w:rPr>
                    <w:t>Pall.</w:t>
                  </w:r>
                </w:p>
              </w:tc>
            </w:tr>
            <w:tr w14:paraId="0A6E910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59F799FB">
                  <w:pPr>
                    <w:spacing w:line="0" w:lineRule="atLeast"/>
                    <w:jc w:val="center"/>
                    <w:rPr>
                      <w:rFonts w:hint="eastAsia"/>
                      <w:lang w:val="pt-BR"/>
                    </w:rPr>
                  </w:pPr>
                  <w:r>
                    <w:rPr>
                      <w:rFonts w:hint="eastAsia"/>
                      <w:lang w:val="pt-BR"/>
                    </w:rPr>
                    <w:t>88</w:t>
                  </w:r>
                </w:p>
              </w:tc>
              <w:tc>
                <w:tcPr>
                  <w:tcW w:w="2573" w:type="dxa"/>
                  <w:vAlign w:val="center"/>
                </w:tcPr>
                <w:p w14:paraId="6D10A55B">
                  <w:pPr>
                    <w:spacing w:line="0" w:lineRule="atLeast"/>
                    <w:ind w:left="-105" w:leftChars="-50" w:right="-105" w:rightChars="-50"/>
                    <w:jc w:val="center"/>
                    <w:rPr>
                      <w:rFonts w:hint="eastAsia"/>
                      <w:bCs/>
                      <w:snapToGrid w:val="0"/>
                      <w:kern w:val="24"/>
                      <w:szCs w:val="21"/>
                      <w:lang w:val="pt-BR"/>
                    </w:rPr>
                  </w:pPr>
                  <w:r>
                    <w:rPr>
                      <w:rFonts w:hint="eastAsia"/>
                      <w:bCs/>
                      <w:snapToGrid w:val="0"/>
                      <w:kern w:val="24"/>
                      <w:szCs w:val="21"/>
                    </w:rPr>
                    <w:t>细叶</w:t>
                  </w:r>
                  <w:r>
                    <w:rPr>
                      <w:rFonts w:hint="eastAsia"/>
                      <w:color w:val="000000"/>
                      <w:szCs w:val="21"/>
                    </w:rPr>
                    <w:t>鸢尾</w:t>
                  </w:r>
                </w:p>
              </w:tc>
              <w:tc>
                <w:tcPr>
                  <w:tcW w:w="5217" w:type="dxa"/>
                  <w:vAlign w:val="center"/>
                </w:tcPr>
                <w:p w14:paraId="6457666E">
                  <w:pPr>
                    <w:spacing w:line="0" w:lineRule="atLeast"/>
                    <w:ind w:left="-105" w:leftChars="-50" w:right="-105" w:rightChars="-50"/>
                    <w:jc w:val="center"/>
                    <w:rPr>
                      <w:rFonts w:hint="eastAsia"/>
                      <w:i/>
                      <w:color w:val="000000"/>
                      <w:szCs w:val="21"/>
                      <w:lang w:val="pt-BR"/>
                    </w:rPr>
                  </w:pPr>
                  <w:r>
                    <w:rPr>
                      <w:i/>
                      <w:color w:val="000000"/>
                      <w:szCs w:val="21"/>
                      <w:lang w:val="pt-BR"/>
                    </w:rPr>
                    <w:t xml:space="preserve">Iris tenuifolin </w:t>
                  </w:r>
                  <w:r>
                    <w:rPr>
                      <w:color w:val="000000"/>
                      <w:szCs w:val="21"/>
                      <w:lang w:val="pt-BR"/>
                    </w:rPr>
                    <w:t>Pall.</w:t>
                  </w:r>
                </w:p>
              </w:tc>
            </w:tr>
            <w:tr w14:paraId="1734E4D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Align w:val="center"/>
                </w:tcPr>
                <w:p w14:paraId="3D0E360B">
                  <w:pPr>
                    <w:spacing w:line="0" w:lineRule="atLeast"/>
                    <w:jc w:val="center"/>
                    <w:rPr>
                      <w:rFonts w:hint="eastAsia"/>
                      <w:lang w:val="pt-BR"/>
                    </w:rPr>
                  </w:pPr>
                  <w:r>
                    <w:rPr>
                      <w:rFonts w:hint="eastAsia"/>
                      <w:lang w:val="pt-BR"/>
                    </w:rPr>
                    <w:t>89</w:t>
                  </w:r>
                </w:p>
              </w:tc>
              <w:tc>
                <w:tcPr>
                  <w:tcW w:w="2573" w:type="dxa"/>
                  <w:vAlign w:val="center"/>
                </w:tcPr>
                <w:p w14:paraId="205192A5">
                  <w:pPr>
                    <w:spacing w:line="0" w:lineRule="atLeast"/>
                    <w:ind w:left="-105" w:leftChars="-50" w:right="-105" w:rightChars="-50"/>
                    <w:jc w:val="center"/>
                    <w:rPr>
                      <w:rFonts w:hint="eastAsia"/>
                      <w:bCs/>
                      <w:snapToGrid w:val="0"/>
                      <w:kern w:val="24"/>
                      <w:szCs w:val="21"/>
                      <w:lang w:val="pt-BR"/>
                    </w:rPr>
                  </w:pPr>
                  <w:r>
                    <w:rPr>
                      <w:rFonts w:hint="eastAsia"/>
                      <w:bCs/>
                      <w:snapToGrid w:val="0"/>
                      <w:kern w:val="24"/>
                      <w:szCs w:val="21"/>
                    </w:rPr>
                    <w:t>囊花</w:t>
                  </w:r>
                  <w:r>
                    <w:rPr>
                      <w:rFonts w:hint="eastAsia"/>
                      <w:color w:val="000000"/>
                      <w:szCs w:val="21"/>
                    </w:rPr>
                    <w:t>鸢尾</w:t>
                  </w:r>
                </w:p>
              </w:tc>
              <w:tc>
                <w:tcPr>
                  <w:tcW w:w="5217" w:type="dxa"/>
                  <w:vAlign w:val="center"/>
                </w:tcPr>
                <w:p w14:paraId="1499DB12">
                  <w:pPr>
                    <w:spacing w:line="0" w:lineRule="atLeast"/>
                    <w:ind w:left="-105" w:leftChars="-50" w:right="-105" w:rightChars="-50"/>
                    <w:jc w:val="center"/>
                    <w:rPr>
                      <w:rFonts w:hint="eastAsia"/>
                      <w:i/>
                      <w:color w:val="000000"/>
                      <w:szCs w:val="21"/>
                      <w:lang w:val="pt-BR"/>
                    </w:rPr>
                  </w:pPr>
                  <w:r>
                    <w:rPr>
                      <w:i/>
                      <w:color w:val="000000"/>
                      <w:szCs w:val="21"/>
                      <w:lang w:val="pt-BR"/>
                    </w:rPr>
                    <w:t xml:space="preserve">Iris ventricosa </w:t>
                  </w:r>
                  <w:r>
                    <w:rPr>
                      <w:color w:val="000000"/>
                      <w:szCs w:val="21"/>
                      <w:lang w:val="pt-BR"/>
                    </w:rPr>
                    <w:t>Pall.</w:t>
                  </w:r>
                </w:p>
              </w:tc>
            </w:tr>
          </w:tbl>
          <w:p w14:paraId="407EDF18">
            <w:pPr>
              <w:spacing w:beforeLines="50"/>
              <w:ind w:firstLine="480" w:firstLineChars="200"/>
              <w:rPr>
                <w:rFonts w:hint="eastAsia"/>
                <w:color w:val="000000"/>
                <w:sz w:val="24"/>
                <w:lang w:val="pt-BR"/>
              </w:rPr>
            </w:pPr>
            <w:r>
              <w:rPr>
                <w:rFonts w:hint="eastAsia"/>
                <w:color w:val="000000"/>
                <w:sz w:val="24"/>
                <w:lang w:val="pt-BR"/>
              </w:rPr>
              <w:t xml:space="preserve">③ </w:t>
            </w:r>
            <w:r>
              <w:rPr>
                <w:rFonts w:hint="eastAsia"/>
                <w:color w:val="000000"/>
                <w:sz w:val="24"/>
              </w:rPr>
              <w:t>评价区植被现状评价</w:t>
            </w:r>
          </w:p>
          <w:p w14:paraId="201A9DF2">
            <w:pPr>
              <w:ind w:firstLine="480" w:firstLineChars="200"/>
              <w:rPr>
                <w:rFonts w:hint="eastAsia"/>
                <w:color w:val="000000"/>
                <w:sz w:val="24"/>
              </w:rPr>
            </w:pPr>
            <w:r>
              <w:rPr>
                <w:rFonts w:hint="eastAsia"/>
                <w:color w:val="000000"/>
                <w:sz w:val="24"/>
              </w:rPr>
              <w:t>从图10及表14可看出，评价区范围内各植被类型生态调查总面积为15532.22hm</w:t>
            </w:r>
            <w:r>
              <w:rPr>
                <w:rFonts w:hint="eastAsia"/>
                <w:color w:val="000000"/>
                <w:sz w:val="24"/>
                <w:vertAlign w:val="superscript"/>
              </w:rPr>
              <w:t>2</w:t>
            </w:r>
            <w:r>
              <w:rPr>
                <w:rFonts w:hint="eastAsia"/>
                <w:color w:val="000000"/>
                <w:sz w:val="24"/>
              </w:rPr>
              <w:t>，植被类型以糙隐子草+戈壁针茅群落为主，分布面积为8133.13hm</w:t>
            </w:r>
            <w:r>
              <w:rPr>
                <w:rFonts w:hint="eastAsia"/>
                <w:color w:val="000000"/>
                <w:sz w:val="24"/>
                <w:vertAlign w:val="superscript"/>
              </w:rPr>
              <w:t>2</w:t>
            </w:r>
            <w:r>
              <w:rPr>
                <w:rFonts w:hint="eastAsia"/>
                <w:color w:val="000000"/>
                <w:sz w:val="24"/>
              </w:rPr>
              <w:t>，占评价区总面积的52.36%；糙隐子草+冷蒿群落面积为6666.04hm</w:t>
            </w:r>
            <w:r>
              <w:rPr>
                <w:rFonts w:hint="eastAsia"/>
                <w:color w:val="000000"/>
                <w:sz w:val="24"/>
                <w:vertAlign w:val="superscript"/>
              </w:rPr>
              <w:t>2</w:t>
            </w:r>
            <w:r>
              <w:rPr>
                <w:rFonts w:hint="eastAsia"/>
                <w:color w:val="000000"/>
                <w:sz w:val="24"/>
              </w:rPr>
              <w:t>，占评价区总面积的42.92%；芨芨草群落面积为585.53hm</w:t>
            </w:r>
            <w:r>
              <w:rPr>
                <w:rFonts w:hint="eastAsia"/>
                <w:color w:val="000000"/>
                <w:sz w:val="24"/>
                <w:vertAlign w:val="superscript"/>
              </w:rPr>
              <w:t>2</w:t>
            </w:r>
            <w:r>
              <w:rPr>
                <w:rFonts w:hint="eastAsia"/>
                <w:color w:val="000000"/>
                <w:sz w:val="24"/>
              </w:rPr>
              <w:t>，占评价区总面积的3.77%。</w:t>
            </w:r>
          </w:p>
          <w:p w14:paraId="1EECDD3B">
            <w:pPr>
              <w:ind w:firstLine="480" w:firstLineChars="200"/>
              <w:rPr>
                <w:rFonts w:hint="eastAsia"/>
                <w:color w:val="000000"/>
                <w:sz w:val="24"/>
              </w:rPr>
            </w:pPr>
            <w:r>
              <w:rPr>
                <w:rFonts w:hint="eastAsia"/>
                <w:color w:val="000000"/>
                <w:sz w:val="24"/>
              </w:rPr>
              <w:t>风电场区域面积为10126.16hm</w:t>
            </w:r>
            <w:r>
              <w:rPr>
                <w:rFonts w:hint="eastAsia"/>
                <w:color w:val="000000"/>
                <w:sz w:val="24"/>
                <w:vertAlign w:val="superscript"/>
              </w:rPr>
              <w:t>2</w:t>
            </w:r>
            <w:r>
              <w:rPr>
                <w:rFonts w:hint="eastAsia"/>
                <w:color w:val="000000"/>
                <w:sz w:val="24"/>
              </w:rPr>
              <w:t>，占评价区总面积的65.19%，植被类型以糙隐子草+戈壁针茅群落为主，分布面积为5423.90hm</w:t>
            </w:r>
            <w:r>
              <w:rPr>
                <w:rFonts w:hint="eastAsia"/>
                <w:color w:val="000000"/>
                <w:sz w:val="24"/>
                <w:vertAlign w:val="superscript"/>
              </w:rPr>
              <w:t>2</w:t>
            </w:r>
            <w:r>
              <w:rPr>
                <w:rFonts w:hint="eastAsia"/>
                <w:color w:val="000000"/>
                <w:sz w:val="24"/>
              </w:rPr>
              <w:t>，占评价区总面积的34.92%；糙隐子草+冷蒿群落面积为4180.25hm</w:t>
            </w:r>
            <w:r>
              <w:rPr>
                <w:rFonts w:hint="eastAsia"/>
                <w:color w:val="000000"/>
                <w:sz w:val="24"/>
                <w:vertAlign w:val="superscript"/>
              </w:rPr>
              <w:t>2</w:t>
            </w:r>
            <w:r>
              <w:rPr>
                <w:rFonts w:hint="eastAsia"/>
                <w:color w:val="000000"/>
                <w:sz w:val="24"/>
              </w:rPr>
              <w:t>，占评价区总面积的26.91%；芨芨草群落面积为451.02hm</w:t>
            </w:r>
            <w:r>
              <w:rPr>
                <w:rFonts w:hint="eastAsia"/>
                <w:color w:val="000000"/>
                <w:sz w:val="24"/>
                <w:vertAlign w:val="superscript"/>
              </w:rPr>
              <w:t>2</w:t>
            </w:r>
            <w:r>
              <w:rPr>
                <w:rFonts w:hint="eastAsia"/>
                <w:color w:val="000000"/>
                <w:sz w:val="24"/>
              </w:rPr>
              <w:t>，占评价区总面积的2.90%。</w:t>
            </w:r>
          </w:p>
          <w:p w14:paraId="1E1EB875">
            <w:pPr>
              <w:ind w:firstLine="480" w:firstLineChars="200"/>
              <w:rPr>
                <w:rFonts w:hint="eastAsia"/>
                <w:color w:val="000000"/>
                <w:sz w:val="24"/>
              </w:rPr>
            </w:pPr>
            <w:r>
              <w:rPr>
                <w:rFonts w:hint="eastAsia"/>
                <w:color w:val="000000"/>
                <w:sz w:val="24"/>
              </w:rPr>
              <w:t>（3）动物现状与评价</w:t>
            </w:r>
          </w:p>
          <w:p w14:paraId="0159BB4A">
            <w:pPr>
              <w:ind w:firstLine="480" w:firstLineChars="200"/>
              <w:rPr>
                <w:rFonts w:hint="eastAsia"/>
                <w:color w:val="000000"/>
                <w:sz w:val="24"/>
              </w:rPr>
            </w:pPr>
            <w:r>
              <w:rPr>
                <w:rFonts w:hint="eastAsia"/>
                <w:color w:val="000000"/>
                <w:sz w:val="24"/>
              </w:rPr>
              <w:t>通过资料收集、分析，结合现场观察和访问，该区域生境条件较为恶劣，尽管近年生态环境状况有所改善，但由于历史上人为扰动较为严重，区域内野生动物的种类不多，数量较少。经过现场勘查，评价区内未发现野生动物集中分布的栖息地和珍稀濒危动物的繁殖地。</w:t>
            </w:r>
          </w:p>
          <w:p w14:paraId="3F7F9BFC">
            <w:pPr>
              <w:ind w:firstLine="480" w:firstLineChars="200"/>
              <w:rPr>
                <w:rFonts w:hint="eastAsia" w:ascii="黑体" w:hAnsi="黑体" w:eastAsia="黑体"/>
                <w:color w:val="000000"/>
                <w:sz w:val="24"/>
              </w:rPr>
            </w:pPr>
            <w:r>
              <w:rPr>
                <w:rFonts w:hint="eastAsia" w:ascii="黑体" w:hAnsi="黑体" w:eastAsia="黑体"/>
                <w:color w:val="000000"/>
                <w:sz w:val="24"/>
              </w:rPr>
              <w:t>表16                   评价区常见动物名录</w:t>
            </w:r>
          </w:p>
          <w:tbl>
            <w:tblPr>
              <w:tblStyle w:val="25"/>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28" w:type="dxa"/>
                <w:bottom w:w="0" w:type="dxa"/>
                <w:right w:w="28" w:type="dxa"/>
              </w:tblCellMar>
            </w:tblPr>
            <w:tblGrid>
              <w:gridCol w:w="676"/>
              <w:gridCol w:w="1531"/>
              <w:gridCol w:w="2879"/>
              <w:gridCol w:w="3703"/>
            </w:tblGrid>
            <w:tr w14:paraId="739A1EB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676" w:type="dxa"/>
                  <w:vAlign w:val="center"/>
                </w:tcPr>
                <w:p w14:paraId="7DD5F758">
                  <w:pPr>
                    <w:spacing w:line="0" w:lineRule="atLeast"/>
                    <w:jc w:val="center"/>
                    <w:rPr>
                      <w:rFonts w:hint="eastAsia"/>
                    </w:rPr>
                  </w:pPr>
                  <w:r>
                    <w:rPr>
                      <w:bCs/>
                      <w:snapToGrid w:val="0"/>
                      <w:kern w:val="24"/>
                      <w:szCs w:val="21"/>
                      <w:lang w:val="pt-BR"/>
                    </w:rPr>
                    <w:t>序号</w:t>
                  </w:r>
                </w:p>
              </w:tc>
              <w:tc>
                <w:tcPr>
                  <w:tcW w:w="1531" w:type="dxa"/>
                  <w:vAlign w:val="center"/>
                </w:tcPr>
                <w:p w14:paraId="46C802D5">
                  <w:pPr>
                    <w:spacing w:line="0" w:lineRule="atLeast"/>
                    <w:ind w:left="-105" w:leftChars="-50" w:right="-105" w:rightChars="-50"/>
                    <w:jc w:val="center"/>
                    <w:rPr>
                      <w:rFonts w:hint="eastAsia"/>
                      <w:bCs/>
                      <w:snapToGrid w:val="0"/>
                      <w:kern w:val="24"/>
                      <w:szCs w:val="21"/>
                    </w:rPr>
                  </w:pPr>
                  <w:r>
                    <w:rPr>
                      <w:bCs/>
                      <w:snapToGrid w:val="0"/>
                      <w:kern w:val="24"/>
                      <w:szCs w:val="21"/>
                      <w:lang w:val="pt-BR"/>
                    </w:rPr>
                    <w:t>中文名</w:t>
                  </w:r>
                </w:p>
              </w:tc>
              <w:tc>
                <w:tcPr>
                  <w:tcW w:w="2879" w:type="dxa"/>
                  <w:vAlign w:val="center"/>
                </w:tcPr>
                <w:p w14:paraId="2687A85A">
                  <w:pPr>
                    <w:spacing w:line="0" w:lineRule="atLeast"/>
                    <w:ind w:right="-105" w:rightChars="-50"/>
                    <w:jc w:val="center"/>
                    <w:rPr>
                      <w:rFonts w:hint="eastAsia"/>
                      <w:color w:val="000000"/>
                      <w:szCs w:val="21"/>
                    </w:rPr>
                  </w:pPr>
                  <w:r>
                    <w:rPr>
                      <w:szCs w:val="21"/>
                    </w:rPr>
                    <w:t>拉丁名</w:t>
                  </w:r>
                </w:p>
              </w:tc>
              <w:tc>
                <w:tcPr>
                  <w:tcW w:w="3703" w:type="dxa"/>
                  <w:vAlign w:val="center"/>
                </w:tcPr>
                <w:p w14:paraId="4BFBE8D6">
                  <w:pPr>
                    <w:spacing w:line="0" w:lineRule="atLeast"/>
                    <w:ind w:left="-105" w:leftChars="-50" w:right="-105" w:rightChars="-50"/>
                    <w:jc w:val="center"/>
                    <w:rPr>
                      <w:rFonts w:hint="eastAsia"/>
                      <w:color w:val="000000"/>
                      <w:szCs w:val="21"/>
                    </w:rPr>
                  </w:pPr>
                  <w:r>
                    <w:rPr>
                      <w:rFonts w:hint="eastAsia"/>
                      <w:color w:val="000000"/>
                      <w:szCs w:val="21"/>
                    </w:rPr>
                    <w:t>生境</w:t>
                  </w:r>
                </w:p>
              </w:tc>
            </w:tr>
            <w:tr w14:paraId="6A46F6D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676" w:type="dxa"/>
                  <w:vAlign w:val="center"/>
                </w:tcPr>
                <w:p w14:paraId="3FCA25C9">
                  <w:pPr>
                    <w:spacing w:line="0" w:lineRule="atLeast"/>
                    <w:jc w:val="center"/>
                    <w:rPr>
                      <w:rFonts w:hint="eastAsia"/>
                      <w:bCs/>
                      <w:snapToGrid w:val="0"/>
                      <w:kern w:val="24"/>
                      <w:szCs w:val="21"/>
                      <w:lang w:val="pt-BR"/>
                    </w:rPr>
                  </w:pPr>
                  <w:r>
                    <w:rPr>
                      <w:rFonts w:hint="eastAsia"/>
                      <w:bCs/>
                      <w:snapToGrid w:val="0"/>
                      <w:kern w:val="24"/>
                      <w:szCs w:val="21"/>
                      <w:lang w:val="pt-BR"/>
                    </w:rPr>
                    <w:t>一</w:t>
                  </w:r>
                </w:p>
              </w:tc>
              <w:tc>
                <w:tcPr>
                  <w:tcW w:w="8113" w:type="dxa"/>
                  <w:gridSpan w:val="3"/>
                  <w:vAlign w:val="center"/>
                </w:tcPr>
                <w:p w14:paraId="5E501C06">
                  <w:pPr>
                    <w:spacing w:line="0" w:lineRule="atLeast"/>
                    <w:ind w:left="-105" w:leftChars="-50" w:right="-105" w:rightChars="-50" w:firstLine="105" w:firstLineChars="50"/>
                    <w:rPr>
                      <w:rFonts w:hint="eastAsia"/>
                      <w:color w:val="000000"/>
                      <w:szCs w:val="21"/>
                    </w:rPr>
                  </w:pPr>
                  <w:r>
                    <w:rPr>
                      <w:rFonts w:hint="eastAsia"/>
                      <w:bCs/>
                      <w:snapToGrid w:val="0"/>
                      <w:kern w:val="24"/>
                      <w:szCs w:val="21"/>
                      <w:lang w:val="pt-BR"/>
                    </w:rPr>
                    <w:t xml:space="preserve">鸟纲 </w:t>
                  </w:r>
                  <w:r>
                    <w:rPr>
                      <w:rFonts w:hint="eastAsia"/>
                      <w:bCs/>
                      <w:i/>
                      <w:snapToGrid w:val="0"/>
                      <w:kern w:val="24"/>
                      <w:szCs w:val="21"/>
                      <w:lang w:val="pt-BR"/>
                    </w:rPr>
                    <w:t>Vaes</w:t>
                  </w:r>
                </w:p>
              </w:tc>
            </w:tr>
            <w:tr w14:paraId="0C9CD35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676" w:type="dxa"/>
                  <w:vAlign w:val="center"/>
                </w:tcPr>
                <w:p w14:paraId="11C07F5F">
                  <w:pPr>
                    <w:spacing w:line="0" w:lineRule="atLeast"/>
                    <w:jc w:val="center"/>
                    <w:rPr>
                      <w:rFonts w:hint="eastAsia"/>
                    </w:rPr>
                  </w:pPr>
                  <w:r>
                    <w:rPr>
                      <w:rFonts w:hint="eastAsia"/>
                    </w:rPr>
                    <w:t>1</w:t>
                  </w:r>
                </w:p>
              </w:tc>
              <w:tc>
                <w:tcPr>
                  <w:tcW w:w="1531" w:type="dxa"/>
                  <w:vAlign w:val="center"/>
                </w:tcPr>
                <w:p w14:paraId="2001F017">
                  <w:pPr>
                    <w:spacing w:line="0" w:lineRule="atLeast"/>
                    <w:ind w:left="-105" w:leftChars="-50" w:right="-105" w:rightChars="-50"/>
                    <w:jc w:val="center"/>
                    <w:rPr>
                      <w:rFonts w:hint="eastAsia"/>
                      <w:bCs/>
                      <w:snapToGrid w:val="0"/>
                      <w:kern w:val="24"/>
                      <w:szCs w:val="21"/>
                    </w:rPr>
                  </w:pPr>
                  <w:r>
                    <w:rPr>
                      <w:rFonts w:hint="eastAsia"/>
                      <w:bCs/>
                      <w:snapToGrid w:val="0"/>
                      <w:kern w:val="24"/>
                      <w:szCs w:val="21"/>
                    </w:rPr>
                    <w:t>凤头百灵</w:t>
                  </w:r>
                </w:p>
              </w:tc>
              <w:tc>
                <w:tcPr>
                  <w:tcW w:w="2879" w:type="dxa"/>
                  <w:vAlign w:val="center"/>
                </w:tcPr>
                <w:p w14:paraId="6308ECE3">
                  <w:pPr>
                    <w:spacing w:line="0" w:lineRule="atLeast"/>
                    <w:ind w:left="-105" w:leftChars="-50" w:right="-105" w:rightChars="-50"/>
                    <w:jc w:val="center"/>
                    <w:rPr>
                      <w:i/>
                      <w:color w:val="000000"/>
                      <w:szCs w:val="21"/>
                    </w:rPr>
                  </w:pPr>
                  <w:r>
                    <w:rPr>
                      <w:i/>
                      <w:color w:val="000000"/>
                      <w:szCs w:val="21"/>
                    </w:rPr>
                    <w:t>Galerida cristata</w:t>
                  </w:r>
                </w:p>
              </w:tc>
              <w:tc>
                <w:tcPr>
                  <w:tcW w:w="3703" w:type="dxa"/>
                  <w:vAlign w:val="center"/>
                </w:tcPr>
                <w:p w14:paraId="4C8DEF1D">
                  <w:pPr>
                    <w:spacing w:line="0" w:lineRule="atLeast"/>
                    <w:ind w:left="-105" w:leftChars="-50" w:right="-105" w:rightChars="-50"/>
                    <w:jc w:val="center"/>
                    <w:rPr>
                      <w:rFonts w:hint="eastAsia"/>
                      <w:color w:val="000000"/>
                      <w:szCs w:val="21"/>
                    </w:rPr>
                  </w:pPr>
                  <w:r>
                    <w:rPr>
                      <w:rFonts w:hint="eastAsia"/>
                      <w:color w:val="000000"/>
                      <w:szCs w:val="21"/>
                    </w:rPr>
                    <w:t>疏林地、沟谷、农田坡地</w:t>
                  </w:r>
                </w:p>
              </w:tc>
            </w:tr>
            <w:tr w14:paraId="3E320DE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676" w:type="dxa"/>
                  <w:vAlign w:val="center"/>
                </w:tcPr>
                <w:p w14:paraId="6429CC81">
                  <w:pPr>
                    <w:spacing w:line="0" w:lineRule="atLeast"/>
                    <w:jc w:val="center"/>
                    <w:rPr>
                      <w:rFonts w:hint="eastAsia"/>
                    </w:rPr>
                  </w:pPr>
                  <w:r>
                    <w:rPr>
                      <w:rFonts w:hint="eastAsia"/>
                    </w:rPr>
                    <w:t>2</w:t>
                  </w:r>
                </w:p>
              </w:tc>
              <w:tc>
                <w:tcPr>
                  <w:tcW w:w="1531" w:type="dxa"/>
                  <w:vAlign w:val="center"/>
                </w:tcPr>
                <w:p w14:paraId="16DCA112">
                  <w:pPr>
                    <w:spacing w:line="0" w:lineRule="atLeast"/>
                    <w:ind w:left="-105" w:leftChars="-50" w:right="-105" w:rightChars="-50"/>
                    <w:jc w:val="center"/>
                    <w:rPr>
                      <w:rFonts w:hint="eastAsia"/>
                      <w:bCs/>
                      <w:snapToGrid w:val="0"/>
                      <w:kern w:val="24"/>
                      <w:szCs w:val="21"/>
                    </w:rPr>
                  </w:pPr>
                  <w:r>
                    <w:rPr>
                      <w:rFonts w:hint="eastAsia"/>
                      <w:bCs/>
                      <w:snapToGrid w:val="0"/>
                      <w:kern w:val="24"/>
                      <w:szCs w:val="21"/>
                    </w:rPr>
                    <w:t>角百灵</w:t>
                  </w:r>
                </w:p>
              </w:tc>
              <w:tc>
                <w:tcPr>
                  <w:tcW w:w="2879" w:type="dxa"/>
                  <w:vAlign w:val="center"/>
                </w:tcPr>
                <w:p w14:paraId="52F827E9">
                  <w:pPr>
                    <w:spacing w:line="0" w:lineRule="atLeast"/>
                    <w:ind w:left="-105" w:leftChars="-50" w:right="-105" w:rightChars="-50"/>
                    <w:jc w:val="center"/>
                    <w:rPr>
                      <w:i/>
                      <w:color w:val="000000"/>
                      <w:szCs w:val="21"/>
                    </w:rPr>
                  </w:pPr>
                  <w:r>
                    <w:rPr>
                      <w:i/>
                      <w:color w:val="000000"/>
                      <w:szCs w:val="21"/>
                    </w:rPr>
                    <w:t>Eremophila alpestris</w:t>
                  </w:r>
                </w:p>
              </w:tc>
              <w:tc>
                <w:tcPr>
                  <w:tcW w:w="3703" w:type="dxa"/>
                  <w:vAlign w:val="center"/>
                </w:tcPr>
                <w:p w14:paraId="26A42A18">
                  <w:pPr>
                    <w:spacing w:line="0" w:lineRule="atLeast"/>
                    <w:ind w:left="-105" w:leftChars="-50" w:right="-105" w:rightChars="-50"/>
                    <w:jc w:val="center"/>
                    <w:rPr>
                      <w:rFonts w:hint="eastAsia"/>
                      <w:color w:val="000000"/>
                      <w:szCs w:val="21"/>
                    </w:rPr>
                  </w:pPr>
                  <w:r>
                    <w:rPr>
                      <w:rFonts w:hint="eastAsia"/>
                      <w:color w:val="000000"/>
                      <w:szCs w:val="21"/>
                    </w:rPr>
                    <w:t>疏林地、沟谷、农田坡地</w:t>
                  </w:r>
                </w:p>
              </w:tc>
            </w:tr>
            <w:tr w14:paraId="6D288E9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676" w:type="dxa"/>
                  <w:vAlign w:val="center"/>
                </w:tcPr>
                <w:p w14:paraId="22EA864E">
                  <w:pPr>
                    <w:spacing w:line="0" w:lineRule="atLeast"/>
                    <w:jc w:val="center"/>
                    <w:rPr>
                      <w:rFonts w:hint="eastAsia"/>
                    </w:rPr>
                  </w:pPr>
                  <w:r>
                    <w:rPr>
                      <w:rFonts w:hint="eastAsia"/>
                    </w:rPr>
                    <w:t>3</w:t>
                  </w:r>
                </w:p>
              </w:tc>
              <w:tc>
                <w:tcPr>
                  <w:tcW w:w="1531" w:type="dxa"/>
                  <w:vAlign w:val="center"/>
                </w:tcPr>
                <w:p w14:paraId="134AF57B">
                  <w:pPr>
                    <w:spacing w:line="0" w:lineRule="atLeast"/>
                    <w:ind w:left="-105" w:leftChars="-50" w:right="-105" w:rightChars="-50"/>
                    <w:jc w:val="center"/>
                    <w:rPr>
                      <w:rFonts w:hint="eastAsia"/>
                      <w:bCs/>
                      <w:snapToGrid w:val="0"/>
                      <w:kern w:val="24"/>
                      <w:szCs w:val="21"/>
                    </w:rPr>
                  </w:pPr>
                  <w:r>
                    <w:rPr>
                      <w:rFonts w:hint="eastAsia"/>
                      <w:bCs/>
                      <w:snapToGrid w:val="0"/>
                      <w:kern w:val="24"/>
                      <w:szCs w:val="21"/>
                    </w:rPr>
                    <w:t>云雀</w:t>
                  </w:r>
                </w:p>
              </w:tc>
              <w:tc>
                <w:tcPr>
                  <w:tcW w:w="2879" w:type="dxa"/>
                  <w:vAlign w:val="center"/>
                </w:tcPr>
                <w:p w14:paraId="4A13F250">
                  <w:pPr>
                    <w:spacing w:line="0" w:lineRule="atLeast"/>
                    <w:ind w:left="-105" w:leftChars="-50" w:right="-105" w:rightChars="-50"/>
                    <w:jc w:val="center"/>
                    <w:rPr>
                      <w:i/>
                      <w:color w:val="000000"/>
                      <w:szCs w:val="21"/>
                    </w:rPr>
                  </w:pPr>
                  <w:r>
                    <w:rPr>
                      <w:i/>
                      <w:color w:val="000000"/>
                      <w:szCs w:val="21"/>
                    </w:rPr>
                    <w:t>Alauda arvensis</w:t>
                  </w:r>
                </w:p>
              </w:tc>
              <w:tc>
                <w:tcPr>
                  <w:tcW w:w="3703" w:type="dxa"/>
                  <w:vAlign w:val="center"/>
                </w:tcPr>
                <w:p w14:paraId="4AD5E372">
                  <w:pPr>
                    <w:spacing w:line="0" w:lineRule="atLeast"/>
                    <w:ind w:left="-105" w:leftChars="-50" w:right="-105" w:rightChars="-50"/>
                    <w:jc w:val="center"/>
                    <w:rPr>
                      <w:rFonts w:hint="eastAsia"/>
                      <w:color w:val="000000"/>
                      <w:szCs w:val="21"/>
                    </w:rPr>
                  </w:pPr>
                  <w:r>
                    <w:rPr>
                      <w:rFonts w:hint="eastAsia"/>
                      <w:color w:val="000000"/>
                      <w:szCs w:val="21"/>
                    </w:rPr>
                    <w:t>水边低湿地、疏林地、沟谷、农田坡地</w:t>
                  </w:r>
                </w:p>
              </w:tc>
            </w:tr>
            <w:tr w14:paraId="59A9309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676" w:type="dxa"/>
                  <w:vAlign w:val="center"/>
                </w:tcPr>
                <w:p w14:paraId="0E2BC7D7">
                  <w:pPr>
                    <w:spacing w:line="0" w:lineRule="atLeast"/>
                    <w:jc w:val="center"/>
                    <w:rPr>
                      <w:rFonts w:hint="eastAsia"/>
                    </w:rPr>
                  </w:pPr>
                  <w:r>
                    <w:rPr>
                      <w:rFonts w:hint="eastAsia"/>
                    </w:rPr>
                    <w:t>4</w:t>
                  </w:r>
                </w:p>
              </w:tc>
              <w:tc>
                <w:tcPr>
                  <w:tcW w:w="1531" w:type="dxa"/>
                  <w:vAlign w:val="center"/>
                </w:tcPr>
                <w:p w14:paraId="48F69088">
                  <w:pPr>
                    <w:spacing w:line="0" w:lineRule="atLeast"/>
                    <w:ind w:left="-105" w:leftChars="-50" w:right="-105" w:rightChars="-50"/>
                    <w:jc w:val="center"/>
                    <w:rPr>
                      <w:rFonts w:hint="eastAsia"/>
                      <w:bCs/>
                      <w:snapToGrid w:val="0"/>
                      <w:kern w:val="24"/>
                      <w:szCs w:val="21"/>
                    </w:rPr>
                  </w:pPr>
                  <w:r>
                    <w:rPr>
                      <w:rFonts w:hint="eastAsia"/>
                      <w:bCs/>
                      <w:snapToGrid w:val="0"/>
                      <w:kern w:val="24"/>
                      <w:szCs w:val="21"/>
                    </w:rPr>
                    <w:t>喜鹊</w:t>
                  </w:r>
                </w:p>
              </w:tc>
              <w:tc>
                <w:tcPr>
                  <w:tcW w:w="2879" w:type="dxa"/>
                  <w:vAlign w:val="center"/>
                </w:tcPr>
                <w:p w14:paraId="63F43039">
                  <w:pPr>
                    <w:spacing w:line="0" w:lineRule="atLeast"/>
                    <w:ind w:left="-105" w:leftChars="-50" w:right="-105" w:rightChars="-50"/>
                    <w:jc w:val="center"/>
                    <w:rPr>
                      <w:i/>
                      <w:color w:val="000000"/>
                      <w:szCs w:val="21"/>
                    </w:rPr>
                  </w:pPr>
                  <w:r>
                    <w:rPr>
                      <w:i/>
                      <w:color w:val="000000"/>
                      <w:szCs w:val="21"/>
                    </w:rPr>
                    <w:t>Pica pica</w:t>
                  </w:r>
                </w:p>
              </w:tc>
              <w:tc>
                <w:tcPr>
                  <w:tcW w:w="3703" w:type="dxa"/>
                  <w:vAlign w:val="center"/>
                </w:tcPr>
                <w:p w14:paraId="0D61F3B7">
                  <w:pPr>
                    <w:spacing w:line="0" w:lineRule="atLeast"/>
                    <w:ind w:left="-105" w:leftChars="-50" w:right="-105" w:rightChars="-50"/>
                    <w:jc w:val="center"/>
                    <w:rPr>
                      <w:rFonts w:hint="eastAsia"/>
                      <w:color w:val="000000"/>
                      <w:szCs w:val="21"/>
                    </w:rPr>
                  </w:pPr>
                  <w:r>
                    <w:rPr>
                      <w:rFonts w:hint="eastAsia"/>
                      <w:color w:val="000000"/>
                      <w:szCs w:val="21"/>
                    </w:rPr>
                    <w:t>疏林地、居民点、沟谷、农田坡地</w:t>
                  </w:r>
                </w:p>
              </w:tc>
            </w:tr>
            <w:tr w14:paraId="60D3A18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676" w:type="dxa"/>
                  <w:vAlign w:val="center"/>
                </w:tcPr>
                <w:p w14:paraId="42AEFC91">
                  <w:pPr>
                    <w:spacing w:line="0" w:lineRule="atLeast"/>
                    <w:jc w:val="center"/>
                    <w:rPr>
                      <w:rFonts w:hint="eastAsia"/>
                    </w:rPr>
                  </w:pPr>
                  <w:r>
                    <w:rPr>
                      <w:rFonts w:hint="eastAsia"/>
                    </w:rPr>
                    <w:t>5</w:t>
                  </w:r>
                </w:p>
              </w:tc>
              <w:tc>
                <w:tcPr>
                  <w:tcW w:w="1531" w:type="dxa"/>
                  <w:vAlign w:val="center"/>
                </w:tcPr>
                <w:p w14:paraId="1A815C54">
                  <w:pPr>
                    <w:spacing w:line="0" w:lineRule="atLeast"/>
                    <w:ind w:left="-105" w:leftChars="-50" w:right="-105" w:rightChars="-50"/>
                    <w:jc w:val="center"/>
                    <w:rPr>
                      <w:rFonts w:hint="eastAsia"/>
                      <w:bCs/>
                      <w:snapToGrid w:val="0"/>
                      <w:kern w:val="24"/>
                      <w:szCs w:val="21"/>
                    </w:rPr>
                  </w:pPr>
                  <w:r>
                    <w:rPr>
                      <w:rFonts w:hint="eastAsia"/>
                      <w:bCs/>
                      <w:snapToGrid w:val="0"/>
                      <w:kern w:val="24"/>
                      <w:szCs w:val="21"/>
                    </w:rPr>
                    <w:t>红嘴山鸦</w:t>
                  </w:r>
                </w:p>
              </w:tc>
              <w:tc>
                <w:tcPr>
                  <w:tcW w:w="2879" w:type="dxa"/>
                  <w:vAlign w:val="center"/>
                </w:tcPr>
                <w:p w14:paraId="43FE74FE">
                  <w:pPr>
                    <w:spacing w:line="0" w:lineRule="atLeast"/>
                    <w:ind w:left="-105" w:leftChars="-50" w:right="-105" w:rightChars="-50"/>
                    <w:jc w:val="center"/>
                    <w:rPr>
                      <w:i/>
                      <w:color w:val="000000"/>
                      <w:szCs w:val="21"/>
                    </w:rPr>
                  </w:pPr>
                  <w:r>
                    <w:rPr>
                      <w:i/>
                      <w:color w:val="000000"/>
                      <w:szCs w:val="21"/>
                    </w:rPr>
                    <w:t>Pyrrhocorax pyrrhocorax</w:t>
                  </w:r>
                </w:p>
              </w:tc>
              <w:tc>
                <w:tcPr>
                  <w:tcW w:w="3703" w:type="dxa"/>
                  <w:vAlign w:val="center"/>
                </w:tcPr>
                <w:p w14:paraId="5EF33423">
                  <w:pPr>
                    <w:spacing w:line="0" w:lineRule="atLeast"/>
                    <w:ind w:left="-105" w:leftChars="-50" w:right="-105" w:rightChars="-50"/>
                    <w:jc w:val="center"/>
                    <w:rPr>
                      <w:rFonts w:hint="eastAsia"/>
                      <w:color w:val="000000"/>
                      <w:szCs w:val="21"/>
                    </w:rPr>
                  </w:pPr>
                  <w:r>
                    <w:rPr>
                      <w:rFonts w:hint="eastAsia"/>
                      <w:color w:val="000000"/>
                      <w:szCs w:val="21"/>
                    </w:rPr>
                    <w:t>疏林地、居民点、沟谷、农田坡地</w:t>
                  </w:r>
                </w:p>
              </w:tc>
            </w:tr>
            <w:tr w14:paraId="1068FF2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676" w:type="dxa"/>
                  <w:vAlign w:val="center"/>
                </w:tcPr>
                <w:p w14:paraId="364F9042">
                  <w:pPr>
                    <w:spacing w:line="0" w:lineRule="atLeast"/>
                    <w:jc w:val="center"/>
                    <w:rPr>
                      <w:rFonts w:hint="eastAsia"/>
                    </w:rPr>
                  </w:pPr>
                  <w:r>
                    <w:rPr>
                      <w:rFonts w:hint="eastAsia"/>
                    </w:rPr>
                    <w:t>6</w:t>
                  </w:r>
                </w:p>
              </w:tc>
              <w:tc>
                <w:tcPr>
                  <w:tcW w:w="1531" w:type="dxa"/>
                  <w:vAlign w:val="center"/>
                </w:tcPr>
                <w:p w14:paraId="4DB4D2BC">
                  <w:pPr>
                    <w:spacing w:line="0" w:lineRule="atLeast"/>
                    <w:ind w:left="-105" w:leftChars="-50" w:right="-105" w:rightChars="-50"/>
                    <w:jc w:val="center"/>
                    <w:rPr>
                      <w:rFonts w:hint="eastAsia"/>
                      <w:bCs/>
                      <w:snapToGrid w:val="0"/>
                      <w:kern w:val="24"/>
                      <w:szCs w:val="21"/>
                    </w:rPr>
                  </w:pPr>
                  <w:r>
                    <w:rPr>
                      <w:rFonts w:hint="eastAsia"/>
                      <w:bCs/>
                      <w:snapToGrid w:val="0"/>
                      <w:kern w:val="24"/>
                      <w:szCs w:val="21"/>
                    </w:rPr>
                    <w:t>小嘴乌鸦</w:t>
                  </w:r>
                </w:p>
              </w:tc>
              <w:tc>
                <w:tcPr>
                  <w:tcW w:w="2879" w:type="dxa"/>
                  <w:vAlign w:val="center"/>
                </w:tcPr>
                <w:p w14:paraId="36EC1D86">
                  <w:pPr>
                    <w:spacing w:line="0" w:lineRule="atLeast"/>
                    <w:ind w:left="-105" w:leftChars="-50" w:right="-105" w:rightChars="-50"/>
                    <w:jc w:val="center"/>
                    <w:rPr>
                      <w:i/>
                      <w:color w:val="000000"/>
                      <w:szCs w:val="21"/>
                    </w:rPr>
                  </w:pPr>
                  <w:r>
                    <w:rPr>
                      <w:i/>
                      <w:color w:val="000000"/>
                      <w:szCs w:val="21"/>
                    </w:rPr>
                    <w:t>Corvus corone</w:t>
                  </w:r>
                </w:p>
              </w:tc>
              <w:tc>
                <w:tcPr>
                  <w:tcW w:w="3703" w:type="dxa"/>
                  <w:vAlign w:val="center"/>
                </w:tcPr>
                <w:p w14:paraId="76D75D8F">
                  <w:pPr>
                    <w:spacing w:line="0" w:lineRule="atLeast"/>
                    <w:ind w:left="-105" w:leftChars="-50" w:right="-105" w:rightChars="-50"/>
                    <w:jc w:val="center"/>
                    <w:rPr>
                      <w:rFonts w:hint="eastAsia"/>
                      <w:color w:val="000000"/>
                      <w:szCs w:val="21"/>
                    </w:rPr>
                  </w:pPr>
                  <w:r>
                    <w:rPr>
                      <w:rFonts w:hint="eastAsia"/>
                      <w:color w:val="000000"/>
                      <w:szCs w:val="21"/>
                    </w:rPr>
                    <w:t>疏林地</w:t>
                  </w:r>
                </w:p>
              </w:tc>
            </w:tr>
            <w:tr w14:paraId="5767532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676" w:type="dxa"/>
                  <w:vAlign w:val="center"/>
                </w:tcPr>
                <w:p w14:paraId="18152B47">
                  <w:pPr>
                    <w:spacing w:line="0" w:lineRule="atLeast"/>
                    <w:jc w:val="center"/>
                    <w:rPr>
                      <w:rFonts w:hint="eastAsia"/>
                    </w:rPr>
                  </w:pPr>
                  <w:r>
                    <w:rPr>
                      <w:rFonts w:hint="eastAsia"/>
                    </w:rPr>
                    <w:t>二</w:t>
                  </w:r>
                </w:p>
              </w:tc>
              <w:tc>
                <w:tcPr>
                  <w:tcW w:w="8113" w:type="dxa"/>
                  <w:gridSpan w:val="3"/>
                  <w:vAlign w:val="center"/>
                </w:tcPr>
                <w:p w14:paraId="6ACB5974">
                  <w:pPr>
                    <w:spacing w:line="0" w:lineRule="atLeast"/>
                    <w:ind w:left="-105" w:leftChars="-50" w:right="-105" w:rightChars="-50"/>
                    <w:rPr>
                      <w:rFonts w:hint="eastAsia"/>
                      <w:color w:val="000000"/>
                      <w:szCs w:val="21"/>
                    </w:rPr>
                  </w:pPr>
                  <w:r>
                    <w:rPr>
                      <w:rFonts w:hint="eastAsia"/>
                      <w:color w:val="000000"/>
                      <w:szCs w:val="21"/>
                    </w:rPr>
                    <w:t xml:space="preserve"> 哺乳纲 </w:t>
                  </w:r>
                  <w:r>
                    <w:rPr>
                      <w:i/>
                      <w:color w:val="000000"/>
                      <w:szCs w:val="21"/>
                    </w:rPr>
                    <w:t>Mammalia</w:t>
                  </w:r>
                </w:p>
              </w:tc>
            </w:tr>
            <w:tr w14:paraId="608CAB6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676" w:type="dxa"/>
                  <w:vAlign w:val="center"/>
                </w:tcPr>
                <w:p w14:paraId="3BAFD2EC">
                  <w:pPr>
                    <w:spacing w:line="0" w:lineRule="atLeast"/>
                    <w:jc w:val="center"/>
                    <w:rPr>
                      <w:rFonts w:hint="eastAsia"/>
                    </w:rPr>
                  </w:pPr>
                  <w:r>
                    <w:rPr>
                      <w:rFonts w:hint="eastAsia"/>
                    </w:rPr>
                    <w:t>1</w:t>
                  </w:r>
                </w:p>
              </w:tc>
              <w:tc>
                <w:tcPr>
                  <w:tcW w:w="1531" w:type="dxa"/>
                  <w:vAlign w:val="center"/>
                </w:tcPr>
                <w:p w14:paraId="4A3041A6">
                  <w:pPr>
                    <w:spacing w:line="0" w:lineRule="atLeast"/>
                    <w:ind w:left="-105" w:leftChars="-50" w:right="-105" w:rightChars="-50"/>
                    <w:jc w:val="center"/>
                    <w:rPr>
                      <w:rFonts w:hint="eastAsia"/>
                      <w:bCs/>
                      <w:snapToGrid w:val="0"/>
                      <w:kern w:val="24"/>
                      <w:szCs w:val="21"/>
                    </w:rPr>
                  </w:pPr>
                  <w:r>
                    <w:rPr>
                      <w:rFonts w:hint="eastAsia"/>
                      <w:bCs/>
                      <w:snapToGrid w:val="0"/>
                      <w:kern w:val="24"/>
                      <w:szCs w:val="21"/>
                    </w:rPr>
                    <w:t>黑线仓鼠</w:t>
                  </w:r>
                </w:p>
              </w:tc>
              <w:tc>
                <w:tcPr>
                  <w:tcW w:w="2879" w:type="dxa"/>
                  <w:vAlign w:val="center"/>
                </w:tcPr>
                <w:p w14:paraId="035AF3EE">
                  <w:pPr>
                    <w:spacing w:line="0" w:lineRule="atLeast"/>
                    <w:ind w:left="-105" w:leftChars="-50" w:right="-105" w:rightChars="-50"/>
                    <w:jc w:val="center"/>
                    <w:rPr>
                      <w:i/>
                      <w:color w:val="000000"/>
                      <w:szCs w:val="21"/>
                    </w:rPr>
                  </w:pPr>
                  <w:r>
                    <w:rPr>
                      <w:i/>
                      <w:color w:val="000000"/>
                      <w:szCs w:val="21"/>
                    </w:rPr>
                    <w:t>Cricetulus Barabensis</w:t>
                  </w:r>
                </w:p>
              </w:tc>
              <w:tc>
                <w:tcPr>
                  <w:tcW w:w="3703" w:type="dxa"/>
                  <w:vAlign w:val="center"/>
                </w:tcPr>
                <w:p w14:paraId="7A2EDBFC">
                  <w:pPr>
                    <w:spacing w:line="0" w:lineRule="atLeast"/>
                    <w:ind w:left="-105" w:leftChars="-50" w:right="-105" w:rightChars="-50"/>
                    <w:jc w:val="center"/>
                    <w:rPr>
                      <w:rFonts w:hint="eastAsia"/>
                      <w:color w:val="000000"/>
                      <w:szCs w:val="21"/>
                    </w:rPr>
                  </w:pPr>
                  <w:r>
                    <w:rPr>
                      <w:rFonts w:hint="eastAsia"/>
                      <w:color w:val="000000"/>
                      <w:szCs w:val="21"/>
                    </w:rPr>
                    <w:t>草地、农田、居民点</w:t>
                  </w:r>
                </w:p>
              </w:tc>
            </w:tr>
            <w:tr w14:paraId="5931191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676" w:type="dxa"/>
                  <w:vAlign w:val="center"/>
                </w:tcPr>
                <w:p w14:paraId="26832E8A">
                  <w:pPr>
                    <w:spacing w:line="0" w:lineRule="atLeast"/>
                    <w:jc w:val="center"/>
                    <w:rPr>
                      <w:rFonts w:hint="eastAsia"/>
                    </w:rPr>
                  </w:pPr>
                  <w:r>
                    <w:rPr>
                      <w:rFonts w:hint="eastAsia"/>
                    </w:rPr>
                    <w:t>2</w:t>
                  </w:r>
                </w:p>
              </w:tc>
              <w:tc>
                <w:tcPr>
                  <w:tcW w:w="1531" w:type="dxa"/>
                  <w:vAlign w:val="center"/>
                </w:tcPr>
                <w:p w14:paraId="12876FDF">
                  <w:pPr>
                    <w:spacing w:line="0" w:lineRule="atLeast"/>
                    <w:ind w:left="-105" w:leftChars="-50" w:right="-105" w:rightChars="-50"/>
                    <w:jc w:val="center"/>
                    <w:rPr>
                      <w:rFonts w:hint="eastAsia"/>
                      <w:bCs/>
                      <w:snapToGrid w:val="0"/>
                      <w:kern w:val="24"/>
                      <w:szCs w:val="21"/>
                    </w:rPr>
                  </w:pPr>
                  <w:r>
                    <w:rPr>
                      <w:rFonts w:hint="eastAsia"/>
                      <w:bCs/>
                      <w:snapToGrid w:val="0"/>
                      <w:kern w:val="24"/>
                      <w:szCs w:val="21"/>
                    </w:rPr>
                    <w:t>达乌尔黄鼠</w:t>
                  </w:r>
                </w:p>
              </w:tc>
              <w:tc>
                <w:tcPr>
                  <w:tcW w:w="2879" w:type="dxa"/>
                  <w:vAlign w:val="center"/>
                </w:tcPr>
                <w:p w14:paraId="2905630C">
                  <w:pPr>
                    <w:spacing w:line="0" w:lineRule="atLeast"/>
                    <w:ind w:left="-105" w:leftChars="-50" w:right="-105" w:rightChars="-50"/>
                    <w:jc w:val="center"/>
                    <w:rPr>
                      <w:i/>
                      <w:color w:val="000000"/>
                      <w:szCs w:val="21"/>
                    </w:rPr>
                  </w:pPr>
                  <w:r>
                    <w:rPr>
                      <w:i/>
                      <w:color w:val="000000"/>
                      <w:szCs w:val="21"/>
                    </w:rPr>
                    <w:t>Spermophilus dauricus</w:t>
                  </w:r>
                </w:p>
              </w:tc>
              <w:tc>
                <w:tcPr>
                  <w:tcW w:w="3703" w:type="dxa"/>
                  <w:vAlign w:val="center"/>
                </w:tcPr>
                <w:p w14:paraId="35C2E07B">
                  <w:pPr>
                    <w:spacing w:line="0" w:lineRule="atLeast"/>
                    <w:ind w:left="-105" w:leftChars="-50" w:right="-105" w:rightChars="-50"/>
                    <w:jc w:val="center"/>
                    <w:rPr>
                      <w:rFonts w:hint="eastAsia"/>
                      <w:color w:val="000000"/>
                      <w:szCs w:val="21"/>
                    </w:rPr>
                  </w:pPr>
                  <w:r>
                    <w:rPr>
                      <w:rFonts w:hint="eastAsia"/>
                      <w:color w:val="000000"/>
                      <w:szCs w:val="21"/>
                    </w:rPr>
                    <w:t>草地、农田</w:t>
                  </w:r>
                </w:p>
              </w:tc>
            </w:tr>
            <w:tr w14:paraId="21FEA0C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676" w:type="dxa"/>
                  <w:vAlign w:val="center"/>
                </w:tcPr>
                <w:p w14:paraId="471899FF">
                  <w:pPr>
                    <w:spacing w:line="0" w:lineRule="atLeast"/>
                    <w:jc w:val="center"/>
                    <w:rPr>
                      <w:rFonts w:hint="eastAsia"/>
                    </w:rPr>
                  </w:pPr>
                  <w:r>
                    <w:rPr>
                      <w:rFonts w:hint="eastAsia"/>
                    </w:rPr>
                    <w:t>3</w:t>
                  </w:r>
                </w:p>
              </w:tc>
              <w:tc>
                <w:tcPr>
                  <w:tcW w:w="1531" w:type="dxa"/>
                  <w:vAlign w:val="center"/>
                </w:tcPr>
                <w:p w14:paraId="0B4022F5">
                  <w:pPr>
                    <w:spacing w:line="0" w:lineRule="atLeast"/>
                    <w:ind w:left="-105" w:leftChars="-50" w:right="-105" w:rightChars="-50"/>
                    <w:jc w:val="center"/>
                    <w:rPr>
                      <w:rFonts w:hint="eastAsia"/>
                      <w:bCs/>
                      <w:snapToGrid w:val="0"/>
                      <w:kern w:val="24"/>
                      <w:szCs w:val="21"/>
                    </w:rPr>
                  </w:pPr>
                  <w:r>
                    <w:rPr>
                      <w:rFonts w:hint="eastAsia"/>
                      <w:bCs/>
                      <w:snapToGrid w:val="0"/>
                      <w:kern w:val="24"/>
                      <w:szCs w:val="21"/>
                    </w:rPr>
                    <w:t>五趾跳鼠</w:t>
                  </w:r>
                </w:p>
              </w:tc>
              <w:tc>
                <w:tcPr>
                  <w:tcW w:w="2879" w:type="dxa"/>
                  <w:vAlign w:val="center"/>
                </w:tcPr>
                <w:p w14:paraId="16A3C9E5">
                  <w:pPr>
                    <w:spacing w:line="0" w:lineRule="atLeast"/>
                    <w:ind w:left="-105" w:leftChars="-50" w:right="-105" w:rightChars="-50"/>
                    <w:jc w:val="center"/>
                    <w:rPr>
                      <w:i/>
                      <w:color w:val="000000"/>
                      <w:szCs w:val="21"/>
                    </w:rPr>
                  </w:pPr>
                  <w:r>
                    <w:rPr>
                      <w:i/>
                      <w:color w:val="000000"/>
                      <w:szCs w:val="21"/>
                    </w:rPr>
                    <w:t>Allactaga sibirica</w:t>
                  </w:r>
                </w:p>
              </w:tc>
              <w:tc>
                <w:tcPr>
                  <w:tcW w:w="3703" w:type="dxa"/>
                  <w:vAlign w:val="center"/>
                </w:tcPr>
                <w:p w14:paraId="3FCFA65F">
                  <w:pPr>
                    <w:spacing w:line="0" w:lineRule="atLeast"/>
                    <w:ind w:left="-105" w:leftChars="-50" w:right="-105" w:rightChars="-50"/>
                    <w:jc w:val="center"/>
                    <w:rPr>
                      <w:rFonts w:hint="eastAsia"/>
                      <w:color w:val="000000"/>
                      <w:szCs w:val="21"/>
                    </w:rPr>
                  </w:pPr>
                  <w:r>
                    <w:rPr>
                      <w:rFonts w:hint="eastAsia"/>
                      <w:color w:val="000000"/>
                      <w:szCs w:val="21"/>
                    </w:rPr>
                    <w:t>草地、沟谷</w:t>
                  </w:r>
                </w:p>
              </w:tc>
            </w:tr>
            <w:tr w14:paraId="14DA9D9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676" w:type="dxa"/>
                  <w:vAlign w:val="center"/>
                </w:tcPr>
                <w:p w14:paraId="00CACF56">
                  <w:pPr>
                    <w:spacing w:line="0" w:lineRule="atLeast"/>
                    <w:jc w:val="center"/>
                    <w:rPr>
                      <w:rFonts w:hint="eastAsia"/>
                    </w:rPr>
                  </w:pPr>
                  <w:r>
                    <w:rPr>
                      <w:rFonts w:hint="eastAsia"/>
                    </w:rPr>
                    <w:t>4</w:t>
                  </w:r>
                </w:p>
              </w:tc>
              <w:tc>
                <w:tcPr>
                  <w:tcW w:w="1531" w:type="dxa"/>
                  <w:vAlign w:val="center"/>
                </w:tcPr>
                <w:p w14:paraId="72377CE2">
                  <w:pPr>
                    <w:spacing w:line="0" w:lineRule="atLeast"/>
                    <w:ind w:left="-105" w:leftChars="-50" w:right="-105" w:rightChars="-50"/>
                    <w:jc w:val="center"/>
                    <w:rPr>
                      <w:rFonts w:hint="eastAsia"/>
                      <w:bCs/>
                      <w:snapToGrid w:val="0"/>
                      <w:kern w:val="24"/>
                      <w:szCs w:val="21"/>
                    </w:rPr>
                  </w:pPr>
                  <w:r>
                    <w:rPr>
                      <w:rFonts w:hint="eastAsia"/>
                      <w:bCs/>
                      <w:snapToGrid w:val="0"/>
                      <w:kern w:val="24"/>
                      <w:szCs w:val="21"/>
                    </w:rPr>
                    <w:t>褐家鼠</w:t>
                  </w:r>
                </w:p>
              </w:tc>
              <w:tc>
                <w:tcPr>
                  <w:tcW w:w="2879" w:type="dxa"/>
                  <w:vAlign w:val="center"/>
                </w:tcPr>
                <w:p w14:paraId="14D04124">
                  <w:pPr>
                    <w:spacing w:line="0" w:lineRule="atLeast"/>
                    <w:ind w:left="-105" w:leftChars="-50" w:right="-105" w:rightChars="-50"/>
                    <w:jc w:val="center"/>
                    <w:rPr>
                      <w:i/>
                      <w:color w:val="000000"/>
                      <w:szCs w:val="21"/>
                    </w:rPr>
                  </w:pPr>
                  <w:r>
                    <w:rPr>
                      <w:i/>
                      <w:color w:val="000000"/>
                      <w:szCs w:val="21"/>
                    </w:rPr>
                    <w:t>Rattus norvegicus</w:t>
                  </w:r>
                </w:p>
              </w:tc>
              <w:tc>
                <w:tcPr>
                  <w:tcW w:w="3703" w:type="dxa"/>
                  <w:vAlign w:val="center"/>
                </w:tcPr>
                <w:p w14:paraId="5ED8B07B">
                  <w:pPr>
                    <w:spacing w:line="0" w:lineRule="atLeast"/>
                    <w:ind w:left="-105" w:leftChars="-50" w:right="-105" w:rightChars="-50"/>
                    <w:jc w:val="center"/>
                    <w:rPr>
                      <w:rFonts w:hint="eastAsia"/>
                      <w:color w:val="000000"/>
                      <w:szCs w:val="21"/>
                    </w:rPr>
                  </w:pPr>
                  <w:r>
                    <w:rPr>
                      <w:rFonts w:hint="eastAsia"/>
                      <w:color w:val="000000"/>
                      <w:szCs w:val="21"/>
                    </w:rPr>
                    <w:t>草地、居民点、农田</w:t>
                  </w:r>
                </w:p>
              </w:tc>
            </w:tr>
            <w:tr w14:paraId="1AB8536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676" w:type="dxa"/>
                  <w:vAlign w:val="center"/>
                </w:tcPr>
                <w:p w14:paraId="34581324">
                  <w:pPr>
                    <w:spacing w:line="0" w:lineRule="atLeast"/>
                    <w:jc w:val="center"/>
                    <w:rPr>
                      <w:rFonts w:hint="eastAsia"/>
                    </w:rPr>
                  </w:pPr>
                  <w:r>
                    <w:rPr>
                      <w:rFonts w:hint="eastAsia"/>
                    </w:rPr>
                    <w:t>5</w:t>
                  </w:r>
                </w:p>
              </w:tc>
              <w:tc>
                <w:tcPr>
                  <w:tcW w:w="1531" w:type="dxa"/>
                  <w:vAlign w:val="center"/>
                </w:tcPr>
                <w:p w14:paraId="6F1ADC35">
                  <w:pPr>
                    <w:spacing w:line="0" w:lineRule="atLeast"/>
                    <w:ind w:left="-105" w:leftChars="-50" w:right="-105" w:rightChars="-50"/>
                    <w:jc w:val="center"/>
                    <w:rPr>
                      <w:rFonts w:hint="eastAsia"/>
                      <w:bCs/>
                      <w:snapToGrid w:val="0"/>
                      <w:kern w:val="24"/>
                      <w:szCs w:val="21"/>
                    </w:rPr>
                  </w:pPr>
                  <w:r>
                    <w:rPr>
                      <w:rFonts w:hint="eastAsia"/>
                      <w:bCs/>
                      <w:snapToGrid w:val="0"/>
                      <w:kern w:val="24"/>
                      <w:szCs w:val="21"/>
                    </w:rPr>
                    <w:t>小家鼠</w:t>
                  </w:r>
                </w:p>
              </w:tc>
              <w:tc>
                <w:tcPr>
                  <w:tcW w:w="2879" w:type="dxa"/>
                  <w:vAlign w:val="center"/>
                </w:tcPr>
                <w:p w14:paraId="72EE7BEA">
                  <w:pPr>
                    <w:spacing w:line="0" w:lineRule="atLeast"/>
                    <w:ind w:left="-105" w:leftChars="-50" w:right="-105" w:rightChars="-50"/>
                    <w:jc w:val="center"/>
                    <w:rPr>
                      <w:i/>
                      <w:color w:val="000000"/>
                      <w:szCs w:val="21"/>
                    </w:rPr>
                  </w:pPr>
                  <w:r>
                    <w:rPr>
                      <w:i/>
                      <w:color w:val="000000"/>
                      <w:szCs w:val="21"/>
                    </w:rPr>
                    <w:t>Mus musculus</w:t>
                  </w:r>
                </w:p>
              </w:tc>
              <w:tc>
                <w:tcPr>
                  <w:tcW w:w="3703" w:type="dxa"/>
                  <w:vAlign w:val="center"/>
                </w:tcPr>
                <w:p w14:paraId="014DDE3A">
                  <w:pPr>
                    <w:spacing w:line="0" w:lineRule="atLeast"/>
                    <w:ind w:left="-105" w:leftChars="-50" w:right="-105" w:rightChars="-50"/>
                    <w:jc w:val="center"/>
                    <w:rPr>
                      <w:rFonts w:hint="eastAsia"/>
                      <w:color w:val="000000"/>
                      <w:szCs w:val="21"/>
                    </w:rPr>
                  </w:pPr>
                  <w:r>
                    <w:rPr>
                      <w:rFonts w:hint="eastAsia"/>
                      <w:color w:val="000000"/>
                      <w:szCs w:val="21"/>
                    </w:rPr>
                    <w:t>草地、居民点、农田</w:t>
                  </w:r>
                </w:p>
              </w:tc>
            </w:tr>
            <w:tr w14:paraId="0822E4E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676" w:type="dxa"/>
                  <w:vAlign w:val="center"/>
                </w:tcPr>
                <w:p w14:paraId="0468BB95">
                  <w:pPr>
                    <w:spacing w:line="0" w:lineRule="atLeast"/>
                    <w:jc w:val="center"/>
                    <w:rPr>
                      <w:rFonts w:hint="eastAsia"/>
                    </w:rPr>
                  </w:pPr>
                  <w:r>
                    <w:rPr>
                      <w:rFonts w:hint="eastAsia"/>
                    </w:rPr>
                    <w:t>6</w:t>
                  </w:r>
                </w:p>
              </w:tc>
              <w:tc>
                <w:tcPr>
                  <w:tcW w:w="1531" w:type="dxa"/>
                  <w:vAlign w:val="center"/>
                </w:tcPr>
                <w:p w14:paraId="38593533">
                  <w:pPr>
                    <w:spacing w:line="0" w:lineRule="atLeast"/>
                    <w:ind w:left="-105" w:leftChars="-50" w:right="-105" w:rightChars="-50"/>
                    <w:jc w:val="center"/>
                    <w:rPr>
                      <w:rFonts w:hint="eastAsia"/>
                      <w:bCs/>
                      <w:snapToGrid w:val="0"/>
                      <w:kern w:val="24"/>
                      <w:szCs w:val="21"/>
                    </w:rPr>
                  </w:pPr>
                  <w:r>
                    <w:rPr>
                      <w:rFonts w:hint="eastAsia"/>
                      <w:bCs/>
                      <w:snapToGrid w:val="0"/>
                      <w:kern w:val="24"/>
                      <w:szCs w:val="21"/>
                    </w:rPr>
                    <w:t>小毛足鼠</w:t>
                  </w:r>
                </w:p>
              </w:tc>
              <w:tc>
                <w:tcPr>
                  <w:tcW w:w="2879" w:type="dxa"/>
                  <w:vAlign w:val="center"/>
                </w:tcPr>
                <w:p w14:paraId="394A0E9B">
                  <w:pPr>
                    <w:spacing w:line="0" w:lineRule="atLeast"/>
                    <w:ind w:left="-105" w:leftChars="-50" w:right="-105" w:rightChars="-50"/>
                    <w:jc w:val="center"/>
                    <w:rPr>
                      <w:i/>
                      <w:color w:val="000000"/>
                      <w:szCs w:val="21"/>
                    </w:rPr>
                  </w:pPr>
                  <w:r>
                    <w:rPr>
                      <w:i/>
                      <w:color w:val="000000"/>
                      <w:szCs w:val="21"/>
                    </w:rPr>
                    <w:t>Phodopus roborovskii</w:t>
                  </w:r>
                </w:p>
              </w:tc>
              <w:tc>
                <w:tcPr>
                  <w:tcW w:w="3703" w:type="dxa"/>
                  <w:vAlign w:val="center"/>
                </w:tcPr>
                <w:p w14:paraId="71B61951">
                  <w:pPr>
                    <w:spacing w:line="0" w:lineRule="atLeast"/>
                    <w:ind w:left="-105" w:leftChars="-50" w:right="-105" w:rightChars="-50"/>
                    <w:jc w:val="center"/>
                    <w:rPr>
                      <w:rFonts w:hint="eastAsia"/>
                      <w:color w:val="000000"/>
                      <w:szCs w:val="21"/>
                    </w:rPr>
                  </w:pPr>
                  <w:r>
                    <w:rPr>
                      <w:rFonts w:hint="eastAsia"/>
                      <w:color w:val="000000"/>
                      <w:szCs w:val="21"/>
                    </w:rPr>
                    <w:t>草地、居民点、农田</w:t>
                  </w:r>
                </w:p>
              </w:tc>
            </w:tr>
            <w:tr w14:paraId="3BAE5B4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676" w:type="dxa"/>
                  <w:vAlign w:val="center"/>
                </w:tcPr>
                <w:p w14:paraId="0597FD90">
                  <w:pPr>
                    <w:spacing w:line="0" w:lineRule="atLeast"/>
                    <w:jc w:val="center"/>
                    <w:rPr>
                      <w:rFonts w:hint="eastAsia"/>
                    </w:rPr>
                  </w:pPr>
                  <w:r>
                    <w:rPr>
                      <w:rFonts w:hint="eastAsia"/>
                    </w:rPr>
                    <w:t>7</w:t>
                  </w:r>
                </w:p>
              </w:tc>
              <w:tc>
                <w:tcPr>
                  <w:tcW w:w="1531" w:type="dxa"/>
                  <w:vAlign w:val="center"/>
                </w:tcPr>
                <w:p w14:paraId="08F34F06">
                  <w:pPr>
                    <w:spacing w:line="0" w:lineRule="atLeast"/>
                    <w:ind w:left="-105" w:leftChars="-50" w:right="-105" w:rightChars="-50"/>
                    <w:jc w:val="center"/>
                    <w:rPr>
                      <w:rFonts w:hint="eastAsia"/>
                      <w:bCs/>
                      <w:snapToGrid w:val="0"/>
                      <w:kern w:val="24"/>
                      <w:szCs w:val="21"/>
                    </w:rPr>
                  </w:pPr>
                  <w:r>
                    <w:rPr>
                      <w:rFonts w:hint="eastAsia"/>
                      <w:bCs/>
                      <w:snapToGrid w:val="0"/>
                      <w:kern w:val="24"/>
                      <w:szCs w:val="21"/>
                    </w:rPr>
                    <w:t>草兔</w:t>
                  </w:r>
                </w:p>
              </w:tc>
              <w:tc>
                <w:tcPr>
                  <w:tcW w:w="2879" w:type="dxa"/>
                  <w:vAlign w:val="center"/>
                </w:tcPr>
                <w:p w14:paraId="20939A8A">
                  <w:pPr>
                    <w:spacing w:line="0" w:lineRule="atLeast"/>
                    <w:ind w:left="-105" w:leftChars="-50" w:right="-105" w:rightChars="-50"/>
                    <w:jc w:val="center"/>
                    <w:rPr>
                      <w:i/>
                      <w:color w:val="000000"/>
                      <w:szCs w:val="21"/>
                    </w:rPr>
                  </w:pPr>
                  <w:r>
                    <w:rPr>
                      <w:i/>
                      <w:color w:val="000000"/>
                      <w:szCs w:val="21"/>
                    </w:rPr>
                    <w:t>Lepus capensis</w:t>
                  </w:r>
                </w:p>
              </w:tc>
              <w:tc>
                <w:tcPr>
                  <w:tcW w:w="3703" w:type="dxa"/>
                  <w:vAlign w:val="center"/>
                </w:tcPr>
                <w:p w14:paraId="27FC2115">
                  <w:pPr>
                    <w:spacing w:line="0" w:lineRule="atLeast"/>
                    <w:ind w:left="-105" w:leftChars="-50" w:right="-105" w:rightChars="-50"/>
                    <w:jc w:val="center"/>
                    <w:rPr>
                      <w:rFonts w:hint="eastAsia"/>
                      <w:color w:val="000000"/>
                      <w:szCs w:val="21"/>
                    </w:rPr>
                  </w:pPr>
                  <w:r>
                    <w:rPr>
                      <w:rFonts w:hint="eastAsia"/>
                      <w:color w:val="000000"/>
                      <w:szCs w:val="21"/>
                    </w:rPr>
                    <w:t>草地</w:t>
                  </w:r>
                </w:p>
              </w:tc>
            </w:tr>
            <w:tr w14:paraId="140FD69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676" w:type="dxa"/>
                  <w:vAlign w:val="center"/>
                </w:tcPr>
                <w:p w14:paraId="0D676AB4">
                  <w:pPr>
                    <w:spacing w:line="0" w:lineRule="atLeast"/>
                    <w:jc w:val="center"/>
                    <w:rPr>
                      <w:rFonts w:hint="eastAsia"/>
                    </w:rPr>
                  </w:pPr>
                  <w:r>
                    <w:rPr>
                      <w:rFonts w:hint="eastAsia"/>
                    </w:rPr>
                    <w:t>8</w:t>
                  </w:r>
                </w:p>
              </w:tc>
              <w:tc>
                <w:tcPr>
                  <w:tcW w:w="1531" w:type="dxa"/>
                  <w:vAlign w:val="center"/>
                </w:tcPr>
                <w:p w14:paraId="7AAFC463">
                  <w:pPr>
                    <w:spacing w:line="0" w:lineRule="atLeast"/>
                    <w:ind w:left="-105" w:leftChars="-50" w:right="-105" w:rightChars="-50"/>
                    <w:jc w:val="center"/>
                    <w:rPr>
                      <w:rFonts w:hint="eastAsia"/>
                      <w:bCs/>
                      <w:snapToGrid w:val="0"/>
                      <w:kern w:val="24"/>
                      <w:szCs w:val="21"/>
                    </w:rPr>
                  </w:pPr>
                  <w:r>
                    <w:rPr>
                      <w:rFonts w:hint="eastAsia"/>
                      <w:bCs/>
                      <w:snapToGrid w:val="0"/>
                      <w:kern w:val="24"/>
                      <w:szCs w:val="21"/>
                    </w:rPr>
                    <w:t>达乌尔鼠兔</w:t>
                  </w:r>
                </w:p>
              </w:tc>
              <w:tc>
                <w:tcPr>
                  <w:tcW w:w="2879" w:type="dxa"/>
                  <w:vAlign w:val="center"/>
                </w:tcPr>
                <w:p w14:paraId="3B659644">
                  <w:pPr>
                    <w:spacing w:line="0" w:lineRule="atLeast"/>
                    <w:ind w:left="-105" w:leftChars="-50" w:right="-105" w:rightChars="-50"/>
                    <w:jc w:val="center"/>
                    <w:rPr>
                      <w:i/>
                      <w:color w:val="000000"/>
                      <w:szCs w:val="21"/>
                    </w:rPr>
                  </w:pPr>
                  <w:r>
                    <w:rPr>
                      <w:i/>
                      <w:color w:val="000000"/>
                      <w:szCs w:val="21"/>
                    </w:rPr>
                    <w:t>Ochotona dauurica</w:t>
                  </w:r>
                </w:p>
              </w:tc>
              <w:tc>
                <w:tcPr>
                  <w:tcW w:w="3703" w:type="dxa"/>
                  <w:vAlign w:val="center"/>
                </w:tcPr>
                <w:p w14:paraId="1244BA4C">
                  <w:pPr>
                    <w:spacing w:line="0" w:lineRule="atLeast"/>
                    <w:ind w:left="-105" w:leftChars="-50" w:right="-105" w:rightChars="-50"/>
                    <w:jc w:val="center"/>
                    <w:rPr>
                      <w:rFonts w:hint="eastAsia"/>
                      <w:color w:val="000000"/>
                      <w:szCs w:val="21"/>
                    </w:rPr>
                  </w:pPr>
                  <w:r>
                    <w:rPr>
                      <w:rFonts w:hint="eastAsia"/>
                      <w:color w:val="000000"/>
                      <w:szCs w:val="21"/>
                    </w:rPr>
                    <w:t>草地、农田</w:t>
                  </w:r>
                </w:p>
              </w:tc>
            </w:tr>
            <w:tr w14:paraId="23690DB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676" w:type="dxa"/>
                  <w:vAlign w:val="center"/>
                </w:tcPr>
                <w:p w14:paraId="2555D9F5">
                  <w:pPr>
                    <w:spacing w:line="0" w:lineRule="atLeast"/>
                    <w:jc w:val="center"/>
                    <w:rPr>
                      <w:rFonts w:hint="eastAsia"/>
                    </w:rPr>
                  </w:pPr>
                  <w:r>
                    <w:rPr>
                      <w:rFonts w:hint="eastAsia"/>
                    </w:rPr>
                    <w:t>9</w:t>
                  </w:r>
                </w:p>
              </w:tc>
              <w:tc>
                <w:tcPr>
                  <w:tcW w:w="1531" w:type="dxa"/>
                  <w:vAlign w:val="center"/>
                </w:tcPr>
                <w:p w14:paraId="2DCEC72E">
                  <w:pPr>
                    <w:spacing w:line="0" w:lineRule="atLeast"/>
                    <w:ind w:left="-105" w:leftChars="-50" w:right="-105" w:rightChars="-50"/>
                    <w:jc w:val="center"/>
                    <w:rPr>
                      <w:rFonts w:hint="eastAsia"/>
                      <w:bCs/>
                      <w:snapToGrid w:val="0"/>
                      <w:kern w:val="24"/>
                      <w:szCs w:val="21"/>
                    </w:rPr>
                  </w:pPr>
                  <w:r>
                    <w:rPr>
                      <w:rFonts w:hint="eastAsia"/>
                      <w:bCs/>
                      <w:snapToGrid w:val="0"/>
                      <w:kern w:val="24"/>
                      <w:szCs w:val="21"/>
                    </w:rPr>
                    <w:t>蒙古兔</w:t>
                  </w:r>
                </w:p>
              </w:tc>
              <w:tc>
                <w:tcPr>
                  <w:tcW w:w="2879" w:type="dxa"/>
                  <w:vAlign w:val="center"/>
                </w:tcPr>
                <w:p w14:paraId="00D6DD3A">
                  <w:pPr>
                    <w:spacing w:line="0" w:lineRule="atLeast"/>
                    <w:ind w:left="-105" w:leftChars="-50" w:right="-105" w:rightChars="-50"/>
                    <w:jc w:val="center"/>
                    <w:rPr>
                      <w:i/>
                      <w:color w:val="000000"/>
                      <w:szCs w:val="21"/>
                    </w:rPr>
                  </w:pPr>
                  <w:r>
                    <w:rPr>
                      <w:i/>
                      <w:color w:val="000000"/>
                      <w:szCs w:val="21"/>
                    </w:rPr>
                    <w:t>Lepus tolai Pallas</w:t>
                  </w:r>
                </w:p>
              </w:tc>
              <w:tc>
                <w:tcPr>
                  <w:tcW w:w="3703" w:type="dxa"/>
                  <w:vAlign w:val="center"/>
                </w:tcPr>
                <w:p w14:paraId="74B9EE87">
                  <w:pPr>
                    <w:spacing w:line="0" w:lineRule="atLeast"/>
                    <w:ind w:left="-105" w:leftChars="-50" w:right="-105" w:rightChars="-50"/>
                    <w:jc w:val="center"/>
                    <w:rPr>
                      <w:rFonts w:hint="eastAsia"/>
                      <w:color w:val="000000"/>
                      <w:szCs w:val="21"/>
                    </w:rPr>
                  </w:pPr>
                  <w:r>
                    <w:rPr>
                      <w:rFonts w:hint="eastAsia"/>
                      <w:color w:val="000000"/>
                      <w:szCs w:val="21"/>
                    </w:rPr>
                    <w:t>草地</w:t>
                  </w:r>
                </w:p>
              </w:tc>
            </w:tr>
          </w:tbl>
          <w:p w14:paraId="0079FE04">
            <w:pPr>
              <w:spacing w:beforeLines="50"/>
              <w:ind w:firstLine="480" w:firstLineChars="200"/>
              <w:rPr>
                <w:rFonts w:hint="eastAsia"/>
                <w:color w:val="000000"/>
                <w:sz w:val="24"/>
              </w:rPr>
            </w:pPr>
            <w:r>
              <w:rPr>
                <w:rFonts w:hint="eastAsia"/>
                <w:color w:val="000000"/>
                <w:sz w:val="24"/>
              </w:rPr>
              <w:t>（4）土地利用现状与评价</w:t>
            </w:r>
          </w:p>
          <w:p w14:paraId="043146D9">
            <w:pPr>
              <w:ind w:firstLine="480" w:firstLineChars="200"/>
              <w:rPr>
                <w:rFonts w:hint="eastAsia"/>
                <w:color w:val="000000"/>
                <w:sz w:val="24"/>
              </w:rPr>
            </w:pPr>
            <w:r>
              <w:rPr>
                <w:rFonts w:hint="eastAsia"/>
                <w:color w:val="000000"/>
                <w:sz w:val="24"/>
              </w:rPr>
              <w:t>以遥感影像为信息源，结合地面土地利用和植被调查，评价区内土地利用类型包括草地、工矿仓储用地、住宅用地、交通运输用地、水域与水利设施用地共5类，土地利用类型及分布见图11，土地利用类型统计见表17。</w:t>
            </w:r>
          </w:p>
          <w:p w14:paraId="7D813DC5">
            <w:pPr>
              <w:ind w:firstLine="480" w:firstLineChars="200"/>
              <w:rPr>
                <w:rFonts w:hint="eastAsia" w:ascii="黑体" w:hAnsi="黑体" w:eastAsia="黑体"/>
                <w:color w:val="000000"/>
                <w:sz w:val="24"/>
              </w:rPr>
            </w:pPr>
            <w:r>
              <w:rPr>
                <w:rFonts w:hint="eastAsia" w:ascii="黑体" w:hAnsi="黑体" w:eastAsia="黑体"/>
                <w:color w:val="000000"/>
                <w:sz w:val="24"/>
              </w:rPr>
              <w:t>表17             评价范围内土地利用类型及分布统计</w:t>
            </w:r>
          </w:p>
          <w:tbl>
            <w:tblPr>
              <w:tblStyle w:val="25"/>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28" w:type="dxa"/>
                <w:bottom w:w="0" w:type="dxa"/>
                <w:right w:w="28" w:type="dxa"/>
              </w:tblCellMar>
            </w:tblPr>
            <w:tblGrid>
              <w:gridCol w:w="999"/>
              <w:gridCol w:w="2573"/>
              <w:gridCol w:w="2516"/>
              <w:gridCol w:w="896"/>
              <w:gridCol w:w="913"/>
              <w:gridCol w:w="892"/>
            </w:tblGrid>
            <w:tr w14:paraId="7BF5C45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Merge w:val="restart"/>
                  <w:vAlign w:val="center"/>
                </w:tcPr>
                <w:p w14:paraId="72195951">
                  <w:pPr>
                    <w:pStyle w:val="111"/>
                    <w:spacing w:line="240" w:lineRule="auto"/>
                    <w:ind w:left="-105" w:leftChars="-50" w:right="-105" w:rightChars="-50" w:firstLine="0" w:firstLineChars="0"/>
                    <w:jc w:val="center"/>
                    <w:rPr>
                      <w:rFonts w:hint="eastAsia"/>
                      <w:bCs/>
                      <w:snapToGrid w:val="0"/>
                      <w:kern w:val="24"/>
                      <w:sz w:val="21"/>
                      <w:szCs w:val="21"/>
                      <w:lang w:val="pt-BR"/>
                    </w:rPr>
                  </w:pPr>
                  <w:r>
                    <w:rPr>
                      <w:rFonts w:hint="eastAsia"/>
                      <w:bCs/>
                      <w:snapToGrid w:val="0"/>
                      <w:kern w:val="24"/>
                      <w:sz w:val="21"/>
                      <w:szCs w:val="21"/>
                      <w:lang w:val="pt-BR"/>
                    </w:rPr>
                    <w:t>区域</w:t>
                  </w:r>
                </w:p>
                <w:p w14:paraId="6F3E3D2D">
                  <w:pPr>
                    <w:spacing w:line="0" w:lineRule="atLeast"/>
                    <w:jc w:val="center"/>
                    <w:rPr>
                      <w:rFonts w:hint="eastAsia"/>
                    </w:rPr>
                  </w:pPr>
                  <w:r>
                    <w:rPr>
                      <w:rFonts w:hint="eastAsia"/>
                      <w:bCs/>
                      <w:snapToGrid w:val="0"/>
                      <w:kern w:val="24"/>
                      <w:szCs w:val="21"/>
                      <w:lang w:val="pt-BR"/>
                    </w:rPr>
                    <w:t>名称</w:t>
                  </w:r>
                </w:p>
              </w:tc>
              <w:tc>
                <w:tcPr>
                  <w:tcW w:w="5089" w:type="dxa"/>
                  <w:gridSpan w:val="2"/>
                  <w:vAlign w:val="center"/>
                </w:tcPr>
                <w:p w14:paraId="6A5E269B">
                  <w:pPr>
                    <w:spacing w:line="0" w:lineRule="atLeast"/>
                    <w:ind w:left="-105" w:leftChars="-50" w:right="-105" w:rightChars="-50"/>
                    <w:jc w:val="center"/>
                    <w:rPr>
                      <w:color w:val="000000"/>
                      <w:szCs w:val="21"/>
                    </w:rPr>
                  </w:pPr>
                  <w:r>
                    <w:rPr>
                      <w:rFonts w:hint="eastAsia"/>
                      <w:bCs/>
                      <w:snapToGrid w:val="0"/>
                      <w:kern w:val="24"/>
                      <w:szCs w:val="21"/>
                      <w:lang w:val="pt-BR"/>
                    </w:rPr>
                    <w:t>土地利用</w:t>
                  </w:r>
                  <w:r>
                    <w:rPr>
                      <w:bCs/>
                      <w:snapToGrid w:val="0"/>
                      <w:kern w:val="24"/>
                      <w:szCs w:val="21"/>
                      <w:lang w:val="pt-BR"/>
                    </w:rPr>
                    <w:t>类型</w:t>
                  </w:r>
                </w:p>
              </w:tc>
              <w:tc>
                <w:tcPr>
                  <w:tcW w:w="896" w:type="dxa"/>
                  <w:vMerge w:val="restart"/>
                  <w:vAlign w:val="center"/>
                </w:tcPr>
                <w:p w14:paraId="0942D8B4">
                  <w:pPr>
                    <w:pStyle w:val="111"/>
                    <w:spacing w:line="240" w:lineRule="auto"/>
                    <w:ind w:firstLine="0" w:firstLineChars="0"/>
                    <w:jc w:val="center"/>
                    <w:rPr>
                      <w:rFonts w:hint="eastAsia"/>
                      <w:bCs/>
                      <w:snapToGrid w:val="0"/>
                      <w:kern w:val="24"/>
                      <w:sz w:val="21"/>
                      <w:szCs w:val="21"/>
                      <w:lang w:val="pt-BR"/>
                    </w:rPr>
                  </w:pPr>
                  <w:r>
                    <w:rPr>
                      <w:rFonts w:hint="eastAsia"/>
                      <w:bCs/>
                      <w:snapToGrid w:val="0"/>
                      <w:kern w:val="24"/>
                      <w:sz w:val="21"/>
                      <w:szCs w:val="21"/>
                      <w:lang w:val="pt-BR"/>
                    </w:rPr>
                    <w:t>斑块数</w:t>
                  </w:r>
                </w:p>
                <w:p w14:paraId="4CE94D28">
                  <w:pPr>
                    <w:spacing w:line="0" w:lineRule="atLeast"/>
                    <w:ind w:left="-105" w:leftChars="-50" w:right="-105" w:rightChars="-50"/>
                    <w:jc w:val="center"/>
                    <w:rPr>
                      <w:color w:val="000000"/>
                      <w:szCs w:val="21"/>
                    </w:rPr>
                  </w:pPr>
                  <w:r>
                    <w:rPr>
                      <w:rFonts w:hint="eastAsia"/>
                      <w:bCs/>
                      <w:snapToGrid w:val="0"/>
                      <w:kern w:val="24"/>
                      <w:szCs w:val="21"/>
                      <w:lang w:val="pt-BR"/>
                    </w:rPr>
                    <w:t>（个）</w:t>
                  </w:r>
                </w:p>
              </w:tc>
              <w:tc>
                <w:tcPr>
                  <w:tcW w:w="913" w:type="dxa"/>
                  <w:vMerge w:val="restart"/>
                  <w:vAlign w:val="center"/>
                </w:tcPr>
                <w:p w14:paraId="2D3CDC8E">
                  <w:pPr>
                    <w:pStyle w:val="111"/>
                    <w:spacing w:line="240" w:lineRule="auto"/>
                    <w:ind w:firstLine="0" w:firstLineChars="0"/>
                    <w:jc w:val="center"/>
                    <w:rPr>
                      <w:rFonts w:hint="eastAsia"/>
                      <w:bCs/>
                      <w:snapToGrid w:val="0"/>
                      <w:kern w:val="24"/>
                      <w:sz w:val="21"/>
                      <w:szCs w:val="21"/>
                      <w:lang w:val="pt-BR"/>
                    </w:rPr>
                  </w:pPr>
                  <w:r>
                    <w:rPr>
                      <w:rFonts w:hint="eastAsia"/>
                      <w:bCs/>
                      <w:snapToGrid w:val="0"/>
                      <w:kern w:val="24"/>
                      <w:sz w:val="21"/>
                      <w:szCs w:val="21"/>
                      <w:lang w:val="pt-BR"/>
                    </w:rPr>
                    <w:t>面积</w:t>
                  </w:r>
                </w:p>
                <w:p w14:paraId="24D54FB9">
                  <w:pPr>
                    <w:spacing w:line="0" w:lineRule="atLeast"/>
                    <w:ind w:left="-105" w:leftChars="-50" w:right="-105" w:rightChars="-50"/>
                    <w:jc w:val="center"/>
                    <w:rPr>
                      <w:color w:val="000000"/>
                      <w:szCs w:val="21"/>
                    </w:rPr>
                  </w:pPr>
                  <w:r>
                    <w:rPr>
                      <w:rFonts w:hint="eastAsia"/>
                      <w:bCs/>
                      <w:snapToGrid w:val="0"/>
                      <w:kern w:val="24"/>
                      <w:szCs w:val="21"/>
                      <w:lang w:val="pt-BR"/>
                    </w:rPr>
                    <w:t>（hm</w:t>
                  </w:r>
                  <w:r>
                    <w:rPr>
                      <w:rFonts w:hint="eastAsia"/>
                      <w:bCs/>
                      <w:snapToGrid w:val="0"/>
                      <w:kern w:val="24"/>
                      <w:szCs w:val="21"/>
                      <w:vertAlign w:val="superscript"/>
                      <w:lang w:val="pt-BR"/>
                    </w:rPr>
                    <w:t>2</w:t>
                  </w:r>
                  <w:r>
                    <w:rPr>
                      <w:rFonts w:hint="eastAsia"/>
                      <w:bCs/>
                      <w:snapToGrid w:val="0"/>
                      <w:kern w:val="24"/>
                      <w:szCs w:val="21"/>
                      <w:lang w:val="pt-BR"/>
                    </w:rPr>
                    <w:t>）</w:t>
                  </w:r>
                </w:p>
              </w:tc>
              <w:tc>
                <w:tcPr>
                  <w:tcW w:w="892" w:type="dxa"/>
                  <w:vMerge w:val="restart"/>
                  <w:vAlign w:val="center"/>
                </w:tcPr>
                <w:p w14:paraId="4E7C8199">
                  <w:pPr>
                    <w:pStyle w:val="111"/>
                    <w:spacing w:line="240" w:lineRule="auto"/>
                    <w:ind w:firstLine="0" w:firstLineChars="0"/>
                    <w:jc w:val="center"/>
                    <w:rPr>
                      <w:rFonts w:hint="eastAsia"/>
                      <w:bCs/>
                      <w:snapToGrid w:val="0"/>
                      <w:kern w:val="24"/>
                      <w:sz w:val="21"/>
                      <w:szCs w:val="21"/>
                      <w:lang w:val="pt-BR"/>
                    </w:rPr>
                  </w:pPr>
                  <w:r>
                    <w:rPr>
                      <w:rFonts w:hint="eastAsia"/>
                      <w:bCs/>
                      <w:snapToGrid w:val="0"/>
                      <w:kern w:val="24"/>
                      <w:sz w:val="21"/>
                      <w:szCs w:val="21"/>
                      <w:lang w:val="pt-BR"/>
                    </w:rPr>
                    <w:t>比例</w:t>
                  </w:r>
                </w:p>
                <w:p w14:paraId="5FF33B9B">
                  <w:pPr>
                    <w:spacing w:line="0" w:lineRule="atLeast"/>
                    <w:ind w:left="-105" w:leftChars="-50" w:right="-105" w:rightChars="-50"/>
                    <w:jc w:val="center"/>
                    <w:rPr>
                      <w:rFonts w:hint="eastAsia"/>
                      <w:color w:val="000000"/>
                      <w:szCs w:val="21"/>
                    </w:rPr>
                  </w:pPr>
                  <w:r>
                    <w:rPr>
                      <w:rFonts w:hint="eastAsia"/>
                      <w:bCs/>
                      <w:snapToGrid w:val="0"/>
                      <w:kern w:val="24"/>
                      <w:szCs w:val="21"/>
                      <w:lang w:val="pt-BR"/>
                    </w:rPr>
                    <w:t>（%）</w:t>
                  </w:r>
                </w:p>
              </w:tc>
            </w:tr>
            <w:tr w14:paraId="6573EA9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Merge w:val="continue"/>
                  <w:vAlign w:val="center"/>
                </w:tcPr>
                <w:p w14:paraId="03EC95B5">
                  <w:pPr>
                    <w:spacing w:line="0" w:lineRule="atLeast"/>
                    <w:jc w:val="center"/>
                    <w:rPr>
                      <w:rFonts w:hint="eastAsia"/>
                    </w:rPr>
                  </w:pPr>
                </w:p>
              </w:tc>
              <w:tc>
                <w:tcPr>
                  <w:tcW w:w="2573" w:type="dxa"/>
                  <w:vAlign w:val="center"/>
                </w:tcPr>
                <w:p w14:paraId="2CA144A9">
                  <w:pPr>
                    <w:spacing w:line="0" w:lineRule="atLeast"/>
                    <w:ind w:left="-105" w:leftChars="-50" w:right="-105" w:rightChars="-50"/>
                    <w:jc w:val="center"/>
                    <w:rPr>
                      <w:color w:val="000000"/>
                      <w:szCs w:val="21"/>
                    </w:rPr>
                  </w:pPr>
                  <w:r>
                    <w:rPr>
                      <w:rFonts w:hint="eastAsia"/>
                      <w:bCs/>
                      <w:snapToGrid w:val="0"/>
                      <w:kern w:val="24"/>
                      <w:szCs w:val="21"/>
                      <w:lang w:val="pt-BR"/>
                    </w:rPr>
                    <w:t>一级</w:t>
                  </w:r>
                </w:p>
              </w:tc>
              <w:tc>
                <w:tcPr>
                  <w:tcW w:w="2516" w:type="dxa"/>
                  <w:vAlign w:val="center"/>
                </w:tcPr>
                <w:p w14:paraId="08985393">
                  <w:pPr>
                    <w:spacing w:line="0" w:lineRule="atLeast"/>
                    <w:ind w:left="-105" w:leftChars="-50" w:right="-105" w:rightChars="-50"/>
                    <w:jc w:val="center"/>
                    <w:rPr>
                      <w:color w:val="000000"/>
                      <w:szCs w:val="21"/>
                    </w:rPr>
                  </w:pPr>
                  <w:r>
                    <w:rPr>
                      <w:rFonts w:hint="eastAsia"/>
                      <w:bCs/>
                      <w:snapToGrid w:val="0"/>
                      <w:kern w:val="24"/>
                      <w:szCs w:val="21"/>
                      <w:lang w:val="pt-BR"/>
                    </w:rPr>
                    <w:t>二级</w:t>
                  </w:r>
                </w:p>
              </w:tc>
              <w:tc>
                <w:tcPr>
                  <w:tcW w:w="896" w:type="dxa"/>
                  <w:vMerge w:val="continue"/>
                  <w:vAlign w:val="center"/>
                </w:tcPr>
                <w:p w14:paraId="1415E1C8">
                  <w:pPr>
                    <w:spacing w:line="0" w:lineRule="atLeast"/>
                    <w:ind w:left="-105" w:leftChars="-50" w:right="-105" w:rightChars="-50"/>
                    <w:jc w:val="center"/>
                    <w:rPr>
                      <w:color w:val="000000"/>
                      <w:szCs w:val="21"/>
                    </w:rPr>
                  </w:pPr>
                </w:p>
              </w:tc>
              <w:tc>
                <w:tcPr>
                  <w:tcW w:w="913" w:type="dxa"/>
                  <w:vMerge w:val="continue"/>
                  <w:vAlign w:val="center"/>
                </w:tcPr>
                <w:p w14:paraId="349927B2">
                  <w:pPr>
                    <w:spacing w:line="0" w:lineRule="atLeast"/>
                    <w:ind w:left="-105" w:leftChars="-50" w:right="-105" w:rightChars="-50"/>
                    <w:jc w:val="center"/>
                    <w:rPr>
                      <w:color w:val="000000"/>
                      <w:szCs w:val="21"/>
                    </w:rPr>
                  </w:pPr>
                </w:p>
              </w:tc>
              <w:tc>
                <w:tcPr>
                  <w:tcW w:w="892" w:type="dxa"/>
                  <w:vMerge w:val="continue"/>
                  <w:vAlign w:val="center"/>
                </w:tcPr>
                <w:p w14:paraId="7F2C63B5">
                  <w:pPr>
                    <w:spacing w:line="0" w:lineRule="atLeast"/>
                    <w:ind w:left="-105" w:leftChars="-50" w:right="-105" w:rightChars="-50"/>
                    <w:jc w:val="center"/>
                    <w:rPr>
                      <w:rFonts w:hint="eastAsia"/>
                      <w:color w:val="000000"/>
                      <w:szCs w:val="21"/>
                    </w:rPr>
                  </w:pPr>
                </w:p>
              </w:tc>
            </w:tr>
            <w:tr w14:paraId="6EE81B6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Merge w:val="restart"/>
                  <w:vAlign w:val="center"/>
                </w:tcPr>
                <w:p w14:paraId="164930B5">
                  <w:pPr>
                    <w:spacing w:line="0" w:lineRule="atLeast"/>
                    <w:jc w:val="center"/>
                    <w:rPr>
                      <w:rFonts w:hint="eastAsia"/>
                    </w:rPr>
                  </w:pPr>
                  <w:bookmarkStart w:id="6" w:name="OLE_LINK10" w:colFirst="4" w:colLast="4"/>
                  <w:bookmarkStart w:id="7" w:name="OLE_LINK11" w:colFirst="4" w:colLast="4"/>
                  <w:bookmarkStart w:id="8" w:name="_Hlk505025574"/>
                  <w:r>
                    <w:rPr>
                      <w:rFonts w:hint="eastAsia"/>
                      <w:bCs/>
                      <w:snapToGrid w:val="0"/>
                      <w:kern w:val="24"/>
                      <w:szCs w:val="21"/>
                      <w:lang w:val="pt-BR"/>
                    </w:rPr>
                    <w:t>评价区</w:t>
                  </w:r>
                </w:p>
              </w:tc>
              <w:tc>
                <w:tcPr>
                  <w:tcW w:w="2573" w:type="dxa"/>
                  <w:vAlign w:val="center"/>
                </w:tcPr>
                <w:p w14:paraId="4091917D">
                  <w:pPr>
                    <w:spacing w:line="0" w:lineRule="atLeast"/>
                    <w:ind w:left="-105" w:leftChars="-50" w:right="-105" w:rightChars="-50"/>
                    <w:jc w:val="center"/>
                    <w:rPr>
                      <w:color w:val="000000"/>
                      <w:szCs w:val="21"/>
                    </w:rPr>
                  </w:pPr>
                  <w:r>
                    <w:rPr>
                      <w:rFonts w:hint="eastAsia"/>
                      <w:color w:val="000000"/>
                      <w:szCs w:val="21"/>
                    </w:rPr>
                    <w:t>草地</w:t>
                  </w:r>
                </w:p>
              </w:tc>
              <w:tc>
                <w:tcPr>
                  <w:tcW w:w="2516" w:type="dxa"/>
                  <w:vAlign w:val="center"/>
                </w:tcPr>
                <w:p w14:paraId="2D4876C8">
                  <w:pPr>
                    <w:spacing w:line="0" w:lineRule="atLeast"/>
                    <w:ind w:left="-105" w:leftChars="-50" w:right="-105" w:rightChars="-50"/>
                    <w:jc w:val="center"/>
                    <w:rPr>
                      <w:color w:val="000000"/>
                      <w:szCs w:val="21"/>
                    </w:rPr>
                  </w:pPr>
                  <w:r>
                    <w:rPr>
                      <w:rFonts w:hint="eastAsia"/>
                      <w:color w:val="000000"/>
                      <w:szCs w:val="21"/>
                    </w:rPr>
                    <w:t>天然牧草地</w:t>
                  </w:r>
                </w:p>
              </w:tc>
              <w:tc>
                <w:tcPr>
                  <w:tcW w:w="896" w:type="dxa"/>
                  <w:vAlign w:val="center"/>
                </w:tcPr>
                <w:p w14:paraId="6A7201AB">
                  <w:pPr>
                    <w:spacing w:line="0" w:lineRule="atLeast"/>
                    <w:ind w:left="-105" w:leftChars="-50" w:right="-105" w:rightChars="-50"/>
                    <w:jc w:val="center"/>
                    <w:rPr>
                      <w:color w:val="000000"/>
                      <w:szCs w:val="21"/>
                    </w:rPr>
                  </w:pPr>
                  <w:r>
                    <w:rPr>
                      <w:rFonts w:hint="eastAsia"/>
                      <w:color w:val="000000"/>
                      <w:szCs w:val="21"/>
                    </w:rPr>
                    <w:t>7</w:t>
                  </w:r>
                </w:p>
              </w:tc>
              <w:tc>
                <w:tcPr>
                  <w:tcW w:w="913" w:type="dxa"/>
                  <w:vAlign w:val="center"/>
                </w:tcPr>
                <w:p w14:paraId="39B5B034">
                  <w:pPr>
                    <w:spacing w:line="0" w:lineRule="atLeast"/>
                    <w:ind w:left="-105" w:leftChars="-50" w:right="-105" w:rightChars="-50"/>
                    <w:jc w:val="center"/>
                    <w:rPr>
                      <w:color w:val="000000"/>
                      <w:szCs w:val="21"/>
                    </w:rPr>
                  </w:pPr>
                  <w:r>
                    <w:rPr>
                      <w:rFonts w:hint="eastAsia"/>
                      <w:color w:val="000000"/>
                      <w:szCs w:val="21"/>
                    </w:rPr>
                    <w:t xml:space="preserve">14799.17 </w:t>
                  </w:r>
                </w:p>
              </w:tc>
              <w:tc>
                <w:tcPr>
                  <w:tcW w:w="892" w:type="dxa"/>
                  <w:vAlign w:val="center"/>
                </w:tcPr>
                <w:p w14:paraId="4EC4F4DE">
                  <w:pPr>
                    <w:spacing w:line="0" w:lineRule="atLeast"/>
                    <w:ind w:left="-105" w:leftChars="-50" w:right="-105" w:rightChars="-50"/>
                    <w:jc w:val="center"/>
                    <w:rPr>
                      <w:color w:val="000000"/>
                      <w:szCs w:val="21"/>
                    </w:rPr>
                  </w:pPr>
                  <w:r>
                    <w:rPr>
                      <w:rFonts w:hint="eastAsia"/>
                      <w:color w:val="000000"/>
                      <w:szCs w:val="21"/>
                    </w:rPr>
                    <w:t xml:space="preserve">95.28 </w:t>
                  </w:r>
                </w:p>
              </w:tc>
            </w:tr>
            <w:tr w14:paraId="078AD1A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Merge w:val="continue"/>
                  <w:vAlign w:val="center"/>
                </w:tcPr>
                <w:p w14:paraId="004BB479">
                  <w:pPr>
                    <w:spacing w:line="0" w:lineRule="atLeast"/>
                    <w:jc w:val="center"/>
                    <w:rPr>
                      <w:rFonts w:hint="eastAsia"/>
                      <w:bCs/>
                      <w:snapToGrid w:val="0"/>
                      <w:kern w:val="24"/>
                      <w:szCs w:val="21"/>
                      <w:lang w:val="pt-BR"/>
                    </w:rPr>
                  </w:pPr>
                </w:p>
              </w:tc>
              <w:tc>
                <w:tcPr>
                  <w:tcW w:w="2573" w:type="dxa"/>
                  <w:vAlign w:val="center"/>
                </w:tcPr>
                <w:p w14:paraId="26F88BE2">
                  <w:pPr>
                    <w:spacing w:line="0" w:lineRule="atLeast"/>
                    <w:ind w:left="-105" w:leftChars="-50" w:right="-105" w:rightChars="-50"/>
                    <w:jc w:val="center"/>
                    <w:rPr>
                      <w:color w:val="000000"/>
                      <w:szCs w:val="21"/>
                    </w:rPr>
                  </w:pPr>
                  <w:r>
                    <w:rPr>
                      <w:rFonts w:hint="eastAsia"/>
                      <w:color w:val="000000"/>
                      <w:szCs w:val="21"/>
                    </w:rPr>
                    <w:t>工矿仓储用地</w:t>
                  </w:r>
                </w:p>
              </w:tc>
              <w:tc>
                <w:tcPr>
                  <w:tcW w:w="2516" w:type="dxa"/>
                  <w:vAlign w:val="center"/>
                </w:tcPr>
                <w:p w14:paraId="7928A8DC">
                  <w:pPr>
                    <w:spacing w:line="0" w:lineRule="atLeast"/>
                    <w:ind w:left="-105" w:leftChars="-50" w:right="-105" w:rightChars="-50"/>
                    <w:jc w:val="center"/>
                    <w:rPr>
                      <w:color w:val="000000"/>
                      <w:szCs w:val="21"/>
                    </w:rPr>
                  </w:pPr>
                  <w:r>
                    <w:rPr>
                      <w:rFonts w:hint="eastAsia"/>
                      <w:color w:val="000000"/>
                      <w:szCs w:val="21"/>
                    </w:rPr>
                    <w:t>工业用地</w:t>
                  </w:r>
                </w:p>
              </w:tc>
              <w:tc>
                <w:tcPr>
                  <w:tcW w:w="896" w:type="dxa"/>
                  <w:vAlign w:val="center"/>
                </w:tcPr>
                <w:p w14:paraId="6B081B05">
                  <w:pPr>
                    <w:spacing w:line="0" w:lineRule="atLeast"/>
                    <w:ind w:left="-105" w:leftChars="-50" w:right="-105" w:rightChars="-50"/>
                    <w:jc w:val="center"/>
                    <w:rPr>
                      <w:color w:val="000000"/>
                      <w:szCs w:val="21"/>
                    </w:rPr>
                  </w:pPr>
                  <w:r>
                    <w:rPr>
                      <w:rFonts w:hint="eastAsia"/>
                      <w:color w:val="000000"/>
                      <w:szCs w:val="21"/>
                    </w:rPr>
                    <w:t>4</w:t>
                  </w:r>
                </w:p>
              </w:tc>
              <w:tc>
                <w:tcPr>
                  <w:tcW w:w="913" w:type="dxa"/>
                  <w:vAlign w:val="center"/>
                </w:tcPr>
                <w:p w14:paraId="49FB955B">
                  <w:pPr>
                    <w:spacing w:line="0" w:lineRule="atLeast"/>
                    <w:ind w:left="-105" w:leftChars="-50" w:right="-105" w:rightChars="-50"/>
                    <w:jc w:val="center"/>
                    <w:rPr>
                      <w:color w:val="000000"/>
                      <w:szCs w:val="21"/>
                    </w:rPr>
                  </w:pPr>
                  <w:r>
                    <w:rPr>
                      <w:rFonts w:hint="eastAsia"/>
                      <w:color w:val="000000"/>
                      <w:szCs w:val="21"/>
                    </w:rPr>
                    <w:t xml:space="preserve">11.89 </w:t>
                  </w:r>
                </w:p>
              </w:tc>
              <w:tc>
                <w:tcPr>
                  <w:tcW w:w="892" w:type="dxa"/>
                  <w:vAlign w:val="center"/>
                </w:tcPr>
                <w:p w14:paraId="58707019">
                  <w:pPr>
                    <w:spacing w:line="0" w:lineRule="atLeast"/>
                    <w:ind w:left="-105" w:leftChars="-50" w:right="-105" w:rightChars="-50"/>
                    <w:jc w:val="center"/>
                    <w:rPr>
                      <w:color w:val="000000"/>
                      <w:szCs w:val="21"/>
                    </w:rPr>
                  </w:pPr>
                  <w:r>
                    <w:rPr>
                      <w:rFonts w:hint="eastAsia"/>
                      <w:color w:val="000000"/>
                      <w:szCs w:val="21"/>
                    </w:rPr>
                    <w:t xml:space="preserve">0.08 </w:t>
                  </w:r>
                </w:p>
              </w:tc>
            </w:tr>
            <w:tr w14:paraId="05234E7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Merge w:val="continue"/>
                  <w:vAlign w:val="center"/>
                </w:tcPr>
                <w:p w14:paraId="2A311D71">
                  <w:pPr>
                    <w:spacing w:line="0" w:lineRule="atLeast"/>
                    <w:jc w:val="center"/>
                    <w:rPr>
                      <w:rFonts w:hint="eastAsia"/>
                      <w:bCs/>
                      <w:snapToGrid w:val="0"/>
                      <w:kern w:val="24"/>
                      <w:szCs w:val="21"/>
                      <w:lang w:val="pt-BR"/>
                    </w:rPr>
                  </w:pPr>
                </w:p>
              </w:tc>
              <w:tc>
                <w:tcPr>
                  <w:tcW w:w="2573" w:type="dxa"/>
                  <w:vAlign w:val="center"/>
                </w:tcPr>
                <w:p w14:paraId="5EB764A9">
                  <w:pPr>
                    <w:spacing w:line="0" w:lineRule="atLeast"/>
                    <w:ind w:left="-105" w:leftChars="-50" w:right="-105" w:rightChars="-50"/>
                    <w:jc w:val="center"/>
                    <w:rPr>
                      <w:color w:val="000000"/>
                      <w:szCs w:val="21"/>
                    </w:rPr>
                  </w:pPr>
                  <w:r>
                    <w:rPr>
                      <w:rFonts w:hint="eastAsia"/>
                      <w:color w:val="000000"/>
                      <w:szCs w:val="21"/>
                    </w:rPr>
                    <w:t>住宅用地</w:t>
                  </w:r>
                </w:p>
              </w:tc>
              <w:tc>
                <w:tcPr>
                  <w:tcW w:w="2516" w:type="dxa"/>
                  <w:vAlign w:val="center"/>
                </w:tcPr>
                <w:p w14:paraId="0976C0B5">
                  <w:pPr>
                    <w:spacing w:line="0" w:lineRule="atLeast"/>
                    <w:ind w:left="-105" w:leftChars="-50" w:right="-105" w:rightChars="-50"/>
                    <w:jc w:val="center"/>
                    <w:rPr>
                      <w:color w:val="000000"/>
                      <w:szCs w:val="21"/>
                    </w:rPr>
                  </w:pPr>
                  <w:r>
                    <w:rPr>
                      <w:rFonts w:hint="eastAsia"/>
                      <w:color w:val="000000"/>
                      <w:szCs w:val="21"/>
                    </w:rPr>
                    <w:t>农村宅基地</w:t>
                  </w:r>
                </w:p>
              </w:tc>
              <w:tc>
                <w:tcPr>
                  <w:tcW w:w="896" w:type="dxa"/>
                  <w:vAlign w:val="center"/>
                </w:tcPr>
                <w:p w14:paraId="1E79BD7C">
                  <w:pPr>
                    <w:spacing w:line="0" w:lineRule="atLeast"/>
                    <w:ind w:left="-105" w:leftChars="-50" w:right="-105" w:rightChars="-50"/>
                    <w:jc w:val="center"/>
                    <w:rPr>
                      <w:color w:val="000000"/>
                      <w:szCs w:val="21"/>
                    </w:rPr>
                  </w:pPr>
                  <w:r>
                    <w:rPr>
                      <w:rFonts w:hint="eastAsia"/>
                      <w:color w:val="000000"/>
                      <w:szCs w:val="21"/>
                    </w:rPr>
                    <w:t>23</w:t>
                  </w:r>
                </w:p>
              </w:tc>
              <w:tc>
                <w:tcPr>
                  <w:tcW w:w="913" w:type="dxa"/>
                  <w:vAlign w:val="center"/>
                </w:tcPr>
                <w:p w14:paraId="5ECE0B5F">
                  <w:pPr>
                    <w:spacing w:line="0" w:lineRule="atLeast"/>
                    <w:ind w:left="-105" w:leftChars="-50" w:right="-105" w:rightChars="-50"/>
                    <w:jc w:val="center"/>
                    <w:rPr>
                      <w:color w:val="000000"/>
                      <w:szCs w:val="21"/>
                    </w:rPr>
                  </w:pPr>
                  <w:r>
                    <w:rPr>
                      <w:rFonts w:hint="eastAsia"/>
                      <w:color w:val="000000"/>
                      <w:szCs w:val="21"/>
                    </w:rPr>
                    <w:t xml:space="preserve">25.89 </w:t>
                  </w:r>
                </w:p>
              </w:tc>
              <w:tc>
                <w:tcPr>
                  <w:tcW w:w="892" w:type="dxa"/>
                  <w:vAlign w:val="center"/>
                </w:tcPr>
                <w:p w14:paraId="09C913E7">
                  <w:pPr>
                    <w:spacing w:line="0" w:lineRule="atLeast"/>
                    <w:ind w:left="-105" w:leftChars="-50" w:right="-105" w:rightChars="-50"/>
                    <w:jc w:val="center"/>
                    <w:rPr>
                      <w:color w:val="000000"/>
                      <w:szCs w:val="21"/>
                    </w:rPr>
                  </w:pPr>
                  <w:r>
                    <w:rPr>
                      <w:rFonts w:hint="eastAsia"/>
                      <w:color w:val="000000"/>
                      <w:szCs w:val="21"/>
                    </w:rPr>
                    <w:t xml:space="preserve">0.17 </w:t>
                  </w:r>
                </w:p>
              </w:tc>
            </w:tr>
            <w:tr w14:paraId="4E9D874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Merge w:val="continue"/>
                  <w:vAlign w:val="center"/>
                </w:tcPr>
                <w:p w14:paraId="19BE2932">
                  <w:pPr>
                    <w:spacing w:line="0" w:lineRule="atLeast"/>
                    <w:jc w:val="center"/>
                    <w:rPr>
                      <w:rFonts w:hint="eastAsia"/>
                      <w:bCs/>
                      <w:snapToGrid w:val="0"/>
                      <w:kern w:val="24"/>
                      <w:szCs w:val="21"/>
                      <w:lang w:val="pt-BR"/>
                    </w:rPr>
                  </w:pPr>
                </w:p>
              </w:tc>
              <w:tc>
                <w:tcPr>
                  <w:tcW w:w="2573" w:type="dxa"/>
                  <w:vAlign w:val="center"/>
                </w:tcPr>
                <w:p w14:paraId="1D1A3280">
                  <w:pPr>
                    <w:spacing w:line="0" w:lineRule="atLeast"/>
                    <w:ind w:left="-105" w:leftChars="-50" w:right="-105" w:rightChars="-50"/>
                    <w:jc w:val="center"/>
                    <w:rPr>
                      <w:color w:val="000000"/>
                      <w:szCs w:val="21"/>
                    </w:rPr>
                  </w:pPr>
                  <w:r>
                    <w:rPr>
                      <w:rFonts w:hint="eastAsia"/>
                      <w:color w:val="000000"/>
                      <w:szCs w:val="21"/>
                    </w:rPr>
                    <w:t>交通运输用地</w:t>
                  </w:r>
                </w:p>
              </w:tc>
              <w:tc>
                <w:tcPr>
                  <w:tcW w:w="2516" w:type="dxa"/>
                  <w:vAlign w:val="center"/>
                </w:tcPr>
                <w:p w14:paraId="65608D87">
                  <w:pPr>
                    <w:spacing w:line="0" w:lineRule="atLeast"/>
                    <w:ind w:left="-105" w:leftChars="-50" w:right="-105" w:rightChars="-50"/>
                    <w:jc w:val="center"/>
                    <w:rPr>
                      <w:color w:val="000000"/>
                      <w:szCs w:val="21"/>
                    </w:rPr>
                  </w:pPr>
                  <w:r>
                    <w:rPr>
                      <w:rFonts w:hint="eastAsia"/>
                      <w:color w:val="000000"/>
                      <w:szCs w:val="21"/>
                    </w:rPr>
                    <w:t>农村道路</w:t>
                  </w:r>
                </w:p>
              </w:tc>
              <w:tc>
                <w:tcPr>
                  <w:tcW w:w="896" w:type="dxa"/>
                  <w:vAlign w:val="center"/>
                </w:tcPr>
                <w:p w14:paraId="72067080">
                  <w:pPr>
                    <w:spacing w:line="0" w:lineRule="atLeast"/>
                    <w:ind w:left="-105" w:leftChars="-50" w:right="-105" w:rightChars="-50"/>
                    <w:jc w:val="center"/>
                    <w:rPr>
                      <w:color w:val="000000"/>
                      <w:szCs w:val="21"/>
                    </w:rPr>
                  </w:pPr>
                  <w:r>
                    <w:rPr>
                      <w:rFonts w:hint="eastAsia"/>
                      <w:color w:val="000000"/>
                      <w:szCs w:val="21"/>
                    </w:rPr>
                    <w:t>3</w:t>
                  </w:r>
                </w:p>
              </w:tc>
              <w:tc>
                <w:tcPr>
                  <w:tcW w:w="913" w:type="dxa"/>
                  <w:vAlign w:val="center"/>
                </w:tcPr>
                <w:p w14:paraId="27F7F96C">
                  <w:pPr>
                    <w:spacing w:line="0" w:lineRule="atLeast"/>
                    <w:ind w:left="-105" w:leftChars="-50" w:right="-105" w:rightChars="-50"/>
                    <w:jc w:val="center"/>
                    <w:rPr>
                      <w:color w:val="000000"/>
                      <w:szCs w:val="21"/>
                    </w:rPr>
                  </w:pPr>
                  <w:r>
                    <w:rPr>
                      <w:rFonts w:hint="eastAsia"/>
                      <w:color w:val="000000"/>
                      <w:szCs w:val="21"/>
                    </w:rPr>
                    <w:t xml:space="preserve">24.66 </w:t>
                  </w:r>
                </w:p>
              </w:tc>
              <w:tc>
                <w:tcPr>
                  <w:tcW w:w="892" w:type="dxa"/>
                  <w:vAlign w:val="center"/>
                </w:tcPr>
                <w:p w14:paraId="22AD6F91">
                  <w:pPr>
                    <w:spacing w:line="0" w:lineRule="atLeast"/>
                    <w:ind w:left="-105" w:leftChars="-50" w:right="-105" w:rightChars="-50"/>
                    <w:jc w:val="center"/>
                    <w:rPr>
                      <w:color w:val="000000"/>
                      <w:szCs w:val="21"/>
                    </w:rPr>
                  </w:pPr>
                  <w:r>
                    <w:rPr>
                      <w:rFonts w:hint="eastAsia"/>
                      <w:color w:val="000000"/>
                      <w:szCs w:val="21"/>
                    </w:rPr>
                    <w:t xml:space="preserve">0.16 </w:t>
                  </w:r>
                </w:p>
              </w:tc>
            </w:tr>
            <w:tr w14:paraId="32F2C0A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Merge w:val="continue"/>
                  <w:vAlign w:val="center"/>
                </w:tcPr>
                <w:p w14:paraId="5335D232">
                  <w:pPr>
                    <w:spacing w:line="0" w:lineRule="atLeast"/>
                    <w:jc w:val="center"/>
                    <w:rPr>
                      <w:rFonts w:hint="eastAsia"/>
                      <w:bCs/>
                      <w:snapToGrid w:val="0"/>
                      <w:kern w:val="24"/>
                      <w:szCs w:val="21"/>
                      <w:lang w:val="pt-BR"/>
                    </w:rPr>
                  </w:pPr>
                </w:p>
              </w:tc>
              <w:tc>
                <w:tcPr>
                  <w:tcW w:w="2573" w:type="dxa"/>
                  <w:vMerge w:val="restart"/>
                  <w:vAlign w:val="center"/>
                </w:tcPr>
                <w:p w14:paraId="4C5864EA">
                  <w:pPr>
                    <w:spacing w:line="0" w:lineRule="atLeast"/>
                    <w:ind w:left="-105" w:leftChars="-50" w:right="-105" w:rightChars="-50"/>
                    <w:jc w:val="center"/>
                    <w:rPr>
                      <w:rFonts w:hint="eastAsia"/>
                      <w:color w:val="000000"/>
                      <w:szCs w:val="21"/>
                    </w:rPr>
                  </w:pPr>
                  <w:r>
                    <w:rPr>
                      <w:rFonts w:hint="eastAsia"/>
                      <w:color w:val="000000"/>
                      <w:szCs w:val="21"/>
                    </w:rPr>
                    <w:t>水域与水利设施用地</w:t>
                  </w:r>
                </w:p>
              </w:tc>
              <w:tc>
                <w:tcPr>
                  <w:tcW w:w="2516" w:type="dxa"/>
                  <w:vAlign w:val="center"/>
                </w:tcPr>
                <w:p w14:paraId="5FC3D158">
                  <w:pPr>
                    <w:spacing w:line="0" w:lineRule="atLeast"/>
                    <w:ind w:left="-105" w:leftChars="-50" w:right="-105" w:rightChars="-50"/>
                    <w:jc w:val="center"/>
                    <w:rPr>
                      <w:color w:val="000000"/>
                      <w:szCs w:val="21"/>
                    </w:rPr>
                  </w:pPr>
                  <w:r>
                    <w:rPr>
                      <w:rFonts w:hint="eastAsia"/>
                      <w:color w:val="000000"/>
                      <w:szCs w:val="21"/>
                    </w:rPr>
                    <w:t>时令干沟</w:t>
                  </w:r>
                </w:p>
              </w:tc>
              <w:tc>
                <w:tcPr>
                  <w:tcW w:w="896" w:type="dxa"/>
                  <w:vAlign w:val="center"/>
                </w:tcPr>
                <w:p w14:paraId="472546AF">
                  <w:pPr>
                    <w:spacing w:line="0" w:lineRule="atLeast"/>
                    <w:ind w:left="-105" w:leftChars="-50" w:right="-105" w:rightChars="-50"/>
                    <w:jc w:val="center"/>
                    <w:rPr>
                      <w:color w:val="000000"/>
                      <w:szCs w:val="21"/>
                    </w:rPr>
                  </w:pPr>
                  <w:r>
                    <w:rPr>
                      <w:rFonts w:hint="eastAsia"/>
                      <w:color w:val="000000"/>
                      <w:szCs w:val="21"/>
                    </w:rPr>
                    <w:t>2</w:t>
                  </w:r>
                </w:p>
              </w:tc>
              <w:tc>
                <w:tcPr>
                  <w:tcW w:w="913" w:type="dxa"/>
                  <w:vAlign w:val="center"/>
                </w:tcPr>
                <w:p w14:paraId="2D06BB41">
                  <w:pPr>
                    <w:spacing w:line="0" w:lineRule="atLeast"/>
                    <w:ind w:left="-105" w:leftChars="-50" w:right="-105" w:rightChars="-50"/>
                    <w:jc w:val="center"/>
                    <w:rPr>
                      <w:color w:val="000000"/>
                      <w:szCs w:val="21"/>
                    </w:rPr>
                  </w:pPr>
                  <w:r>
                    <w:rPr>
                      <w:rFonts w:hint="eastAsia"/>
                      <w:color w:val="000000"/>
                      <w:szCs w:val="21"/>
                    </w:rPr>
                    <w:t xml:space="preserve">85.08 </w:t>
                  </w:r>
                </w:p>
              </w:tc>
              <w:tc>
                <w:tcPr>
                  <w:tcW w:w="892" w:type="dxa"/>
                  <w:vAlign w:val="center"/>
                </w:tcPr>
                <w:p w14:paraId="4300C5F8">
                  <w:pPr>
                    <w:spacing w:line="0" w:lineRule="atLeast"/>
                    <w:ind w:left="-105" w:leftChars="-50" w:right="-105" w:rightChars="-50"/>
                    <w:jc w:val="center"/>
                    <w:rPr>
                      <w:color w:val="000000"/>
                      <w:szCs w:val="21"/>
                    </w:rPr>
                  </w:pPr>
                  <w:r>
                    <w:rPr>
                      <w:rFonts w:hint="eastAsia"/>
                      <w:color w:val="000000"/>
                      <w:szCs w:val="21"/>
                    </w:rPr>
                    <w:t xml:space="preserve">0.55 </w:t>
                  </w:r>
                </w:p>
              </w:tc>
            </w:tr>
            <w:tr w14:paraId="2711C65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Merge w:val="continue"/>
                  <w:vAlign w:val="center"/>
                </w:tcPr>
                <w:p w14:paraId="4AE14AD1">
                  <w:pPr>
                    <w:spacing w:line="0" w:lineRule="atLeast"/>
                    <w:jc w:val="center"/>
                    <w:rPr>
                      <w:rFonts w:hint="eastAsia"/>
                      <w:bCs/>
                      <w:snapToGrid w:val="0"/>
                      <w:kern w:val="24"/>
                      <w:szCs w:val="21"/>
                      <w:lang w:val="pt-BR"/>
                    </w:rPr>
                  </w:pPr>
                </w:p>
              </w:tc>
              <w:tc>
                <w:tcPr>
                  <w:tcW w:w="2573" w:type="dxa"/>
                  <w:vMerge w:val="continue"/>
                  <w:vAlign w:val="center"/>
                </w:tcPr>
                <w:p w14:paraId="303C22FD">
                  <w:pPr>
                    <w:spacing w:line="0" w:lineRule="atLeast"/>
                    <w:ind w:left="-105" w:leftChars="-50" w:right="-105" w:rightChars="-50"/>
                    <w:jc w:val="center"/>
                    <w:rPr>
                      <w:rFonts w:hint="eastAsia"/>
                      <w:color w:val="000000"/>
                      <w:szCs w:val="21"/>
                    </w:rPr>
                  </w:pPr>
                </w:p>
              </w:tc>
              <w:tc>
                <w:tcPr>
                  <w:tcW w:w="2516" w:type="dxa"/>
                  <w:vAlign w:val="center"/>
                </w:tcPr>
                <w:p w14:paraId="673853F7">
                  <w:pPr>
                    <w:spacing w:line="0" w:lineRule="atLeast"/>
                    <w:ind w:left="-105" w:leftChars="-50" w:right="-105" w:rightChars="-50"/>
                    <w:jc w:val="center"/>
                    <w:rPr>
                      <w:color w:val="000000"/>
                      <w:szCs w:val="21"/>
                    </w:rPr>
                  </w:pPr>
                  <w:r>
                    <w:rPr>
                      <w:rFonts w:hint="eastAsia"/>
                      <w:color w:val="000000"/>
                      <w:szCs w:val="21"/>
                    </w:rPr>
                    <w:t>内陆滩涂</w:t>
                  </w:r>
                </w:p>
              </w:tc>
              <w:tc>
                <w:tcPr>
                  <w:tcW w:w="896" w:type="dxa"/>
                  <w:vAlign w:val="center"/>
                </w:tcPr>
                <w:p w14:paraId="7F79772A">
                  <w:pPr>
                    <w:spacing w:line="0" w:lineRule="atLeast"/>
                    <w:ind w:left="-105" w:leftChars="-50" w:right="-105" w:rightChars="-50"/>
                    <w:jc w:val="center"/>
                    <w:rPr>
                      <w:color w:val="000000"/>
                      <w:szCs w:val="21"/>
                    </w:rPr>
                  </w:pPr>
                  <w:r>
                    <w:rPr>
                      <w:rFonts w:hint="eastAsia"/>
                      <w:color w:val="000000"/>
                      <w:szCs w:val="21"/>
                    </w:rPr>
                    <w:t>17</w:t>
                  </w:r>
                </w:p>
              </w:tc>
              <w:tc>
                <w:tcPr>
                  <w:tcW w:w="913" w:type="dxa"/>
                  <w:vAlign w:val="center"/>
                </w:tcPr>
                <w:p w14:paraId="39CD49AF">
                  <w:pPr>
                    <w:spacing w:line="0" w:lineRule="atLeast"/>
                    <w:ind w:left="-105" w:leftChars="-50" w:right="-105" w:rightChars="-50"/>
                    <w:jc w:val="center"/>
                    <w:rPr>
                      <w:color w:val="000000"/>
                      <w:szCs w:val="21"/>
                    </w:rPr>
                  </w:pPr>
                  <w:r>
                    <w:rPr>
                      <w:rFonts w:hint="eastAsia"/>
                      <w:color w:val="000000"/>
                      <w:szCs w:val="21"/>
                    </w:rPr>
                    <w:t xml:space="preserve">585.53 </w:t>
                  </w:r>
                </w:p>
              </w:tc>
              <w:tc>
                <w:tcPr>
                  <w:tcW w:w="892" w:type="dxa"/>
                  <w:vAlign w:val="center"/>
                </w:tcPr>
                <w:p w14:paraId="4022043E">
                  <w:pPr>
                    <w:spacing w:line="0" w:lineRule="atLeast"/>
                    <w:ind w:left="-105" w:leftChars="-50" w:right="-105" w:rightChars="-50"/>
                    <w:jc w:val="center"/>
                    <w:rPr>
                      <w:color w:val="000000"/>
                      <w:szCs w:val="21"/>
                    </w:rPr>
                  </w:pPr>
                  <w:r>
                    <w:rPr>
                      <w:rFonts w:hint="eastAsia"/>
                      <w:color w:val="000000"/>
                      <w:szCs w:val="21"/>
                    </w:rPr>
                    <w:t xml:space="preserve">3.77 </w:t>
                  </w:r>
                </w:p>
              </w:tc>
            </w:tr>
            <w:bookmarkEnd w:id="6"/>
            <w:bookmarkEnd w:id="7"/>
            <w:bookmarkEnd w:id="8"/>
            <w:tr w14:paraId="4B147FA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Merge w:val="continue"/>
                  <w:tcBorders>
                    <w:bottom w:val="double" w:color="auto" w:sz="4" w:space="0"/>
                  </w:tcBorders>
                  <w:vAlign w:val="center"/>
                </w:tcPr>
                <w:p w14:paraId="44934E8E">
                  <w:pPr>
                    <w:spacing w:line="0" w:lineRule="atLeast"/>
                    <w:jc w:val="center"/>
                    <w:rPr>
                      <w:rFonts w:hint="eastAsia"/>
                      <w:bCs/>
                      <w:snapToGrid w:val="0"/>
                      <w:kern w:val="24"/>
                      <w:szCs w:val="21"/>
                      <w:lang w:val="pt-BR"/>
                    </w:rPr>
                  </w:pPr>
                </w:p>
              </w:tc>
              <w:tc>
                <w:tcPr>
                  <w:tcW w:w="5089" w:type="dxa"/>
                  <w:gridSpan w:val="2"/>
                  <w:tcBorders>
                    <w:bottom w:val="double" w:color="auto" w:sz="4" w:space="0"/>
                  </w:tcBorders>
                  <w:vAlign w:val="center"/>
                </w:tcPr>
                <w:p w14:paraId="55EB7E75">
                  <w:pPr>
                    <w:spacing w:line="0" w:lineRule="atLeast"/>
                    <w:ind w:left="-105" w:leftChars="-50" w:right="-105" w:rightChars="-50"/>
                    <w:jc w:val="center"/>
                    <w:rPr>
                      <w:rFonts w:hint="eastAsia"/>
                      <w:color w:val="000000"/>
                      <w:szCs w:val="21"/>
                    </w:rPr>
                  </w:pPr>
                  <w:r>
                    <w:rPr>
                      <w:rFonts w:hint="eastAsia"/>
                      <w:bCs/>
                      <w:snapToGrid w:val="0"/>
                      <w:kern w:val="24"/>
                      <w:szCs w:val="21"/>
                      <w:lang w:val="pt-BR"/>
                    </w:rPr>
                    <w:t>总计</w:t>
                  </w:r>
                </w:p>
              </w:tc>
              <w:tc>
                <w:tcPr>
                  <w:tcW w:w="896" w:type="dxa"/>
                  <w:tcBorders>
                    <w:bottom w:val="double" w:color="auto" w:sz="4" w:space="0"/>
                  </w:tcBorders>
                  <w:vAlign w:val="center"/>
                </w:tcPr>
                <w:p w14:paraId="3014119B">
                  <w:pPr>
                    <w:spacing w:line="0" w:lineRule="atLeast"/>
                    <w:ind w:left="-105" w:leftChars="-50" w:right="-105" w:rightChars="-50"/>
                    <w:jc w:val="center"/>
                    <w:rPr>
                      <w:rFonts w:hint="eastAsia"/>
                      <w:color w:val="000000"/>
                      <w:szCs w:val="21"/>
                    </w:rPr>
                  </w:pPr>
                  <w:r>
                    <w:rPr>
                      <w:rFonts w:hint="eastAsia"/>
                      <w:color w:val="000000"/>
                      <w:szCs w:val="21"/>
                    </w:rPr>
                    <w:t>37</w:t>
                  </w:r>
                </w:p>
              </w:tc>
              <w:tc>
                <w:tcPr>
                  <w:tcW w:w="913" w:type="dxa"/>
                  <w:tcBorders>
                    <w:bottom w:val="double" w:color="auto" w:sz="4" w:space="0"/>
                  </w:tcBorders>
                  <w:vAlign w:val="center"/>
                </w:tcPr>
                <w:p w14:paraId="271FFA2C">
                  <w:pPr>
                    <w:spacing w:line="0" w:lineRule="atLeast"/>
                    <w:ind w:left="-105" w:leftChars="-50" w:right="-105" w:rightChars="-50"/>
                    <w:jc w:val="center"/>
                    <w:rPr>
                      <w:rFonts w:hint="eastAsia"/>
                      <w:color w:val="000000"/>
                      <w:szCs w:val="21"/>
                    </w:rPr>
                  </w:pPr>
                  <w:r>
                    <w:rPr>
                      <w:rFonts w:hint="eastAsia"/>
                      <w:color w:val="000000"/>
                      <w:szCs w:val="21"/>
                    </w:rPr>
                    <w:t>15532.22</w:t>
                  </w:r>
                </w:p>
              </w:tc>
              <w:tc>
                <w:tcPr>
                  <w:tcW w:w="892" w:type="dxa"/>
                  <w:tcBorders>
                    <w:bottom w:val="double" w:color="auto" w:sz="4" w:space="0"/>
                  </w:tcBorders>
                  <w:vAlign w:val="center"/>
                </w:tcPr>
                <w:p w14:paraId="63F10B70">
                  <w:pPr>
                    <w:spacing w:line="0" w:lineRule="atLeast"/>
                    <w:ind w:left="-105" w:leftChars="-50" w:right="-105" w:rightChars="-50"/>
                    <w:jc w:val="center"/>
                    <w:rPr>
                      <w:rFonts w:hint="eastAsia"/>
                      <w:color w:val="000000"/>
                      <w:szCs w:val="21"/>
                    </w:rPr>
                  </w:pPr>
                  <w:r>
                    <w:rPr>
                      <w:rFonts w:hint="eastAsia"/>
                      <w:color w:val="000000"/>
                      <w:szCs w:val="21"/>
                    </w:rPr>
                    <w:t>100.00</w:t>
                  </w:r>
                </w:p>
              </w:tc>
            </w:tr>
            <w:tr w14:paraId="7E3F15E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Merge w:val="restart"/>
                  <w:tcBorders>
                    <w:top w:val="double" w:color="auto" w:sz="4" w:space="0"/>
                    <w:bottom w:val="single" w:color="auto" w:sz="4" w:space="0"/>
                  </w:tcBorders>
                  <w:vAlign w:val="center"/>
                </w:tcPr>
                <w:p w14:paraId="6EC1423A">
                  <w:pPr>
                    <w:spacing w:line="0" w:lineRule="atLeast"/>
                    <w:jc w:val="center"/>
                    <w:rPr>
                      <w:rFonts w:hint="eastAsia"/>
                      <w:bCs/>
                      <w:snapToGrid w:val="0"/>
                      <w:kern w:val="24"/>
                      <w:szCs w:val="21"/>
                      <w:lang w:val="pt-BR"/>
                    </w:rPr>
                  </w:pPr>
                  <w:bookmarkStart w:id="9" w:name="OLE_LINK12" w:colFirst="4" w:colLast="4"/>
                  <w:bookmarkStart w:id="10" w:name="OLE_LINK13" w:colFirst="4" w:colLast="4"/>
                  <w:bookmarkStart w:id="11" w:name="_Hlk505025648"/>
                  <w:r>
                    <w:rPr>
                      <w:rFonts w:hint="eastAsia"/>
                      <w:bCs/>
                      <w:snapToGrid w:val="0"/>
                      <w:kern w:val="24"/>
                      <w:szCs w:val="21"/>
                      <w:lang w:val="pt-BR"/>
                    </w:rPr>
                    <w:t>风电场</w:t>
                  </w:r>
                </w:p>
              </w:tc>
              <w:tc>
                <w:tcPr>
                  <w:tcW w:w="2573" w:type="dxa"/>
                  <w:tcBorders>
                    <w:top w:val="double" w:color="auto" w:sz="4" w:space="0"/>
                    <w:bottom w:val="single" w:color="auto" w:sz="4" w:space="0"/>
                  </w:tcBorders>
                  <w:vAlign w:val="center"/>
                </w:tcPr>
                <w:p w14:paraId="453B3EED">
                  <w:pPr>
                    <w:spacing w:line="0" w:lineRule="atLeast"/>
                    <w:ind w:left="-105" w:leftChars="-50" w:right="-105" w:rightChars="-50"/>
                    <w:jc w:val="center"/>
                    <w:rPr>
                      <w:color w:val="000000"/>
                      <w:szCs w:val="21"/>
                    </w:rPr>
                  </w:pPr>
                  <w:r>
                    <w:rPr>
                      <w:rFonts w:hint="eastAsia"/>
                      <w:color w:val="000000"/>
                      <w:szCs w:val="21"/>
                    </w:rPr>
                    <w:t>草地</w:t>
                  </w:r>
                </w:p>
              </w:tc>
              <w:tc>
                <w:tcPr>
                  <w:tcW w:w="2516" w:type="dxa"/>
                  <w:tcBorders>
                    <w:top w:val="double" w:color="auto" w:sz="4" w:space="0"/>
                    <w:bottom w:val="single" w:color="auto" w:sz="4" w:space="0"/>
                  </w:tcBorders>
                  <w:vAlign w:val="center"/>
                </w:tcPr>
                <w:p w14:paraId="4E4351F6">
                  <w:pPr>
                    <w:spacing w:line="0" w:lineRule="atLeast"/>
                    <w:ind w:left="-105" w:leftChars="-50" w:right="-105" w:rightChars="-50"/>
                    <w:jc w:val="center"/>
                    <w:rPr>
                      <w:color w:val="000000"/>
                      <w:szCs w:val="21"/>
                    </w:rPr>
                  </w:pPr>
                  <w:r>
                    <w:rPr>
                      <w:rFonts w:hint="eastAsia"/>
                      <w:color w:val="000000"/>
                      <w:szCs w:val="21"/>
                    </w:rPr>
                    <w:t>天然牧草地</w:t>
                  </w:r>
                </w:p>
              </w:tc>
              <w:tc>
                <w:tcPr>
                  <w:tcW w:w="896" w:type="dxa"/>
                  <w:tcBorders>
                    <w:top w:val="double" w:color="auto" w:sz="4" w:space="0"/>
                    <w:bottom w:val="single" w:color="auto" w:sz="4" w:space="0"/>
                  </w:tcBorders>
                  <w:vAlign w:val="center"/>
                </w:tcPr>
                <w:p w14:paraId="532347F9">
                  <w:pPr>
                    <w:spacing w:line="0" w:lineRule="atLeast"/>
                    <w:ind w:left="-105" w:leftChars="-50" w:right="-105" w:rightChars="-50"/>
                    <w:jc w:val="center"/>
                    <w:rPr>
                      <w:color w:val="000000"/>
                      <w:szCs w:val="21"/>
                    </w:rPr>
                  </w:pPr>
                  <w:r>
                    <w:rPr>
                      <w:rFonts w:hint="eastAsia"/>
                      <w:color w:val="000000"/>
                      <w:szCs w:val="21"/>
                    </w:rPr>
                    <w:t>2</w:t>
                  </w:r>
                </w:p>
              </w:tc>
              <w:tc>
                <w:tcPr>
                  <w:tcW w:w="913" w:type="dxa"/>
                  <w:tcBorders>
                    <w:top w:val="double" w:color="auto" w:sz="4" w:space="0"/>
                    <w:bottom w:val="single" w:color="auto" w:sz="4" w:space="0"/>
                  </w:tcBorders>
                  <w:vAlign w:val="center"/>
                </w:tcPr>
                <w:p w14:paraId="420FDD32">
                  <w:pPr>
                    <w:spacing w:line="0" w:lineRule="atLeast"/>
                    <w:ind w:left="-105" w:leftChars="-50" w:right="-105" w:rightChars="-50"/>
                    <w:jc w:val="center"/>
                    <w:rPr>
                      <w:color w:val="000000"/>
                      <w:szCs w:val="21"/>
                    </w:rPr>
                  </w:pPr>
                  <w:r>
                    <w:rPr>
                      <w:rFonts w:hint="eastAsia"/>
                      <w:color w:val="000000"/>
                      <w:szCs w:val="21"/>
                    </w:rPr>
                    <w:t xml:space="preserve">9604.15 </w:t>
                  </w:r>
                </w:p>
              </w:tc>
              <w:tc>
                <w:tcPr>
                  <w:tcW w:w="892" w:type="dxa"/>
                  <w:tcBorders>
                    <w:top w:val="double" w:color="auto" w:sz="4" w:space="0"/>
                    <w:bottom w:val="single" w:color="auto" w:sz="4" w:space="0"/>
                  </w:tcBorders>
                  <w:vAlign w:val="center"/>
                </w:tcPr>
                <w:p w14:paraId="28EE8CB7">
                  <w:pPr>
                    <w:spacing w:line="0" w:lineRule="atLeast"/>
                    <w:ind w:left="-105" w:leftChars="-50" w:right="-105" w:rightChars="-50"/>
                    <w:jc w:val="center"/>
                    <w:rPr>
                      <w:rFonts w:hint="eastAsia"/>
                      <w:color w:val="000000"/>
                      <w:szCs w:val="21"/>
                    </w:rPr>
                  </w:pPr>
                  <w:r>
                    <w:rPr>
                      <w:rFonts w:hint="eastAsia"/>
                      <w:color w:val="000000"/>
                      <w:szCs w:val="21"/>
                    </w:rPr>
                    <w:t>61.83</w:t>
                  </w:r>
                </w:p>
              </w:tc>
            </w:tr>
            <w:tr w14:paraId="539C8A4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Merge w:val="continue"/>
                  <w:tcBorders>
                    <w:top w:val="single" w:color="auto" w:sz="4" w:space="0"/>
                    <w:bottom w:val="single" w:color="auto" w:sz="4" w:space="0"/>
                  </w:tcBorders>
                  <w:vAlign w:val="center"/>
                </w:tcPr>
                <w:p w14:paraId="5C00FEB7">
                  <w:pPr>
                    <w:spacing w:line="0" w:lineRule="atLeast"/>
                    <w:jc w:val="center"/>
                    <w:rPr>
                      <w:rFonts w:hint="eastAsia"/>
                      <w:bCs/>
                      <w:snapToGrid w:val="0"/>
                      <w:kern w:val="24"/>
                      <w:szCs w:val="21"/>
                      <w:lang w:val="pt-BR"/>
                    </w:rPr>
                  </w:pPr>
                </w:p>
              </w:tc>
              <w:tc>
                <w:tcPr>
                  <w:tcW w:w="2573" w:type="dxa"/>
                  <w:tcBorders>
                    <w:top w:val="single" w:color="auto" w:sz="4" w:space="0"/>
                    <w:bottom w:val="single" w:color="auto" w:sz="4" w:space="0"/>
                  </w:tcBorders>
                  <w:vAlign w:val="center"/>
                </w:tcPr>
                <w:p w14:paraId="2C28AF84">
                  <w:pPr>
                    <w:spacing w:line="0" w:lineRule="atLeast"/>
                    <w:ind w:left="-105" w:leftChars="-50" w:right="-105" w:rightChars="-50"/>
                    <w:jc w:val="center"/>
                    <w:rPr>
                      <w:color w:val="000000"/>
                      <w:szCs w:val="21"/>
                    </w:rPr>
                  </w:pPr>
                  <w:r>
                    <w:rPr>
                      <w:rFonts w:hint="eastAsia"/>
                      <w:color w:val="000000"/>
                      <w:szCs w:val="21"/>
                    </w:rPr>
                    <w:t>住宅用地</w:t>
                  </w:r>
                </w:p>
              </w:tc>
              <w:tc>
                <w:tcPr>
                  <w:tcW w:w="2516" w:type="dxa"/>
                  <w:tcBorders>
                    <w:top w:val="single" w:color="auto" w:sz="4" w:space="0"/>
                    <w:bottom w:val="single" w:color="auto" w:sz="4" w:space="0"/>
                  </w:tcBorders>
                  <w:vAlign w:val="center"/>
                </w:tcPr>
                <w:p w14:paraId="33972405">
                  <w:pPr>
                    <w:spacing w:line="0" w:lineRule="atLeast"/>
                    <w:ind w:left="-105" w:leftChars="-50" w:right="-105" w:rightChars="-50"/>
                    <w:jc w:val="center"/>
                    <w:rPr>
                      <w:color w:val="000000"/>
                      <w:szCs w:val="21"/>
                    </w:rPr>
                  </w:pPr>
                  <w:r>
                    <w:rPr>
                      <w:rFonts w:hint="eastAsia"/>
                      <w:color w:val="000000"/>
                      <w:szCs w:val="21"/>
                    </w:rPr>
                    <w:t>农村宅基地</w:t>
                  </w:r>
                </w:p>
              </w:tc>
              <w:tc>
                <w:tcPr>
                  <w:tcW w:w="896" w:type="dxa"/>
                  <w:tcBorders>
                    <w:top w:val="single" w:color="auto" w:sz="4" w:space="0"/>
                    <w:bottom w:val="single" w:color="auto" w:sz="4" w:space="0"/>
                  </w:tcBorders>
                  <w:vAlign w:val="center"/>
                </w:tcPr>
                <w:p w14:paraId="4E292FC9">
                  <w:pPr>
                    <w:spacing w:line="0" w:lineRule="atLeast"/>
                    <w:ind w:left="-105" w:leftChars="-50" w:right="-105" w:rightChars="-50"/>
                    <w:jc w:val="center"/>
                    <w:rPr>
                      <w:color w:val="000000"/>
                      <w:szCs w:val="21"/>
                    </w:rPr>
                  </w:pPr>
                  <w:r>
                    <w:rPr>
                      <w:rFonts w:hint="eastAsia"/>
                      <w:color w:val="000000"/>
                      <w:szCs w:val="21"/>
                    </w:rPr>
                    <w:t>12</w:t>
                  </w:r>
                </w:p>
              </w:tc>
              <w:tc>
                <w:tcPr>
                  <w:tcW w:w="913" w:type="dxa"/>
                  <w:tcBorders>
                    <w:top w:val="single" w:color="auto" w:sz="4" w:space="0"/>
                    <w:bottom w:val="single" w:color="auto" w:sz="4" w:space="0"/>
                  </w:tcBorders>
                  <w:vAlign w:val="center"/>
                </w:tcPr>
                <w:p w14:paraId="5EACC06C">
                  <w:pPr>
                    <w:spacing w:line="0" w:lineRule="atLeast"/>
                    <w:ind w:left="-105" w:leftChars="-50" w:right="-105" w:rightChars="-50"/>
                    <w:jc w:val="center"/>
                    <w:rPr>
                      <w:color w:val="000000"/>
                      <w:szCs w:val="21"/>
                    </w:rPr>
                  </w:pPr>
                  <w:r>
                    <w:rPr>
                      <w:rFonts w:hint="eastAsia"/>
                      <w:color w:val="000000"/>
                      <w:szCs w:val="21"/>
                    </w:rPr>
                    <w:t xml:space="preserve">12.48 </w:t>
                  </w:r>
                </w:p>
              </w:tc>
              <w:tc>
                <w:tcPr>
                  <w:tcW w:w="892" w:type="dxa"/>
                  <w:tcBorders>
                    <w:top w:val="single" w:color="auto" w:sz="4" w:space="0"/>
                    <w:bottom w:val="single" w:color="auto" w:sz="4" w:space="0"/>
                  </w:tcBorders>
                  <w:vAlign w:val="center"/>
                </w:tcPr>
                <w:p w14:paraId="3C52CBF2">
                  <w:pPr>
                    <w:spacing w:line="0" w:lineRule="atLeast"/>
                    <w:ind w:left="-105" w:leftChars="-50" w:right="-105" w:rightChars="-50"/>
                    <w:jc w:val="center"/>
                    <w:rPr>
                      <w:rFonts w:hint="eastAsia"/>
                      <w:color w:val="000000"/>
                      <w:szCs w:val="21"/>
                    </w:rPr>
                  </w:pPr>
                  <w:r>
                    <w:rPr>
                      <w:rFonts w:hint="eastAsia"/>
                      <w:color w:val="000000"/>
                      <w:szCs w:val="21"/>
                    </w:rPr>
                    <w:t>0.08</w:t>
                  </w:r>
                </w:p>
              </w:tc>
            </w:tr>
            <w:tr w14:paraId="7722698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Merge w:val="continue"/>
                  <w:tcBorders>
                    <w:top w:val="single" w:color="auto" w:sz="4" w:space="0"/>
                    <w:bottom w:val="single" w:color="auto" w:sz="4" w:space="0"/>
                  </w:tcBorders>
                  <w:vAlign w:val="center"/>
                </w:tcPr>
                <w:p w14:paraId="2A5B3D76">
                  <w:pPr>
                    <w:spacing w:line="0" w:lineRule="atLeast"/>
                    <w:jc w:val="center"/>
                    <w:rPr>
                      <w:rFonts w:hint="eastAsia"/>
                      <w:bCs/>
                      <w:snapToGrid w:val="0"/>
                      <w:kern w:val="24"/>
                      <w:szCs w:val="21"/>
                      <w:lang w:val="pt-BR"/>
                    </w:rPr>
                  </w:pPr>
                </w:p>
              </w:tc>
              <w:tc>
                <w:tcPr>
                  <w:tcW w:w="2573" w:type="dxa"/>
                  <w:vMerge w:val="restart"/>
                  <w:tcBorders>
                    <w:top w:val="single" w:color="auto" w:sz="4" w:space="0"/>
                    <w:bottom w:val="single" w:color="auto" w:sz="4" w:space="0"/>
                  </w:tcBorders>
                  <w:vAlign w:val="center"/>
                </w:tcPr>
                <w:p w14:paraId="5D16F9D0">
                  <w:pPr>
                    <w:spacing w:line="0" w:lineRule="atLeast"/>
                    <w:ind w:left="-105" w:leftChars="-50" w:right="-105" w:rightChars="-50"/>
                    <w:jc w:val="center"/>
                    <w:rPr>
                      <w:color w:val="000000"/>
                      <w:szCs w:val="21"/>
                    </w:rPr>
                  </w:pPr>
                  <w:r>
                    <w:rPr>
                      <w:rFonts w:hint="eastAsia"/>
                      <w:color w:val="000000"/>
                      <w:szCs w:val="21"/>
                    </w:rPr>
                    <w:t>水域与水利设施用地</w:t>
                  </w:r>
                </w:p>
              </w:tc>
              <w:tc>
                <w:tcPr>
                  <w:tcW w:w="2516" w:type="dxa"/>
                  <w:tcBorders>
                    <w:top w:val="single" w:color="auto" w:sz="4" w:space="0"/>
                    <w:bottom w:val="single" w:color="auto" w:sz="4" w:space="0"/>
                  </w:tcBorders>
                  <w:vAlign w:val="center"/>
                </w:tcPr>
                <w:p w14:paraId="27DB048C">
                  <w:pPr>
                    <w:spacing w:line="0" w:lineRule="atLeast"/>
                    <w:ind w:left="-105" w:leftChars="-50" w:right="-105" w:rightChars="-50"/>
                    <w:jc w:val="center"/>
                    <w:rPr>
                      <w:color w:val="000000"/>
                      <w:szCs w:val="21"/>
                    </w:rPr>
                  </w:pPr>
                  <w:r>
                    <w:rPr>
                      <w:rFonts w:hint="eastAsia"/>
                      <w:color w:val="000000"/>
                      <w:szCs w:val="21"/>
                    </w:rPr>
                    <w:t>时令干沟</w:t>
                  </w:r>
                </w:p>
              </w:tc>
              <w:tc>
                <w:tcPr>
                  <w:tcW w:w="896" w:type="dxa"/>
                  <w:tcBorders>
                    <w:top w:val="single" w:color="auto" w:sz="4" w:space="0"/>
                    <w:bottom w:val="single" w:color="auto" w:sz="4" w:space="0"/>
                  </w:tcBorders>
                  <w:vAlign w:val="center"/>
                </w:tcPr>
                <w:p w14:paraId="46187704">
                  <w:pPr>
                    <w:spacing w:line="0" w:lineRule="atLeast"/>
                    <w:ind w:left="-105" w:leftChars="-50" w:right="-105" w:rightChars="-50"/>
                    <w:jc w:val="center"/>
                    <w:rPr>
                      <w:color w:val="000000"/>
                      <w:szCs w:val="21"/>
                    </w:rPr>
                  </w:pPr>
                  <w:r>
                    <w:rPr>
                      <w:rFonts w:hint="eastAsia"/>
                      <w:color w:val="000000"/>
                      <w:szCs w:val="21"/>
                    </w:rPr>
                    <w:t>2</w:t>
                  </w:r>
                </w:p>
              </w:tc>
              <w:tc>
                <w:tcPr>
                  <w:tcW w:w="913" w:type="dxa"/>
                  <w:tcBorders>
                    <w:top w:val="single" w:color="auto" w:sz="4" w:space="0"/>
                    <w:bottom w:val="single" w:color="auto" w:sz="4" w:space="0"/>
                  </w:tcBorders>
                  <w:vAlign w:val="center"/>
                </w:tcPr>
                <w:p w14:paraId="2309A253">
                  <w:pPr>
                    <w:spacing w:line="0" w:lineRule="atLeast"/>
                    <w:ind w:left="-105" w:leftChars="-50" w:right="-105" w:rightChars="-50"/>
                    <w:jc w:val="center"/>
                    <w:rPr>
                      <w:color w:val="000000"/>
                      <w:szCs w:val="21"/>
                    </w:rPr>
                  </w:pPr>
                  <w:r>
                    <w:rPr>
                      <w:rFonts w:hint="eastAsia"/>
                      <w:color w:val="000000"/>
                      <w:szCs w:val="21"/>
                    </w:rPr>
                    <w:t xml:space="preserve">58.51 </w:t>
                  </w:r>
                </w:p>
              </w:tc>
              <w:tc>
                <w:tcPr>
                  <w:tcW w:w="892" w:type="dxa"/>
                  <w:tcBorders>
                    <w:top w:val="single" w:color="auto" w:sz="4" w:space="0"/>
                    <w:bottom w:val="single" w:color="auto" w:sz="4" w:space="0"/>
                  </w:tcBorders>
                  <w:vAlign w:val="center"/>
                </w:tcPr>
                <w:p w14:paraId="5AE5CF4F">
                  <w:pPr>
                    <w:spacing w:line="0" w:lineRule="atLeast"/>
                    <w:ind w:left="-105" w:leftChars="-50" w:right="-105" w:rightChars="-50"/>
                    <w:jc w:val="center"/>
                    <w:rPr>
                      <w:rFonts w:hint="eastAsia"/>
                      <w:color w:val="000000"/>
                      <w:szCs w:val="21"/>
                    </w:rPr>
                  </w:pPr>
                  <w:r>
                    <w:rPr>
                      <w:rFonts w:hint="eastAsia"/>
                      <w:color w:val="000000"/>
                      <w:szCs w:val="21"/>
                    </w:rPr>
                    <w:t>0.38</w:t>
                  </w:r>
                </w:p>
              </w:tc>
            </w:tr>
            <w:tr w14:paraId="6FB8ABB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Merge w:val="continue"/>
                  <w:tcBorders>
                    <w:top w:val="single" w:color="auto" w:sz="4" w:space="0"/>
                    <w:bottom w:val="single" w:color="auto" w:sz="4" w:space="0"/>
                  </w:tcBorders>
                  <w:vAlign w:val="center"/>
                </w:tcPr>
                <w:p w14:paraId="45B5A8DF">
                  <w:pPr>
                    <w:spacing w:line="0" w:lineRule="atLeast"/>
                    <w:jc w:val="center"/>
                    <w:rPr>
                      <w:rFonts w:hint="eastAsia"/>
                      <w:bCs/>
                      <w:snapToGrid w:val="0"/>
                      <w:kern w:val="24"/>
                      <w:szCs w:val="21"/>
                      <w:lang w:val="pt-BR"/>
                    </w:rPr>
                  </w:pPr>
                </w:p>
              </w:tc>
              <w:tc>
                <w:tcPr>
                  <w:tcW w:w="2573" w:type="dxa"/>
                  <w:vMerge w:val="continue"/>
                  <w:tcBorders>
                    <w:top w:val="single" w:color="auto" w:sz="4" w:space="0"/>
                    <w:bottom w:val="single" w:color="auto" w:sz="4" w:space="0"/>
                  </w:tcBorders>
                  <w:vAlign w:val="center"/>
                </w:tcPr>
                <w:p w14:paraId="73193F56">
                  <w:pPr>
                    <w:spacing w:line="0" w:lineRule="atLeast"/>
                    <w:ind w:left="-105" w:leftChars="-50" w:right="-105" w:rightChars="-50"/>
                    <w:jc w:val="center"/>
                    <w:rPr>
                      <w:rFonts w:hint="eastAsia"/>
                      <w:color w:val="000000"/>
                      <w:szCs w:val="21"/>
                    </w:rPr>
                  </w:pPr>
                </w:p>
              </w:tc>
              <w:tc>
                <w:tcPr>
                  <w:tcW w:w="2516" w:type="dxa"/>
                  <w:tcBorders>
                    <w:top w:val="single" w:color="auto" w:sz="4" w:space="0"/>
                    <w:bottom w:val="single" w:color="auto" w:sz="4" w:space="0"/>
                  </w:tcBorders>
                  <w:vAlign w:val="center"/>
                </w:tcPr>
                <w:p w14:paraId="02D45280">
                  <w:pPr>
                    <w:spacing w:line="0" w:lineRule="atLeast"/>
                    <w:ind w:left="-105" w:leftChars="-50" w:right="-105" w:rightChars="-50"/>
                    <w:jc w:val="center"/>
                    <w:rPr>
                      <w:color w:val="000000"/>
                      <w:szCs w:val="21"/>
                    </w:rPr>
                  </w:pPr>
                  <w:r>
                    <w:rPr>
                      <w:rFonts w:hint="eastAsia"/>
                      <w:color w:val="000000"/>
                      <w:szCs w:val="21"/>
                    </w:rPr>
                    <w:t>内陆滩涂</w:t>
                  </w:r>
                </w:p>
              </w:tc>
              <w:tc>
                <w:tcPr>
                  <w:tcW w:w="896" w:type="dxa"/>
                  <w:tcBorders>
                    <w:top w:val="single" w:color="auto" w:sz="4" w:space="0"/>
                    <w:bottom w:val="single" w:color="auto" w:sz="4" w:space="0"/>
                  </w:tcBorders>
                  <w:vAlign w:val="center"/>
                </w:tcPr>
                <w:p w14:paraId="13941CAB">
                  <w:pPr>
                    <w:spacing w:line="0" w:lineRule="atLeast"/>
                    <w:ind w:left="-105" w:leftChars="-50" w:right="-105" w:rightChars="-50"/>
                    <w:jc w:val="center"/>
                    <w:rPr>
                      <w:color w:val="000000"/>
                      <w:szCs w:val="21"/>
                    </w:rPr>
                  </w:pPr>
                  <w:r>
                    <w:rPr>
                      <w:rFonts w:hint="eastAsia"/>
                      <w:color w:val="000000"/>
                      <w:szCs w:val="21"/>
                    </w:rPr>
                    <w:t>14</w:t>
                  </w:r>
                </w:p>
              </w:tc>
              <w:tc>
                <w:tcPr>
                  <w:tcW w:w="913" w:type="dxa"/>
                  <w:tcBorders>
                    <w:top w:val="single" w:color="auto" w:sz="4" w:space="0"/>
                    <w:bottom w:val="single" w:color="auto" w:sz="4" w:space="0"/>
                  </w:tcBorders>
                  <w:vAlign w:val="center"/>
                </w:tcPr>
                <w:p w14:paraId="3DB8D450">
                  <w:pPr>
                    <w:spacing w:line="0" w:lineRule="atLeast"/>
                    <w:ind w:left="-105" w:leftChars="-50" w:right="-105" w:rightChars="-50"/>
                    <w:jc w:val="center"/>
                    <w:rPr>
                      <w:color w:val="000000"/>
                      <w:szCs w:val="21"/>
                    </w:rPr>
                  </w:pPr>
                  <w:r>
                    <w:rPr>
                      <w:rFonts w:hint="eastAsia"/>
                      <w:color w:val="000000"/>
                      <w:szCs w:val="21"/>
                    </w:rPr>
                    <w:t xml:space="preserve">451.02 </w:t>
                  </w:r>
                </w:p>
              </w:tc>
              <w:tc>
                <w:tcPr>
                  <w:tcW w:w="892" w:type="dxa"/>
                  <w:tcBorders>
                    <w:top w:val="single" w:color="auto" w:sz="4" w:space="0"/>
                    <w:bottom w:val="single" w:color="auto" w:sz="4" w:space="0"/>
                  </w:tcBorders>
                  <w:vAlign w:val="center"/>
                </w:tcPr>
                <w:p w14:paraId="363A9867">
                  <w:pPr>
                    <w:spacing w:line="0" w:lineRule="atLeast"/>
                    <w:ind w:left="-105" w:leftChars="-50" w:right="-105" w:rightChars="-50"/>
                    <w:jc w:val="center"/>
                    <w:rPr>
                      <w:rFonts w:hint="eastAsia"/>
                      <w:color w:val="000000"/>
                      <w:szCs w:val="21"/>
                    </w:rPr>
                  </w:pPr>
                  <w:r>
                    <w:rPr>
                      <w:rFonts w:hint="eastAsia"/>
                      <w:color w:val="000000"/>
                      <w:szCs w:val="21"/>
                    </w:rPr>
                    <w:t>2.90</w:t>
                  </w:r>
                </w:p>
              </w:tc>
            </w:tr>
            <w:bookmarkEnd w:id="9"/>
            <w:bookmarkEnd w:id="10"/>
            <w:bookmarkEnd w:id="11"/>
            <w:tr w14:paraId="3C626CA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Merge w:val="continue"/>
                  <w:tcBorders>
                    <w:top w:val="single" w:color="auto" w:sz="4" w:space="0"/>
                    <w:bottom w:val="single" w:color="auto" w:sz="8" w:space="0"/>
                  </w:tcBorders>
                  <w:vAlign w:val="center"/>
                </w:tcPr>
                <w:p w14:paraId="0581FA71">
                  <w:pPr>
                    <w:spacing w:line="0" w:lineRule="atLeast"/>
                    <w:jc w:val="center"/>
                    <w:rPr>
                      <w:rFonts w:hint="eastAsia"/>
                      <w:bCs/>
                      <w:snapToGrid w:val="0"/>
                      <w:kern w:val="24"/>
                      <w:szCs w:val="21"/>
                      <w:lang w:val="pt-BR"/>
                    </w:rPr>
                  </w:pPr>
                </w:p>
              </w:tc>
              <w:tc>
                <w:tcPr>
                  <w:tcW w:w="5089" w:type="dxa"/>
                  <w:gridSpan w:val="2"/>
                  <w:tcBorders>
                    <w:top w:val="single" w:color="auto" w:sz="4" w:space="0"/>
                    <w:bottom w:val="single" w:color="auto" w:sz="8" w:space="0"/>
                  </w:tcBorders>
                  <w:vAlign w:val="center"/>
                </w:tcPr>
                <w:p w14:paraId="439DDFBD">
                  <w:pPr>
                    <w:spacing w:line="0" w:lineRule="atLeast"/>
                    <w:ind w:left="-105" w:leftChars="-50" w:right="-105" w:rightChars="-50"/>
                    <w:jc w:val="center"/>
                    <w:rPr>
                      <w:rFonts w:hint="eastAsia"/>
                      <w:color w:val="000000"/>
                      <w:szCs w:val="21"/>
                    </w:rPr>
                  </w:pPr>
                  <w:r>
                    <w:rPr>
                      <w:rFonts w:hint="eastAsia"/>
                      <w:color w:val="000000"/>
                      <w:szCs w:val="21"/>
                    </w:rPr>
                    <w:t>合计</w:t>
                  </w:r>
                </w:p>
              </w:tc>
              <w:tc>
                <w:tcPr>
                  <w:tcW w:w="896" w:type="dxa"/>
                  <w:tcBorders>
                    <w:top w:val="single" w:color="auto" w:sz="4" w:space="0"/>
                    <w:bottom w:val="single" w:color="auto" w:sz="8" w:space="0"/>
                  </w:tcBorders>
                  <w:vAlign w:val="center"/>
                </w:tcPr>
                <w:p w14:paraId="59372FFA">
                  <w:pPr>
                    <w:spacing w:line="0" w:lineRule="atLeast"/>
                    <w:ind w:left="-105" w:leftChars="-50" w:right="-105" w:rightChars="-50"/>
                    <w:jc w:val="center"/>
                    <w:rPr>
                      <w:rFonts w:hint="eastAsia"/>
                      <w:color w:val="000000"/>
                      <w:szCs w:val="21"/>
                    </w:rPr>
                  </w:pPr>
                  <w:r>
                    <w:rPr>
                      <w:rFonts w:hint="eastAsia"/>
                      <w:color w:val="000000"/>
                      <w:szCs w:val="21"/>
                    </w:rPr>
                    <w:t>24</w:t>
                  </w:r>
                </w:p>
              </w:tc>
              <w:tc>
                <w:tcPr>
                  <w:tcW w:w="913" w:type="dxa"/>
                  <w:tcBorders>
                    <w:top w:val="single" w:color="auto" w:sz="4" w:space="0"/>
                    <w:bottom w:val="single" w:color="auto" w:sz="8" w:space="0"/>
                  </w:tcBorders>
                  <w:vAlign w:val="center"/>
                </w:tcPr>
                <w:p w14:paraId="2FDC0BA6">
                  <w:pPr>
                    <w:spacing w:line="0" w:lineRule="atLeast"/>
                    <w:ind w:left="-105" w:leftChars="-50" w:right="-105" w:rightChars="-50"/>
                    <w:jc w:val="center"/>
                    <w:rPr>
                      <w:rFonts w:hint="eastAsia"/>
                      <w:color w:val="000000"/>
                      <w:szCs w:val="21"/>
                    </w:rPr>
                  </w:pPr>
                  <w:r>
                    <w:rPr>
                      <w:rFonts w:hint="eastAsia"/>
                      <w:color w:val="000000"/>
                      <w:szCs w:val="21"/>
                    </w:rPr>
                    <w:t>10126.16</w:t>
                  </w:r>
                </w:p>
              </w:tc>
              <w:tc>
                <w:tcPr>
                  <w:tcW w:w="892" w:type="dxa"/>
                  <w:tcBorders>
                    <w:top w:val="single" w:color="auto" w:sz="4" w:space="0"/>
                    <w:bottom w:val="single" w:color="auto" w:sz="8" w:space="0"/>
                  </w:tcBorders>
                  <w:vAlign w:val="center"/>
                </w:tcPr>
                <w:p w14:paraId="3F63AA64">
                  <w:pPr>
                    <w:spacing w:line="0" w:lineRule="atLeast"/>
                    <w:ind w:left="-105" w:leftChars="-50" w:right="-105" w:rightChars="-50"/>
                    <w:jc w:val="center"/>
                    <w:rPr>
                      <w:rFonts w:hint="eastAsia"/>
                      <w:color w:val="000000"/>
                      <w:szCs w:val="21"/>
                    </w:rPr>
                  </w:pPr>
                  <w:r>
                    <w:rPr>
                      <w:rFonts w:hint="eastAsia"/>
                      <w:color w:val="000000"/>
                      <w:szCs w:val="21"/>
                    </w:rPr>
                    <w:t>65.19</w:t>
                  </w:r>
                </w:p>
              </w:tc>
            </w:tr>
          </w:tbl>
          <w:p w14:paraId="00A58666">
            <w:pPr>
              <w:ind w:firstLine="480" w:firstLineChars="200"/>
              <w:rPr>
                <w:rFonts w:hint="eastAsia"/>
                <w:color w:val="000000"/>
                <w:sz w:val="24"/>
              </w:rPr>
            </w:pPr>
          </w:p>
          <w:p w14:paraId="6A8A6B6C">
            <w:pPr>
              <w:ind w:firstLine="420" w:firstLineChars="200"/>
              <w:rPr>
                <w:rFonts w:hint="eastAsia"/>
                <w:color w:val="000000"/>
                <w:sz w:val="24"/>
              </w:rPr>
            </w:pPr>
            <w:r>
              <w:drawing>
                <wp:anchor distT="0" distB="0" distL="114300" distR="114300" simplePos="0" relativeHeight="251668480" behindDoc="0" locked="0" layoutInCell="1" allowOverlap="1">
                  <wp:simplePos x="0" y="0"/>
                  <wp:positionH relativeFrom="column">
                    <wp:posOffset>-1300480</wp:posOffset>
                  </wp:positionH>
                  <wp:positionV relativeFrom="paragraph">
                    <wp:posOffset>1458595</wp:posOffset>
                  </wp:positionV>
                  <wp:extent cx="8202930" cy="5505450"/>
                  <wp:effectExtent l="0" t="1371600" r="0" b="1371600"/>
                  <wp:wrapNone/>
                  <wp:docPr id="23" name="图片 744" descr="土地利用类型图A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744" descr="土地利用类型图A3"/>
                          <pic:cNvPicPr>
                            <a:picLocks noChangeAspect="1" noChangeArrowheads="1"/>
                          </pic:cNvPicPr>
                        </pic:nvPicPr>
                        <pic:blipFill>
                          <a:blip r:embed="rId14" cstate="print"/>
                          <a:srcRect l="5682" t="8015" r="5412" b="7825"/>
                          <a:stretch>
                            <a:fillRect/>
                          </a:stretch>
                        </pic:blipFill>
                        <pic:spPr>
                          <a:xfrm rot="16200000">
                            <a:off x="0" y="0"/>
                            <a:ext cx="8202930" cy="5505450"/>
                          </a:xfrm>
                          <a:prstGeom prst="rect">
                            <a:avLst/>
                          </a:prstGeom>
                          <a:noFill/>
                          <a:ln w="12700">
                            <a:solidFill>
                              <a:srgbClr val="000000"/>
                            </a:solidFill>
                            <a:miter lim="800000"/>
                            <a:headEnd/>
                            <a:tailEnd/>
                          </a:ln>
                        </pic:spPr>
                      </pic:pic>
                    </a:graphicData>
                  </a:graphic>
                </wp:anchor>
              </w:drawing>
            </w:r>
          </w:p>
          <w:p w14:paraId="5EEEE8E1">
            <w:pPr>
              <w:ind w:firstLine="480" w:firstLineChars="200"/>
              <w:rPr>
                <w:rFonts w:hint="eastAsia"/>
                <w:color w:val="000000"/>
                <w:sz w:val="24"/>
              </w:rPr>
            </w:pPr>
          </w:p>
          <w:p w14:paraId="2B787AEA">
            <w:pPr>
              <w:ind w:firstLine="480" w:firstLineChars="200"/>
              <w:rPr>
                <w:rFonts w:hint="eastAsia"/>
                <w:color w:val="000000"/>
                <w:sz w:val="24"/>
              </w:rPr>
            </w:pPr>
          </w:p>
          <w:p w14:paraId="64B3CDFC">
            <w:pPr>
              <w:ind w:firstLine="480" w:firstLineChars="200"/>
              <w:rPr>
                <w:rFonts w:hint="eastAsia"/>
                <w:color w:val="000000"/>
                <w:sz w:val="24"/>
              </w:rPr>
            </w:pPr>
          </w:p>
          <w:p w14:paraId="76C3C33D">
            <w:pPr>
              <w:ind w:firstLine="480" w:firstLineChars="200"/>
              <w:rPr>
                <w:rFonts w:hint="eastAsia"/>
                <w:color w:val="000000"/>
                <w:sz w:val="24"/>
              </w:rPr>
            </w:pPr>
          </w:p>
          <w:p w14:paraId="4359F881">
            <w:pPr>
              <w:ind w:firstLine="480" w:firstLineChars="200"/>
              <w:rPr>
                <w:rFonts w:hint="eastAsia"/>
                <w:color w:val="000000"/>
                <w:sz w:val="24"/>
              </w:rPr>
            </w:pPr>
          </w:p>
          <w:p w14:paraId="49B09B73">
            <w:pPr>
              <w:ind w:firstLine="480" w:firstLineChars="200"/>
              <w:rPr>
                <w:rFonts w:hint="eastAsia"/>
                <w:color w:val="000000"/>
                <w:sz w:val="24"/>
              </w:rPr>
            </w:pPr>
          </w:p>
          <w:p w14:paraId="4E4E3812">
            <w:pPr>
              <w:ind w:firstLine="480" w:firstLineChars="200"/>
              <w:rPr>
                <w:rFonts w:hint="eastAsia"/>
                <w:color w:val="000000"/>
                <w:sz w:val="24"/>
              </w:rPr>
            </w:pPr>
          </w:p>
          <w:p w14:paraId="193F1FA9">
            <w:pPr>
              <w:ind w:firstLine="480" w:firstLineChars="200"/>
              <w:rPr>
                <w:rFonts w:hint="eastAsia"/>
                <w:color w:val="000000"/>
                <w:sz w:val="24"/>
              </w:rPr>
            </w:pPr>
          </w:p>
          <w:p w14:paraId="1BD3E208">
            <w:pPr>
              <w:ind w:firstLine="480" w:firstLineChars="200"/>
              <w:rPr>
                <w:rFonts w:hint="eastAsia"/>
                <w:color w:val="000000"/>
                <w:sz w:val="24"/>
              </w:rPr>
            </w:pPr>
          </w:p>
          <w:p w14:paraId="2FFE3ADA">
            <w:pPr>
              <w:ind w:firstLine="480" w:firstLineChars="200"/>
              <w:rPr>
                <w:rFonts w:hint="eastAsia"/>
                <w:color w:val="000000"/>
                <w:sz w:val="24"/>
              </w:rPr>
            </w:pPr>
          </w:p>
          <w:p w14:paraId="07ABEF7C">
            <w:pPr>
              <w:ind w:firstLine="480" w:firstLineChars="200"/>
              <w:rPr>
                <w:rFonts w:hint="eastAsia"/>
                <w:color w:val="000000"/>
                <w:sz w:val="24"/>
              </w:rPr>
            </w:pPr>
          </w:p>
          <w:p w14:paraId="4A15A12A">
            <w:pPr>
              <w:ind w:firstLine="480" w:firstLineChars="200"/>
              <w:rPr>
                <w:rFonts w:hint="eastAsia"/>
                <w:color w:val="000000"/>
                <w:sz w:val="24"/>
              </w:rPr>
            </w:pPr>
          </w:p>
          <w:p w14:paraId="26CBCAE0">
            <w:pPr>
              <w:ind w:firstLine="480" w:firstLineChars="200"/>
              <w:rPr>
                <w:rFonts w:hint="eastAsia"/>
                <w:color w:val="000000"/>
                <w:sz w:val="24"/>
              </w:rPr>
            </w:pPr>
          </w:p>
          <w:p w14:paraId="246A8754">
            <w:pPr>
              <w:ind w:firstLine="480" w:firstLineChars="200"/>
              <w:rPr>
                <w:rFonts w:hint="eastAsia"/>
                <w:color w:val="000000"/>
                <w:sz w:val="24"/>
              </w:rPr>
            </w:pPr>
          </w:p>
          <w:p w14:paraId="4CE09897">
            <w:pPr>
              <w:ind w:firstLine="480" w:firstLineChars="200"/>
              <w:rPr>
                <w:rFonts w:hint="eastAsia"/>
                <w:color w:val="000000"/>
                <w:sz w:val="24"/>
              </w:rPr>
            </w:pPr>
          </w:p>
          <w:p w14:paraId="375EDDD3">
            <w:pPr>
              <w:ind w:firstLine="480" w:firstLineChars="200"/>
              <w:rPr>
                <w:rFonts w:hint="eastAsia"/>
                <w:color w:val="000000"/>
                <w:sz w:val="24"/>
              </w:rPr>
            </w:pPr>
          </w:p>
          <w:p w14:paraId="4B8AE035">
            <w:pPr>
              <w:ind w:firstLine="480" w:firstLineChars="200"/>
              <w:rPr>
                <w:rFonts w:hint="eastAsia"/>
                <w:color w:val="000000"/>
                <w:sz w:val="24"/>
              </w:rPr>
            </w:pPr>
          </w:p>
          <w:p w14:paraId="65173030">
            <w:pPr>
              <w:ind w:firstLine="480" w:firstLineChars="200"/>
              <w:rPr>
                <w:rFonts w:hint="eastAsia"/>
                <w:color w:val="000000"/>
                <w:sz w:val="24"/>
              </w:rPr>
            </w:pPr>
          </w:p>
          <w:p w14:paraId="7473D02B">
            <w:pPr>
              <w:ind w:firstLine="480" w:firstLineChars="200"/>
              <w:rPr>
                <w:rFonts w:hint="eastAsia"/>
                <w:color w:val="000000"/>
                <w:sz w:val="24"/>
              </w:rPr>
            </w:pPr>
          </w:p>
          <w:p w14:paraId="64ED27BA">
            <w:pPr>
              <w:ind w:firstLine="480" w:firstLineChars="200"/>
              <w:rPr>
                <w:rFonts w:hint="eastAsia"/>
                <w:color w:val="000000"/>
                <w:sz w:val="24"/>
              </w:rPr>
            </w:pPr>
          </w:p>
          <w:p w14:paraId="3269E2BA">
            <w:pPr>
              <w:ind w:firstLine="480" w:firstLineChars="200"/>
              <w:rPr>
                <w:rFonts w:hint="eastAsia"/>
                <w:color w:val="000000"/>
                <w:sz w:val="24"/>
              </w:rPr>
            </w:pPr>
          </w:p>
          <w:p w14:paraId="3BF6C391">
            <w:pPr>
              <w:ind w:firstLine="480" w:firstLineChars="200"/>
              <w:rPr>
                <w:rFonts w:hint="eastAsia"/>
                <w:color w:val="000000"/>
                <w:sz w:val="24"/>
              </w:rPr>
            </w:pPr>
          </w:p>
          <w:p w14:paraId="447C2EB6">
            <w:pPr>
              <w:ind w:firstLine="480" w:firstLineChars="200"/>
              <w:rPr>
                <w:rFonts w:hint="eastAsia"/>
                <w:color w:val="000000"/>
                <w:sz w:val="24"/>
              </w:rPr>
            </w:pPr>
          </w:p>
          <w:p w14:paraId="0FE64CDC">
            <w:pPr>
              <w:ind w:firstLine="480" w:firstLineChars="200"/>
              <w:rPr>
                <w:rFonts w:hint="eastAsia"/>
                <w:color w:val="000000"/>
                <w:sz w:val="24"/>
              </w:rPr>
            </w:pPr>
          </w:p>
          <w:p w14:paraId="5A8D60F8">
            <w:pPr>
              <w:ind w:firstLine="480" w:firstLineChars="200"/>
              <w:rPr>
                <w:rFonts w:hint="eastAsia"/>
                <w:color w:val="000000"/>
                <w:sz w:val="24"/>
              </w:rPr>
            </w:pPr>
          </w:p>
          <w:p w14:paraId="45A1A081">
            <w:pPr>
              <w:ind w:firstLine="480" w:firstLineChars="200"/>
              <w:rPr>
                <w:rFonts w:hint="eastAsia"/>
                <w:color w:val="000000"/>
                <w:sz w:val="24"/>
              </w:rPr>
            </w:pPr>
          </w:p>
          <w:p w14:paraId="56669415">
            <w:pPr>
              <w:ind w:firstLine="480" w:firstLineChars="200"/>
              <w:rPr>
                <w:rFonts w:hint="eastAsia"/>
                <w:color w:val="000000"/>
                <w:sz w:val="24"/>
              </w:rPr>
            </w:pPr>
          </w:p>
          <w:p w14:paraId="10E5FF78">
            <w:pPr>
              <w:jc w:val="center"/>
              <w:rPr>
                <w:rFonts w:hint="eastAsia" w:ascii="黑体" w:hAnsi="黑体" w:eastAsia="黑体"/>
                <w:color w:val="000000"/>
                <w:sz w:val="24"/>
              </w:rPr>
            </w:pPr>
            <w:r>
              <w:rPr>
                <w:rFonts w:hint="eastAsia" w:ascii="黑体" w:hAnsi="黑体" w:eastAsia="黑体"/>
                <w:color w:val="000000"/>
                <w:sz w:val="24"/>
              </w:rPr>
              <w:t>图11  评价区土地利用类型分布图</w:t>
            </w:r>
          </w:p>
          <w:p w14:paraId="7C045E9E">
            <w:pPr>
              <w:ind w:firstLine="480" w:firstLineChars="200"/>
              <w:rPr>
                <w:rFonts w:hint="eastAsia"/>
                <w:color w:val="000000"/>
                <w:sz w:val="24"/>
              </w:rPr>
            </w:pPr>
            <w:r>
              <w:rPr>
                <w:rFonts w:hint="eastAsia"/>
                <w:color w:val="000000"/>
                <w:sz w:val="24"/>
              </w:rPr>
              <w:t>从图11及表17可看出，评价区范围内各土地利用类型生态调查总面积为15532.22hm</w:t>
            </w:r>
            <w:r>
              <w:rPr>
                <w:rFonts w:hint="eastAsia"/>
                <w:color w:val="000000"/>
                <w:sz w:val="24"/>
                <w:vertAlign w:val="superscript"/>
              </w:rPr>
              <w:t>2</w:t>
            </w:r>
            <w:r>
              <w:rPr>
                <w:rFonts w:hint="eastAsia"/>
                <w:color w:val="000000"/>
                <w:sz w:val="24"/>
              </w:rPr>
              <w:t>，其中以天然牧草地为主，面积为14799.17hm</w:t>
            </w:r>
            <w:r>
              <w:rPr>
                <w:rFonts w:hint="eastAsia"/>
                <w:color w:val="000000"/>
                <w:sz w:val="24"/>
                <w:vertAlign w:val="superscript"/>
              </w:rPr>
              <w:t>2</w:t>
            </w:r>
            <w:r>
              <w:rPr>
                <w:rFonts w:hint="eastAsia"/>
                <w:color w:val="000000"/>
                <w:sz w:val="24"/>
              </w:rPr>
              <w:t>，占评价区总面积的95.28%；工业用地面积为11.89hm</w:t>
            </w:r>
            <w:r>
              <w:rPr>
                <w:rFonts w:hint="eastAsia"/>
                <w:color w:val="000000"/>
                <w:sz w:val="24"/>
                <w:vertAlign w:val="superscript"/>
              </w:rPr>
              <w:t>2</w:t>
            </w:r>
            <w:r>
              <w:rPr>
                <w:rFonts w:hint="eastAsia"/>
                <w:color w:val="000000"/>
                <w:sz w:val="24"/>
              </w:rPr>
              <w:t>，占评价区总面积的0.08%；农村宅基地面积为25.89hm</w:t>
            </w:r>
            <w:r>
              <w:rPr>
                <w:rFonts w:hint="eastAsia"/>
                <w:color w:val="000000"/>
                <w:sz w:val="24"/>
                <w:vertAlign w:val="superscript"/>
              </w:rPr>
              <w:t>2</w:t>
            </w:r>
            <w:r>
              <w:rPr>
                <w:rFonts w:hint="eastAsia"/>
                <w:color w:val="000000"/>
                <w:sz w:val="24"/>
              </w:rPr>
              <w:t>，占评价区总面积的0.17%；农村道路面积为24.66hm</w:t>
            </w:r>
            <w:r>
              <w:rPr>
                <w:rFonts w:hint="eastAsia"/>
                <w:color w:val="000000"/>
                <w:sz w:val="24"/>
                <w:vertAlign w:val="superscript"/>
              </w:rPr>
              <w:t>2</w:t>
            </w:r>
            <w:r>
              <w:rPr>
                <w:rFonts w:hint="eastAsia"/>
                <w:color w:val="000000"/>
                <w:sz w:val="24"/>
              </w:rPr>
              <w:t>，占评价区总面积的0.16%；时令干沟面积为85.08hm</w:t>
            </w:r>
            <w:r>
              <w:rPr>
                <w:rFonts w:hint="eastAsia"/>
                <w:color w:val="000000"/>
                <w:sz w:val="24"/>
                <w:vertAlign w:val="superscript"/>
              </w:rPr>
              <w:t>2</w:t>
            </w:r>
            <w:r>
              <w:rPr>
                <w:rFonts w:hint="eastAsia"/>
                <w:color w:val="000000"/>
                <w:sz w:val="24"/>
              </w:rPr>
              <w:t>，占评价区总面积的0.55%；内陆滩涂面积为585.53hm</w:t>
            </w:r>
            <w:r>
              <w:rPr>
                <w:rFonts w:hint="eastAsia"/>
                <w:color w:val="000000"/>
                <w:sz w:val="24"/>
                <w:vertAlign w:val="superscript"/>
              </w:rPr>
              <w:t>2</w:t>
            </w:r>
            <w:r>
              <w:rPr>
                <w:rFonts w:hint="eastAsia"/>
                <w:color w:val="000000"/>
                <w:sz w:val="24"/>
              </w:rPr>
              <w:t>，占评价区总面积的3.77%。</w:t>
            </w:r>
          </w:p>
          <w:p w14:paraId="2334EB3A">
            <w:pPr>
              <w:ind w:firstLine="480" w:firstLineChars="200"/>
              <w:rPr>
                <w:rFonts w:hint="eastAsia"/>
                <w:color w:val="000000"/>
                <w:sz w:val="24"/>
              </w:rPr>
            </w:pPr>
            <w:r>
              <w:rPr>
                <w:rFonts w:hint="eastAsia"/>
                <w:color w:val="000000"/>
                <w:sz w:val="24"/>
              </w:rPr>
              <w:t>风电场区域土地利用类型以天然牧草地为主，分布面积为9604.15hm</w:t>
            </w:r>
            <w:r>
              <w:rPr>
                <w:rFonts w:hint="eastAsia"/>
                <w:color w:val="000000"/>
                <w:sz w:val="24"/>
                <w:vertAlign w:val="superscript"/>
              </w:rPr>
              <w:t>2</w:t>
            </w:r>
            <w:r>
              <w:rPr>
                <w:rFonts w:hint="eastAsia"/>
                <w:color w:val="000000"/>
                <w:sz w:val="24"/>
              </w:rPr>
              <w:t>，占评价区总面积的61.83%；农村宅基地面积为12.48hm</w:t>
            </w:r>
            <w:r>
              <w:rPr>
                <w:rFonts w:hint="eastAsia"/>
                <w:color w:val="000000"/>
                <w:sz w:val="24"/>
                <w:vertAlign w:val="superscript"/>
              </w:rPr>
              <w:t>2</w:t>
            </w:r>
            <w:r>
              <w:rPr>
                <w:rFonts w:hint="eastAsia"/>
                <w:color w:val="000000"/>
                <w:sz w:val="24"/>
              </w:rPr>
              <w:t>，占评价区总面积的0.08%；时令干沟面积为58.51hm</w:t>
            </w:r>
            <w:r>
              <w:rPr>
                <w:rFonts w:hint="eastAsia"/>
                <w:color w:val="000000"/>
                <w:sz w:val="24"/>
                <w:vertAlign w:val="superscript"/>
              </w:rPr>
              <w:t>2</w:t>
            </w:r>
            <w:r>
              <w:rPr>
                <w:rFonts w:hint="eastAsia"/>
                <w:color w:val="000000"/>
                <w:sz w:val="24"/>
              </w:rPr>
              <w:t>，占评价区总面积的0.38%；内陆滩涂面积为451.02hm</w:t>
            </w:r>
            <w:r>
              <w:rPr>
                <w:rFonts w:hint="eastAsia"/>
                <w:color w:val="000000"/>
                <w:sz w:val="24"/>
                <w:vertAlign w:val="superscript"/>
              </w:rPr>
              <w:t>2</w:t>
            </w:r>
            <w:r>
              <w:rPr>
                <w:rFonts w:hint="eastAsia"/>
                <w:color w:val="000000"/>
                <w:sz w:val="24"/>
              </w:rPr>
              <w:t>，占评价区总面积的2.90%。</w:t>
            </w:r>
          </w:p>
          <w:p w14:paraId="6D895ECB">
            <w:pPr>
              <w:ind w:firstLine="480" w:firstLineChars="200"/>
              <w:rPr>
                <w:rFonts w:hint="eastAsia"/>
                <w:color w:val="000000"/>
                <w:sz w:val="24"/>
              </w:rPr>
            </w:pPr>
            <w:r>
              <w:rPr>
                <w:rFonts w:hint="eastAsia"/>
                <w:color w:val="000000"/>
                <w:sz w:val="24"/>
              </w:rPr>
              <w:t>（5）土壤侵蚀现状与评价</w:t>
            </w:r>
          </w:p>
          <w:p w14:paraId="252F496F">
            <w:pPr>
              <w:ind w:firstLine="480" w:firstLineChars="200"/>
              <w:rPr>
                <w:rFonts w:hint="eastAsia"/>
                <w:color w:val="000000"/>
                <w:sz w:val="24"/>
              </w:rPr>
            </w:pPr>
            <w:r>
              <w:rPr>
                <w:rFonts w:hint="eastAsia"/>
                <w:color w:val="000000"/>
                <w:sz w:val="24"/>
              </w:rPr>
              <w:t>根据遥感影像解译结果，评价区内土壤侵蚀类型包括风力侵蚀、水力侵蚀、其他共3类，土壤侵蚀分布见图12，土壤侵蚀统计见表18。</w:t>
            </w:r>
          </w:p>
          <w:p w14:paraId="60945922">
            <w:pPr>
              <w:ind w:firstLine="480" w:firstLineChars="200"/>
              <w:rPr>
                <w:rFonts w:hint="eastAsia" w:ascii="黑体" w:hAnsi="黑体" w:eastAsia="黑体"/>
                <w:color w:val="000000"/>
                <w:sz w:val="24"/>
              </w:rPr>
            </w:pPr>
            <w:r>
              <w:rPr>
                <w:rFonts w:hint="eastAsia" w:ascii="黑体" w:hAnsi="黑体" w:eastAsia="黑体"/>
                <w:color w:val="000000"/>
                <w:sz w:val="24"/>
              </w:rPr>
              <w:t>表18                 评价范围内土壤侵蚀统计</w:t>
            </w:r>
          </w:p>
          <w:tbl>
            <w:tblPr>
              <w:tblStyle w:val="25"/>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28" w:type="dxa"/>
                <w:bottom w:w="0" w:type="dxa"/>
                <w:right w:w="28" w:type="dxa"/>
              </w:tblCellMar>
            </w:tblPr>
            <w:tblGrid>
              <w:gridCol w:w="999"/>
              <w:gridCol w:w="2573"/>
              <w:gridCol w:w="2516"/>
              <w:gridCol w:w="896"/>
              <w:gridCol w:w="913"/>
              <w:gridCol w:w="892"/>
            </w:tblGrid>
            <w:tr w14:paraId="2DEA30B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Merge w:val="restart"/>
                  <w:vAlign w:val="center"/>
                </w:tcPr>
                <w:p w14:paraId="21CF24AC">
                  <w:pPr>
                    <w:pStyle w:val="111"/>
                    <w:spacing w:line="240" w:lineRule="auto"/>
                    <w:ind w:left="-105" w:leftChars="-50" w:right="-105" w:rightChars="-50" w:firstLine="0" w:firstLineChars="0"/>
                    <w:jc w:val="center"/>
                    <w:rPr>
                      <w:rFonts w:hint="eastAsia"/>
                      <w:bCs/>
                      <w:snapToGrid w:val="0"/>
                      <w:kern w:val="24"/>
                      <w:sz w:val="21"/>
                      <w:szCs w:val="21"/>
                      <w:lang w:val="pt-BR"/>
                    </w:rPr>
                  </w:pPr>
                  <w:r>
                    <w:rPr>
                      <w:rFonts w:hint="eastAsia"/>
                      <w:bCs/>
                      <w:snapToGrid w:val="0"/>
                      <w:kern w:val="24"/>
                      <w:sz w:val="21"/>
                      <w:szCs w:val="21"/>
                      <w:lang w:val="pt-BR"/>
                    </w:rPr>
                    <w:t>区域</w:t>
                  </w:r>
                </w:p>
                <w:p w14:paraId="33E608A0">
                  <w:pPr>
                    <w:spacing w:line="0" w:lineRule="atLeast"/>
                    <w:jc w:val="center"/>
                    <w:rPr>
                      <w:rFonts w:hint="eastAsia"/>
                    </w:rPr>
                  </w:pPr>
                  <w:r>
                    <w:rPr>
                      <w:rFonts w:hint="eastAsia"/>
                      <w:bCs/>
                      <w:snapToGrid w:val="0"/>
                      <w:kern w:val="24"/>
                      <w:szCs w:val="21"/>
                      <w:lang w:val="pt-BR"/>
                    </w:rPr>
                    <w:t>名称</w:t>
                  </w:r>
                </w:p>
              </w:tc>
              <w:tc>
                <w:tcPr>
                  <w:tcW w:w="5089" w:type="dxa"/>
                  <w:gridSpan w:val="2"/>
                  <w:vAlign w:val="center"/>
                </w:tcPr>
                <w:p w14:paraId="18FB71BC">
                  <w:pPr>
                    <w:spacing w:line="0" w:lineRule="atLeast"/>
                    <w:ind w:left="-105" w:leftChars="-50" w:right="-105" w:rightChars="-50"/>
                    <w:jc w:val="center"/>
                    <w:rPr>
                      <w:rFonts w:hint="eastAsia"/>
                      <w:color w:val="000000"/>
                      <w:szCs w:val="21"/>
                    </w:rPr>
                  </w:pPr>
                  <w:r>
                    <w:rPr>
                      <w:rFonts w:hint="eastAsia"/>
                      <w:bCs/>
                      <w:snapToGrid w:val="0"/>
                      <w:kern w:val="24"/>
                      <w:szCs w:val="21"/>
                      <w:lang w:val="pt-BR"/>
                    </w:rPr>
                    <w:t>土壤侵蚀</w:t>
                  </w:r>
                  <w:r>
                    <w:rPr>
                      <w:bCs/>
                      <w:snapToGrid w:val="0"/>
                      <w:kern w:val="24"/>
                      <w:szCs w:val="21"/>
                      <w:lang w:val="pt-BR"/>
                    </w:rPr>
                    <w:t>类型</w:t>
                  </w:r>
                  <w:r>
                    <w:rPr>
                      <w:rFonts w:hint="eastAsia"/>
                      <w:bCs/>
                      <w:snapToGrid w:val="0"/>
                      <w:kern w:val="24"/>
                      <w:szCs w:val="21"/>
                      <w:lang w:val="pt-BR"/>
                    </w:rPr>
                    <w:t>与程度</w:t>
                  </w:r>
                </w:p>
              </w:tc>
              <w:tc>
                <w:tcPr>
                  <w:tcW w:w="896" w:type="dxa"/>
                  <w:vMerge w:val="restart"/>
                  <w:vAlign w:val="center"/>
                </w:tcPr>
                <w:p w14:paraId="4E7ACB55">
                  <w:pPr>
                    <w:pStyle w:val="111"/>
                    <w:spacing w:line="240" w:lineRule="auto"/>
                    <w:ind w:firstLine="0" w:firstLineChars="0"/>
                    <w:jc w:val="center"/>
                    <w:rPr>
                      <w:rFonts w:hint="eastAsia"/>
                      <w:bCs/>
                      <w:snapToGrid w:val="0"/>
                      <w:kern w:val="24"/>
                      <w:sz w:val="21"/>
                      <w:szCs w:val="21"/>
                      <w:lang w:val="pt-BR"/>
                    </w:rPr>
                  </w:pPr>
                  <w:r>
                    <w:rPr>
                      <w:rFonts w:hint="eastAsia"/>
                      <w:bCs/>
                      <w:snapToGrid w:val="0"/>
                      <w:kern w:val="24"/>
                      <w:sz w:val="21"/>
                      <w:szCs w:val="21"/>
                      <w:lang w:val="pt-BR"/>
                    </w:rPr>
                    <w:t>斑块数</w:t>
                  </w:r>
                </w:p>
                <w:p w14:paraId="2A0F20E7">
                  <w:pPr>
                    <w:spacing w:line="0" w:lineRule="atLeast"/>
                    <w:ind w:left="-105" w:leftChars="-50" w:right="-105" w:rightChars="-50"/>
                    <w:jc w:val="center"/>
                    <w:rPr>
                      <w:color w:val="000000"/>
                      <w:szCs w:val="21"/>
                    </w:rPr>
                  </w:pPr>
                  <w:r>
                    <w:rPr>
                      <w:rFonts w:hint="eastAsia"/>
                      <w:bCs/>
                      <w:snapToGrid w:val="0"/>
                      <w:kern w:val="24"/>
                      <w:szCs w:val="21"/>
                      <w:lang w:val="pt-BR"/>
                    </w:rPr>
                    <w:t>（个）</w:t>
                  </w:r>
                </w:p>
              </w:tc>
              <w:tc>
                <w:tcPr>
                  <w:tcW w:w="913" w:type="dxa"/>
                  <w:vMerge w:val="restart"/>
                  <w:vAlign w:val="center"/>
                </w:tcPr>
                <w:p w14:paraId="61080C98">
                  <w:pPr>
                    <w:pStyle w:val="111"/>
                    <w:spacing w:line="240" w:lineRule="auto"/>
                    <w:ind w:firstLine="0" w:firstLineChars="0"/>
                    <w:jc w:val="center"/>
                    <w:rPr>
                      <w:rFonts w:hint="eastAsia"/>
                      <w:bCs/>
                      <w:snapToGrid w:val="0"/>
                      <w:kern w:val="24"/>
                      <w:sz w:val="21"/>
                      <w:szCs w:val="21"/>
                      <w:lang w:val="pt-BR"/>
                    </w:rPr>
                  </w:pPr>
                  <w:r>
                    <w:rPr>
                      <w:rFonts w:hint="eastAsia"/>
                      <w:bCs/>
                      <w:snapToGrid w:val="0"/>
                      <w:kern w:val="24"/>
                      <w:sz w:val="21"/>
                      <w:szCs w:val="21"/>
                      <w:lang w:val="pt-BR"/>
                    </w:rPr>
                    <w:t>面积</w:t>
                  </w:r>
                </w:p>
                <w:p w14:paraId="56362D38">
                  <w:pPr>
                    <w:spacing w:line="0" w:lineRule="atLeast"/>
                    <w:ind w:left="-105" w:leftChars="-50" w:right="-105" w:rightChars="-50"/>
                    <w:jc w:val="center"/>
                    <w:rPr>
                      <w:color w:val="000000"/>
                      <w:szCs w:val="21"/>
                    </w:rPr>
                  </w:pPr>
                  <w:r>
                    <w:rPr>
                      <w:rFonts w:hint="eastAsia"/>
                      <w:bCs/>
                      <w:snapToGrid w:val="0"/>
                      <w:kern w:val="24"/>
                      <w:szCs w:val="21"/>
                      <w:lang w:val="pt-BR"/>
                    </w:rPr>
                    <w:t>（hm</w:t>
                  </w:r>
                  <w:r>
                    <w:rPr>
                      <w:rFonts w:hint="eastAsia"/>
                      <w:bCs/>
                      <w:snapToGrid w:val="0"/>
                      <w:kern w:val="24"/>
                      <w:szCs w:val="21"/>
                      <w:vertAlign w:val="superscript"/>
                      <w:lang w:val="pt-BR"/>
                    </w:rPr>
                    <w:t>2</w:t>
                  </w:r>
                  <w:r>
                    <w:rPr>
                      <w:rFonts w:hint="eastAsia"/>
                      <w:bCs/>
                      <w:snapToGrid w:val="0"/>
                      <w:kern w:val="24"/>
                      <w:szCs w:val="21"/>
                      <w:lang w:val="pt-BR"/>
                    </w:rPr>
                    <w:t>）</w:t>
                  </w:r>
                </w:p>
              </w:tc>
              <w:tc>
                <w:tcPr>
                  <w:tcW w:w="892" w:type="dxa"/>
                  <w:vMerge w:val="restart"/>
                  <w:vAlign w:val="center"/>
                </w:tcPr>
                <w:p w14:paraId="17F64191">
                  <w:pPr>
                    <w:pStyle w:val="111"/>
                    <w:spacing w:line="240" w:lineRule="auto"/>
                    <w:ind w:firstLine="0" w:firstLineChars="0"/>
                    <w:jc w:val="center"/>
                    <w:rPr>
                      <w:rFonts w:hint="eastAsia"/>
                      <w:bCs/>
                      <w:snapToGrid w:val="0"/>
                      <w:kern w:val="24"/>
                      <w:sz w:val="21"/>
                      <w:szCs w:val="21"/>
                      <w:lang w:val="pt-BR"/>
                    </w:rPr>
                  </w:pPr>
                  <w:r>
                    <w:rPr>
                      <w:rFonts w:hint="eastAsia"/>
                      <w:bCs/>
                      <w:snapToGrid w:val="0"/>
                      <w:kern w:val="24"/>
                      <w:sz w:val="21"/>
                      <w:szCs w:val="21"/>
                      <w:lang w:val="pt-BR"/>
                    </w:rPr>
                    <w:t>比例</w:t>
                  </w:r>
                </w:p>
                <w:p w14:paraId="619421BC">
                  <w:pPr>
                    <w:spacing w:line="0" w:lineRule="atLeast"/>
                    <w:ind w:left="-105" w:leftChars="-50" w:right="-105" w:rightChars="-50"/>
                    <w:jc w:val="center"/>
                    <w:rPr>
                      <w:rFonts w:hint="eastAsia"/>
                      <w:color w:val="000000"/>
                      <w:szCs w:val="21"/>
                    </w:rPr>
                  </w:pPr>
                  <w:r>
                    <w:rPr>
                      <w:rFonts w:hint="eastAsia"/>
                      <w:bCs/>
                      <w:snapToGrid w:val="0"/>
                      <w:kern w:val="24"/>
                      <w:szCs w:val="21"/>
                      <w:lang w:val="pt-BR"/>
                    </w:rPr>
                    <w:t>（%）</w:t>
                  </w:r>
                </w:p>
              </w:tc>
            </w:tr>
            <w:tr w14:paraId="6B38000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Merge w:val="continue"/>
                  <w:vAlign w:val="center"/>
                </w:tcPr>
                <w:p w14:paraId="79C4C89C">
                  <w:pPr>
                    <w:spacing w:line="0" w:lineRule="atLeast"/>
                    <w:jc w:val="center"/>
                    <w:rPr>
                      <w:rFonts w:hint="eastAsia"/>
                    </w:rPr>
                  </w:pPr>
                </w:p>
              </w:tc>
              <w:tc>
                <w:tcPr>
                  <w:tcW w:w="2573" w:type="dxa"/>
                  <w:vAlign w:val="center"/>
                </w:tcPr>
                <w:p w14:paraId="640EDE0C">
                  <w:pPr>
                    <w:spacing w:line="0" w:lineRule="atLeast"/>
                    <w:ind w:left="-105" w:leftChars="-50" w:right="-105" w:rightChars="-50"/>
                    <w:jc w:val="center"/>
                    <w:rPr>
                      <w:color w:val="000000"/>
                      <w:szCs w:val="21"/>
                    </w:rPr>
                  </w:pPr>
                  <w:r>
                    <w:rPr>
                      <w:rFonts w:hint="eastAsia"/>
                      <w:bCs/>
                      <w:snapToGrid w:val="0"/>
                      <w:kern w:val="24"/>
                      <w:szCs w:val="21"/>
                      <w:lang w:val="pt-BR"/>
                    </w:rPr>
                    <w:t>一级</w:t>
                  </w:r>
                </w:p>
              </w:tc>
              <w:tc>
                <w:tcPr>
                  <w:tcW w:w="2516" w:type="dxa"/>
                  <w:vAlign w:val="center"/>
                </w:tcPr>
                <w:p w14:paraId="360A7843">
                  <w:pPr>
                    <w:spacing w:line="0" w:lineRule="atLeast"/>
                    <w:ind w:left="-105" w:leftChars="-50" w:right="-105" w:rightChars="-50"/>
                    <w:jc w:val="center"/>
                    <w:rPr>
                      <w:color w:val="000000"/>
                      <w:szCs w:val="21"/>
                    </w:rPr>
                  </w:pPr>
                  <w:r>
                    <w:rPr>
                      <w:rFonts w:hint="eastAsia"/>
                      <w:bCs/>
                      <w:snapToGrid w:val="0"/>
                      <w:kern w:val="24"/>
                      <w:szCs w:val="21"/>
                      <w:lang w:val="pt-BR"/>
                    </w:rPr>
                    <w:t>二级</w:t>
                  </w:r>
                </w:p>
              </w:tc>
              <w:tc>
                <w:tcPr>
                  <w:tcW w:w="896" w:type="dxa"/>
                  <w:vMerge w:val="continue"/>
                  <w:vAlign w:val="center"/>
                </w:tcPr>
                <w:p w14:paraId="31F69521">
                  <w:pPr>
                    <w:spacing w:line="0" w:lineRule="atLeast"/>
                    <w:ind w:left="-105" w:leftChars="-50" w:right="-105" w:rightChars="-50"/>
                    <w:jc w:val="center"/>
                    <w:rPr>
                      <w:color w:val="000000"/>
                      <w:szCs w:val="21"/>
                    </w:rPr>
                  </w:pPr>
                </w:p>
              </w:tc>
              <w:tc>
                <w:tcPr>
                  <w:tcW w:w="913" w:type="dxa"/>
                  <w:vMerge w:val="continue"/>
                  <w:vAlign w:val="center"/>
                </w:tcPr>
                <w:p w14:paraId="20CA619E">
                  <w:pPr>
                    <w:spacing w:line="0" w:lineRule="atLeast"/>
                    <w:ind w:left="-105" w:leftChars="-50" w:right="-105" w:rightChars="-50"/>
                    <w:jc w:val="center"/>
                    <w:rPr>
                      <w:color w:val="000000"/>
                      <w:szCs w:val="21"/>
                    </w:rPr>
                  </w:pPr>
                </w:p>
              </w:tc>
              <w:tc>
                <w:tcPr>
                  <w:tcW w:w="892" w:type="dxa"/>
                  <w:vMerge w:val="continue"/>
                  <w:vAlign w:val="center"/>
                </w:tcPr>
                <w:p w14:paraId="70BD2D1B">
                  <w:pPr>
                    <w:spacing w:line="0" w:lineRule="atLeast"/>
                    <w:ind w:left="-105" w:leftChars="-50" w:right="-105" w:rightChars="-50"/>
                    <w:jc w:val="center"/>
                    <w:rPr>
                      <w:rFonts w:hint="eastAsia"/>
                      <w:color w:val="000000"/>
                      <w:szCs w:val="21"/>
                    </w:rPr>
                  </w:pPr>
                </w:p>
              </w:tc>
            </w:tr>
            <w:tr w14:paraId="09AAB48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Merge w:val="restart"/>
                  <w:vAlign w:val="center"/>
                </w:tcPr>
                <w:p w14:paraId="29B82791">
                  <w:pPr>
                    <w:spacing w:line="0" w:lineRule="atLeast"/>
                    <w:jc w:val="center"/>
                    <w:rPr>
                      <w:rFonts w:hint="eastAsia"/>
                    </w:rPr>
                  </w:pPr>
                  <w:r>
                    <w:rPr>
                      <w:rFonts w:hint="eastAsia"/>
                      <w:bCs/>
                      <w:snapToGrid w:val="0"/>
                      <w:kern w:val="24"/>
                      <w:szCs w:val="21"/>
                      <w:lang w:val="pt-BR"/>
                    </w:rPr>
                    <w:t>评价区</w:t>
                  </w:r>
                </w:p>
              </w:tc>
              <w:tc>
                <w:tcPr>
                  <w:tcW w:w="2573" w:type="dxa"/>
                  <w:vAlign w:val="center"/>
                </w:tcPr>
                <w:p w14:paraId="1109E45C">
                  <w:pPr>
                    <w:spacing w:line="0" w:lineRule="atLeast"/>
                    <w:ind w:left="-105" w:leftChars="-50" w:right="-105" w:rightChars="-50"/>
                    <w:jc w:val="center"/>
                    <w:rPr>
                      <w:color w:val="000000"/>
                      <w:szCs w:val="21"/>
                    </w:rPr>
                  </w:pPr>
                  <w:r>
                    <w:rPr>
                      <w:rFonts w:hint="eastAsia"/>
                      <w:color w:val="000000"/>
                      <w:szCs w:val="21"/>
                    </w:rPr>
                    <w:t>风力侵蚀</w:t>
                  </w:r>
                </w:p>
              </w:tc>
              <w:tc>
                <w:tcPr>
                  <w:tcW w:w="2516" w:type="dxa"/>
                  <w:vAlign w:val="center"/>
                </w:tcPr>
                <w:p w14:paraId="6E6D3FF0">
                  <w:pPr>
                    <w:spacing w:line="0" w:lineRule="atLeast"/>
                    <w:ind w:left="-105" w:leftChars="-50" w:right="-105" w:rightChars="-50"/>
                    <w:jc w:val="center"/>
                    <w:rPr>
                      <w:color w:val="000000"/>
                      <w:szCs w:val="21"/>
                    </w:rPr>
                  </w:pPr>
                  <w:r>
                    <w:rPr>
                      <w:rFonts w:hint="eastAsia"/>
                      <w:color w:val="000000"/>
                      <w:szCs w:val="21"/>
                    </w:rPr>
                    <w:t>中度风侵</w:t>
                  </w:r>
                </w:p>
              </w:tc>
              <w:tc>
                <w:tcPr>
                  <w:tcW w:w="896" w:type="dxa"/>
                  <w:vAlign w:val="center"/>
                </w:tcPr>
                <w:p w14:paraId="3356A849">
                  <w:pPr>
                    <w:spacing w:line="0" w:lineRule="atLeast"/>
                    <w:ind w:left="-105" w:leftChars="-50" w:right="-105" w:rightChars="-50"/>
                    <w:jc w:val="center"/>
                    <w:rPr>
                      <w:color w:val="000000"/>
                      <w:szCs w:val="21"/>
                    </w:rPr>
                  </w:pPr>
                  <w:r>
                    <w:rPr>
                      <w:rFonts w:hint="eastAsia"/>
                      <w:color w:val="000000"/>
                      <w:szCs w:val="21"/>
                    </w:rPr>
                    <w:t>7</w:t>
                  </w:r>
                </w:p>
              </w:tc>
              <w:tc>
                <w:tcPr>
                  <w:tcW w:w="913" w:type="dxa"/>
                  <w:vAlign w:val="center"/>
                </w:tcPr>
                <w:p w14:paraId="1599A752">
                  <w:pPr>
                    <w:spacing w:line="0" w:lineRule="atLeast"/>
                    <w:ind w:left="-105" w:leftChars="-50" w:right="-105" w:rightChars="-50"/>
                    <w:jc w:val="center"/>
                    <w:rPr>
                      <w:color w:val="000000"/>
                      <w:szCs w:val="21"/>
                    </w:rPr>
                  </w:pPr>
                  <w:r>
                    <w:rPr>
                      <w:rFonts w:hint="eastAsia"/>
                      <w:color w:val="000000"/>
                      <w:szCs w:val="21"/>
                    </w:rPr>
                    <w:t xml:space="preserve">14799.17 </w:t>
                  </w:r>
                </w:p>
              </w:tc>
              <w:tc>
                <w:tcPr>
                  <w:tcW w:w="892" w:type="dxa"/>
                  <w:vAlign w:val="center"/>
                </w:tcPr>
                <w:p w14:paraId="28DFA263">
                  <w:pPr>
                    <w:spacing w:line="0" w:lineRule="atLeast"/>
                    <w:ind w:left="-105" w:leftChars="-50" w:right="-105" w:rightChars="-50"/>
                    <w:jc w:val="center"/>
                    <w:rPr>
                      <w:color w:val="000000"/>
                      <w:szCs w:val="21"/>
                    </w:rPr>
                  </w:pPr>
                  <w:r>
                    <w:rPr>
                      <w:rFonts w:hint="eastAsia"/>
                      <w:color w:val="000000"/>
                      <w:szCs w:val="21"/>
                    </w:rPr>
                    <w:t xml:space="preserve">95.28 </w:t>
                  </w:r>
                </w:p>
              </w:tc>
            </w:tr>
            <w:tr w14:paraId="5F94865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Merge w:val="continue"/>
                  <w:vAlign w:val="center"/>
                </w:tcPr>
                <w:p w14:paraId="064F0868">
                  <w:pPr>
                    <w:spacing w:line="0" w:lineRule="atLeast"/>
                    <w:jc w:val="center"/>
                    <w:rPr>
                      <w:rFonts w:hint="eastAsia"/>
                      <w:bCs/>
                      <w:snapToGrid w:val="0"/>
                      <w:kern w:val="24"/>
                      <w:szCs w:val="21"/>
                      <w:lang w:val="pt-BR"/>
                    </w:rPr>
                  </w:pPr>
                </w:p>
              </w:tc>
              <w:tc>
                <w:tcPr>
                  <w:tcW w:w="2573" w:type="dxa"/>
                  <w:vMerge w:val="restart"/>
                  <w:vAlign w:val="center"/>
                </w:tcPr>
                <w:p w14:paraId="056CECD8">
                  <w:pPr>
                    <w:spacing w:line="0" w:lineRule="atLeast"/>
                    <w:ind w:left="-105" w:leftChars="-50" w:right="-105" w:rightChars="-50"/>
                    <w:jc w:val="center"/>
                    <w:rPr>
                      <w:color w:val="000000"/>
                      <w:szCs w:val="21"/>
                    </w:rPr>
                  </w:pPr>
                  <w:r>
                    <w:rPr>
                      <w:rFonts w:hint="eastAsia"/>
                      <w:color w:val="000000"/>
                      <w:szCs w:val="21"/>
                    </w:rPr>
                    <w:t>水力侵蚀</w:t>
                  </w:r>
                </w:p>
              </w:tc>
              <w:tc>
                <w:tcPr>
                  <w:tcW w:w="2516" w:type="dxa"/>
                  <w:vAlign w:val="center"/>
                </w:tcPr>
                <w:p w14:paraId="37E06005">
                  <w:pPr>
                    <w:spacing w:line="0" w:lineRule="atLeast"/>
                    <w:ind w:left="-105" w:leftChars="-50" w:right="-105" w:rightChars="-50"/>
                    <w:jc w:val="center"/>
                    <w:rPr>
                      <w:color w:val="000000"/>
                      <w:szCs w:val="21"/>
                    </w:rPr>
                  </w:pPr>
                  <w:r>
                    <w:rPr>
                      <w:rFonts w:hint="eastAsia"/>
                      <w:color w:val="000000"/>
                      <w:szCs w:val="21"/>
                    </w:rPr>
                    <w:t>强烈水侵</w:t>
                  </w:r>
                </w:p>
              </w:tc>
              <w:tc>
                <w:tcPr>
                  <w:tcW w:w="896" w:type="dxa"/>
                  <w:vAlign w:val="center"/>
                </w:tcPr>
                <w:p w14:paraId="1EDD8E75">
                  <w:pPr>
                    <w:spacing w:line="0" w:lineRule="atLeast"/>
                    <w:ind w:left="-105" w:leftChars="-50" w:right="-105" w:rightChars="-50"/>
                    <w:jc w:val="center"/>
                    <w:rPr>
                      <w:color w:val="000000"/>
                      <w:szCs w:val="21"/>
                    </w:rPr>
                  </w:pPr>
                  <w:r>
                    <w:rPr>
                      <w:rFonts w:hint="eastAsia"/>
                      <w:color w:val="000000"/>
                      <w:szCs w:val="21"/>
                    </w:rPr>
                    <w:t>2</w:t>
                  </w:r>
                </w:p>
              </w:tc>
              <w:tc>
                <w:tcPr>
                  <w:tcW w:w="913" w:type="dxa"/>
                  <w:vAlign w:val="center"/>
                </w:tcPr>
                <w:p w14:paraId="1D549B63">
                  <w:pPr>
                    <w:spacing w:line="0" w:lineRule="atLeast"/>
                    <w:ind w:left="-105" w:leftChars="-50" w:right="-105" w:rightChars="-50"/>
                    <w:jc w:val="center"/>
                    <w:rPr>
                      <w:color w:val="000000"/>
                      <w:szCs w:val="21"/>
                    </w:rPr>
                  </w:pPr>
                  <w:r>
                    <w:rPr>
                      <w:rFonts w:hint="eastAsia"/>
                      <w:color w:val="000000"/>
                      <w:szCs w:val="21"/>
                    </w:rPr>
                    <w:t xml:space="preserve">85.08 </w:t>
                  </w:r>
                </w:p>
              </w:tc>
              <w:tc>
                <w:tcPr>
                  <w:tcW w:w="892" w:type="dxa"/>
                  <w:vAlign w:val="center"/>
                </w:tcPr>
                <w:p w14:paraId="19746EB9">
                  <w:pPr>
                    <w:spacing w:line="0" w:lineRule="atLeast"/>
                    <w:ind w:left="-105" w:leftChars="-50" w:right="-105" w:rightChars="-50"/>
                    <w:jc w:val="center"/>
                    <w:rPr>
                      <w:color w:val="000000"/>
                      <w:szCs w:val="21"/>
                    </w:rPr>
                  </w:pPr>
                  <w:r>
                    <w:rPr>
                      <w:rFonts w:hint="eastAsia"/>
                      <w:color w:val="000000"/>
                      <w:szCs w:val="21"/>
                    </w:rPr>
                    <w:t xml:space="preserve">0.55 </w:t>
                  </w:r>
                </w:p>
              </w:tc>
            </w:tr>
            <w:tr w14:paraId="3A69AE4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Merge w:val="continue"/>
                  <w:vAlign w:val="center"/>
                </w:tcPr>
                <w:p w14:paraId="1DB0E013">
                  <w:pPr>
                    <w:spacing w:line="0" w:lineRule="atLeast"/>
                    <w:jc w:val="center"/>
                    <w:rPr>
                      <w:rFonts w:hint="eastAsia"/>
                      <w:bCs/>
                      <w:snapToGrid w:val="0"/>
                      <w:kern w:val="24"/>
                      <w:szCs w:val="21"/>
                      <w:lang w:val="pt-BR"/>
                    </w:rPr>
                  </w:pPr>
                </w:p>
              </w:tc>
              <w:tc>
                <w:tcPr>
                  <w:tcW w:w="2573" w:type="dxa"/>
                  <w:vMerge w:val="continue"/>
                  <w:vAlign w:val="center"/>
                </w:tcPr>
                <w:p w14:paraId="6FEC379E">
                  <w:pPr>
                    <w:spacing w:line="0" w:lineRule="atLeast"/>
                    <w:ind w:left="-105" w:leftChars="-50" w:right="-105" w:rightChars="-50"/>
                    <w:jc w:val="center"/>
                    <w:rPr>
                      <w:color w:val="000000"/>
                      <w:szCs w:val="21"/>
                    </w:rPr>
                  </w:pPr>
                </w:p>
              </w:tc>
              <w:tc>
                <w:tcPr>
                  <w:tcW w:w="2516" w:type="dxa"/>
                  <w:vAlign w:val="center"/>
                </w:tcPr>
                <w:p w14:paraId="726295E3">
                  <w:pPr>
                    <w:spacing w:line="0" w:lineRule="atLeast"/>
                    <w:ind w:left="-105" w:leftChars="-50" w:right="-105" w:rightChars="-50"/>
                    <w:jc w:val="center"/>
                    <w:rPr>
                      <w:color w:val="000000"/>
                      <w:szCs w:val="21"/>
                    </w:rPr>
                  </w:pPr>
                  <w:r>
                    <w:rPr>
                      <w:rFonts w:hint="eastAsia"/>
                      <w:color w:val="000000"/>
                      <w:szCs w:val="21"/>
                    </w:rPr>
                    <w:t>中度水侵</w:t>
                  </w:r>
                </w:p>
              </w:tc>
              <w:tc>
                <w:tcPr>
                  <w:tcW w:w="896" w:type="dxa"/>
                  <w:vAlign w:val="center"/>
                </w:tcPr>
                <w:p w14:paraId="59FE5BDA">
                  <w:pPr>
                    <w:spacing w:line="0" w:lineRule="atLeast"/>
                    <w:ind w:left="-105" w:leftChars="-50" w:right="-105" w:rightChars="-50"/>
                    <w:jc w:val="center"/>
                    <w:rPr>
                      <w:color w:val="000000"/>
                      <w:szCs w:val="21"/>
                    </w:rPr>
                  </w:pPr>
                  <w:r>
                    <w:rPr>
                      <w:rFonts w:hint="eastAsia"/>
                      <w:color w:val="000000"/>
                      <w:szCs w:val="21"/>
                    </w:rPr>
                    <w:t>17</w:t>
                  </w:r>
                </w:p>
              </w:tc>
              <w:tc>
                <w:tcPr>
                  <w:tcW w:w="913" w:type="dxa"/>
                  <w:vAlign w:val="center"/>
                </w:tcPr>
                <w:p w14:paraId="3EFE03E6">
                  <w:pPr>
                    <w:spacing w:line="0" w:lineRule="atLeast"/>
                    <w:ind w:left="-105" w:leftChars="-50" w:right="-105" w:rightChars="-50"/>
                    <w:jc w:val="center"/>
                    <w:rPr>
                      <w:color w:val="000000"/>
                      <w:szCs w:val="21"/>
                    </w:rPr>
                  </w:pPr>
                  <w:r>
                    <w:rPr>
                      <w:rFonts w:hint="eastAsia"/>
                      <w:color w:val="000000"/>
                      <w:szCs w:val="21"/>
                    </w:rPr>
                    <w:t xml:space="preserve">585.53 </w:t>
                  </w:r>
                </w:p>
              </w:tc>
              <w:tc>
                <w:tcPr>
                  <w:tcW w:w="892" w:type="dxa"/>
                  <w:vAlign w:val="center"/>
                </w:tcPr>
                <w:p w14:paraId="479D54AF">
                  <w:pPr>
                    <w:spacing w:line="0" w:lineRule="atLeast"/>
                    <w:ind w:left="-105" w:leftChars="-50" w:right="-105" w:rightChars="-50"/>
                    <w:jc w:val="center"/>
                    <w:rPr>
                      <w:color w:val="000000"/>
                      <w:szCs w:val="21"/>
                    </w:rPr>
                  </w:pPr>
                  <w:r>
                    <w:rPr>
                      <w:rFonts w:hint="eastAsia"/>
                      <w:color w:val="000000"/>
                      <w:szCs w:val="21"/>
                    </w:rPr>
                    <w:t xml:space="preserve">3.77 </w:t>
                  </w:r>
                </w:p>
              </w:tc>
            </w:tr>
            <w:tr w14:paraId="7C446A2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Merge w:val="continue"/>
                  <w:vAlign w:val="center"/>
                </w:tcPr>
                <w:p w14:paraId="5FED6352">
                  <w:pPr>
                    <w:spacing w:line="0" w:lineRule="atLeast"/>
                    <w:jc w:val="center"/>
                    <w:rPr>
                      <w:rFonts w:hint="eastAsia"/>
                      <w:bCs/>
                      <w:snapToGrid w:val="0"/>
                      <w:kern w:val="24"/>
                      <w:szCs w:val="21"/>
                      <w:lang w:val="pt-BR"/>
                    </w:rPr>
                  </w:pPr>
                </w:p>
              </w:tc>
              <w:tc>
                <w:tcPr>
                  <w:tcW w:w="2573" w:type="dxa"/>
                  <w:vAlign w:val="center"/>
                </w:tcPr>
                <w:p w14:paraId="44998ADD">
                  <w:pPr>
                    <w:spacing w:line="0" w:lineRule="atLeast"/>
                    <w:ind w:left="-105" w:leftChars="-50" w:right="-105" w:rightChars="-50"/>
                    <w:jc w:val="center"/>
                    <w:rPr>
                      <w:color w:val="000000"/>
                      <w:szCs w:val="21"/>
                    </w:rPr>
                  </w:pPr>
                  <w:r>
                    <w:rPr>
                      <w:rFonts w:hint="eastAsia"/>
                      <w:color w:val="000000"/>
                      <w:szCs w:val="21"/>
                    </w:rPr>
                    <w:t>其他</w:t>
                  </w:r>
                </w:p>
              </w:tc>
              <w:tc>
                <w:tcPr>
                  <w:tcW w:w="2516" w:type="dxa"/>
                  <w:vAlign w:val="center"/>
                </w:tcPr>
                <w:p w14:paraId="50D9E9D6">
                  <w:pPr>
                    <w:spacing w:line="0" w:lineRule="atLeast"/>
                    <w:ind w:left="-105" w:leftChars="-50" w:right="-105" w:rightChars="-50"/>
                    <w:jc w:val="center"/>
                    <w:rPr>
                      <w:color w:val="000000"/>
                      <w:szCs w:val="21"/>
                    </w:rPr>
                  </w:pPr>
                  <w:r>
                    <w:rPr>
                      <w:rFonts w:hint="eastAsia"/>
                      <w:color w:val="000000"/>
                      <w:szCs w:val="21"/>
                    </w:rPr>
                    <w:t>其他</w:t>
                  </w:r>
                </w:p>
              </w:tc>
              <w:tc>
                <w:tcPr>
                  <w:tcW w:w="896" w:type="dxa"/>
                  <w:vAlign w:val="center"/>
                </w:tcPr>
                <w:p w14:paraId="43374E0A">
                  <w:pPr>
                    <w:spacing w:line="0" w:lineRule="atLeast"/>
                    <w:ind w:left="-105" w:leftChars="-50" w:right="-105" w:rightChars="-50"/>
                    <w:jc w:val="center"/>
                    <w:rPr>
                      <w:color w:val="000000"/>
                      <w:szCs w:val="21"/>
                    </w:rPr>
                  </w:pPr>
                  <w:r>
                    <w:rPr>
                      <w:rFonts w:hint="eastAsia"/>
                      <w:color w:val="000000"/>
                      <w:szCs w:val="21"/>
                    </w:rPr>
                    <w:t>28</w:t>
                  </w:r>
                </w:p>
              </w:tc>
              <w:tc>
                <w:tcPr>
                  <w:tcW w:w="913" w:type="dxa"/>
                  <w:vAlign w:val="center"/>
                </w:tcPr>
                <w:p w14:paraId="6FCEC381">
                  <w:pPr>
                    <w:spacing w:line="0" w:lineRule="atLeast"/>
                    <w:ind w:left="-105" w:leftChars="-50" w:right="-105" w:rightChars="-50"/>
                    <w:jc w:val="center"/>
                    <w:rPr>
                      <w:color w:val="000000"/>
                      <w:szCs w:val="21"/>
                    </w:rPr>
                  </w:pPr>
                  <w:r>
                    <w:rPr>
                      <w:rFonts w:hint="eastAsia"/>
                      <w:color w:val="000000"/>
                      <w:szCs w:val="21"/>
                    </w:rPr>
                    <w:t xml:space="preserve">62.43 </w:t>
                  </w:r>
                </w:p>
              </w:tc>
              <w:tc>
                <w:tcPr>
                  <w:tcW w:w="892" w:type="dxa"/>
                  <w:vAlign w:val="center"/>
                </w:tcPr>
                <w:p w14:paraId="2615865C">
                  <w:pPr>
                    <w:spacing w:line="0" w:lineRule="atLeast"/>
                    <w:ind w:left="-105" w:leftChars="-50" w:right="-105" w:rightChars="-50"/>
                    <w:jc w:val="center"/>
                    <w:rPr>
                      <w:color w:val="000000"/>
                      <w:szCs w:val="21"/>
                    </w:rPr>
                  </w:pPr>
                  <w:r>
                    <w:rPr>
                      <w:rFonts w:hint="eastAsia"/>
                      <w:color w:val="000000"/>
                      <w:szCs w:val="21"/>
                    </w:rPr>
                    <w:t xml:space="preserve">0.40 </w:t>
                  </w:r>
                </w:p>
              </w:tc>
            </w:tr>
            <w:tr w14:paraId="3D8FD0A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Merge w:val="continue"/>
                  <w:tcBorders>
                    <w:bottom w:val="double" w:color="auto" w:sz="4" w:space="0"/>
                  </w:tcBorders>
                  <w:vAlign w:val="center"/>
                </w:tcPr>
                <w:p w14:paraId="536C71C3">
                  <w:pPr>
                    <w:spacing w:line="0" w:lineRule="atLeast"/>
                    <w:jc w:val="center"/>
                    <w:rPr>
                      <w:rFonts w:hint="eastAsia"/>
                      <w:bCs/>
                      <w:snapToGrid w:val="0"/>
                      <w:kern w:val="24"/>
                      <w:szCs w:val="21"/>
                      <w:lang w:val="pt-BR"/>
                    </w:rPr>
                  </w:pPr>
                </w:p>
              </w:tc>
              <w:tc>
                <w:tcPr>
                  <w:tcW w:w="5089" w:type="dxa"/>
                  <w:gridSpan w:val="2"/>
                  <w:tcBorders>
                    <w:bottom w:val="double" w:color="auto" w:sz="4" w:space="0"/>
                  </w:tcBorders>
                  <w:vAlign w:val="center"/>
                </w:tcPr>
                <w:p w14:paraId="774BA2AD">
                  <w:pPr>
                    <w:spacing w:line="0" w:lineRule="atLeast"/>
                    <w:ind w:left="-105" w:leftChars="-50" w:right="-105" w:rightChars="-50"/>
                    <w:jc w:val="center"/>
                    <w:rPr>
                      <w:rFonts w:hint="eastAsia"/>
                      <w:color w:val="000000"/>
                      <w:szCs w:val="21"/>
                    </w:rPr>
                  </w:pPr>
                  <w:r>
                    <w:rPr>
                      <w:rFonts w:hint="eastAsia"/>
                      <w:bCs/>
                      <w:snapToGrid w:val="0"/>
                      <w:kern w:val="24"/>
                      <w:szCs w:val="21"/>
                      <w:lang w:val="pt-BR"/>
                    </w:rPr>
                    <w:t>总计</w:t>
                  </w:r>
                </w:p>
              </w:tc>
              <w:tc>
                <w:tcPr>
                  <w:tcW w:w="896" w:type="dxa"/>
                  <w:tcBorders>
                    <w:bottom w:val="double" w:color="auto" w:sz="4" w:space="0"/>
                  </w:tcBorders>
                  <w:vAlign w:val="center"/>
                </w:tcPr>
                <w:p w14:paraId="0FE1CF7A">
                  <w:pPr>
                    <w:spacing w:line="0" w:lineRule="atLeast"/>
                    <w:ind w:left="-105" w:leftChars="-50" w:right="-105" w:rightChars="-50"/>
                    <w:jc w:val="center"/>
                    <w:rPr>
                      <w:rFonts w:hint="eastAsia"/>
                      <w:color w:val="000000"/>
                      <w:szCs w:val="21"/>
                    </w:rPr>
                  </w:pPr>
                  <w:r>
                    <w:rPr>
                      <w:rFonts w:hint="eastAsia"/>
                      <w:color w:val="000000"/>
                      <w:szCs w:val="21"/>
                    </w:rPr>
                    <w:t>54</w:t>
                  </w:r>
                </w:p>
              </w:tc>
              <w:tc>
                <w:tcPr>
                  <w:tcW w:w="913" w:type="dxa"/>
                  <w:tcBorders>
                    <w:bottom w:val="double" w:color="auto" w:sz="4" w:space="0"/>
                  </w:tcBorders>
                  <w:vAlign w:val="center"/>
                </w:tcPr>
                <w:p w14:paraId="055107EC">
                  <w:pPr>
                    <w:spacing w:line="0" w:lineRule="atLeast"/>
                    <w:ind w:left="-105" w:leftChars="-50" w:right="-105" w:rightChars="-50"/>
                    <w:jc w:val="center"/>
                    <w:rPr>
                      <w:rFonts w:hint="eastAsia"/>
                      <w:color w:val="000000"/>
                      <w:szCs w:val="21"/>
                    </w:rPr>
                  </w:pPr>
                  <w:r>
                    <w:rPr>
                      <w:rFonts w:hint="eastAsia"/>
                      <w:color w:val="000000"/>
                      <w:szCs w:val="21"/>
                    </w:rPr>
                    <w:t>15532.22</w:t>
                  </w:r>
                </w:p>
              </w:tc>
              <w:tc>
                <w:tcPr>
                  <w:tcW w:w="892" w:type="dxa"/>
                  <w:tcBorders>
                    <w:bottom w:val="double" w:color="auto" w:sz="4" w:space="0"/>
                  </w:tcBorders>
                  <w:vAlign w:val="center"/>
                </w:tcPr>
                <w:p w14:paraId="2CF0C457">
                  <w:pPr>
                    <w:spacing w:line="0" w:lineRule="atLeast"/>
                    <w:ind w:left="-105" w:leftChars="-50" w:right="-105" w:rightChars="-50"/>
                    <w:jc w:val="center"/>
                    <w:rPr>
                      <w:rFonts w:hint="eastAsia"/>
                      <w:color w:val="000000"/>
                      <w:szCs w:val="21"/>
                    </w:rPr>
                  </w:pPr>
                  <w:r>
                    <w:rPr>
                      <w:rFonts w:hint="eastAsia"/>
                      <w:color w:val="000000"/>
                      <w:szCs w:val="21"/>
                    </w:rPr>
                    <w:t>100.00</w:t>
                  </w:r>
                </w:p>
              </w:tc>
            </w:tr>
            <w:tr w14:paraId="2D38F88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Merge w:val="restart"/>
                  <w:tcBorders>
                    <w:top w:val="double" w:color="auto" w:sz="4" w:space="0"/>
                    <w:bottom w:val="single" w:color="auto" w:sz="4" w:space="0"/>
                  </w:tcBorders>
                  <w:vAlign w:val="center"/>
                </w:tcPr>
                <w:p w14:paraId="4B39723E">
                  <w:pPr>
                    <w:spacing w:line="0" w:lineRule="atLeast"/>
                    <w:jc w:val="center"/>
                    <w:rPr>
                      <w:rFonts w:hint="eastAsia"/>
                      <w:bCs/>
                      <w:snapToGrid w:val="0"/>
                      <w:kern w:val="24"/>
                      <w:szCs w:val="21"/>
                      <w:lang w:val="pt-BR"/>
                    </w:rPr>
                  </w:pPr>
                  <w:r>
                    <w:rPr>
                      <w:rFonts w:hint="eastAsia"/>
                      <w:bCs/>
                      <w:snapToGrid w:val="0"/>
                      <w:kern w:val="24"/>
                      <w:szCs w:val="21"/>
                      <w:lang w:val="pt-BR"/>
                    </w:rPr>
                    <w:t>风电场</w:t>
                  </w:r>
                </w:p>
              </w:tc>
              <w:tc>
                <w:tcPr>
                  <w:tcW w:w="2573" w:type="dxa"/>
                  <w:tcBorders>
                    <w:top w:val="double" w:color="auto" w:sz="4" w:space="0"/>
                    <w:bottom w:val="single" w:color="auto" w:sz="4" w:space="0"/>
                  </w:tcBorders>
                  <w:vAlign w:val="center"/>
                </w:tcPr>
                <w:p w14:paraId="3E13FAC1">
                  <w:pPr>
                    <w:spacing w:line="0" w:lineRule="atLeast"/>
                    <w:ind w:left="-105" w:leftChars="-50" w:right="-105" w:rightChars="-50"/>
                    <w:jc w:val="center"/>
                    <w:rPr>
                      <w:color w:val="000000"/>
                      <w:szCs w:val="21"/>
                    </w:rPr>
                  </w:pPr>
                  <w:r>
                    <w:rPr>
                      <w:rFonts w:hint="eastAsia"/>
                      <w:color w:val="000000"/>
                      <w:szCs w:val="21"/>
                    </w:rPr>
                    <w:t>风力侵蚀</w:t>
                  </w:r>
                </w:p>
              </w:tc>
              <w:tc>
                <w:tcPr>
                  <w:tcW w:w="2516" w:type="dxa"/>
                  <w:tcBorders>
                    <w:top w:val="double" w:color="auto" w:sz="4" w:space="0"/>
                    <w:bottom w:val="single" w:color="auto" w:sz="4" w:space="0"/>
                  </w:tcBorders>
                  <w:vAlign w:val="center"/>
                </w:tcPr>
                <w:p w14:paraId="7BF9D2F9">
                  <w:pPr>
                    <w:spacing w:line="0" w:lineRule="atLeast"/>
                    <w:ind w:left="-105" w:leftChars="-50" w:right="-105" w:rightChars="-50"/>
                    <w:jc w:val="center"/>
                    <w:rPr>
                      <w:color w:val="000000"/>
                      <w:szCs w:val="21"/>
                    </w:rPr>
                  </w:pPr>
                  <w:r>
                    <w:rPr>
                      <w:rFonts w:hint="eastAsia"/>
                      <w:color w:val="000000"/>
                      <w:szCs w:val="21"/>
                    </w:rPr>
                    <w:t>中度风侵</w:t>
                  </w:r>
                </w:p>
              </w:tc>
              <w:tc>
                <w:tcPr>
                  <w:tcW w:w="896" w:type="dxa"/>
                  <w:tcBorders>
                    <w:top w:val="double" w:color="auto" w:sz="4" w:space="0"/>
                    <w:bottom w:val="single" w:color="auto" w:sz="4" w:space="0"/>
                  </w:tcBorders>
                  <w:vAlign w:val="center"/>
                </w:tcPr>
                <w:p w14:paraId="7A175F72">
                  <w:pPr>
                    <w:spacing w:line="0" w:lineRule="atLeast"/>
                    <w:ind w:left="-105" w:leftChars="-50" w:right="-105" w:rightChars="-50"/>
                    <w:jc w:val="center"/>
                    <w:rPr>
                      <w:color w:val="000000"/>
                      <w:szCs w:val="21"/>
                    </w:rPr>
                  </w:pPr>
                  <w:r>
                    <w:rPr>
                      <w:rFonts w:hint="eastAsia"/>
                      <w:color w:val="000000"/>
                      <w:szCs w:val="21"/>
                    </w:rPr>
                    <w:t>2</w:t>
                  </w:r>
                </w:p>
              </w:tc>
              <w:tc>
                <w:tcPr>
                  <w:tcW w:w="913" w:type="dxa"/>
                  <w:tcBorders>
                    <w:top w:val="double" w:color="auto" w:sz="4" w:space="0"/>
                    <w:bottom w:val="single" w:color="auto" w:sz="4" w:space="0"/>
                  </w:tcBorders>
                  <w:vAlign w:val="center"/>
                </w:tcPr>
                <w:p w14:paraId="33AC1ED6">
                  <w:pPr>
                    <w:spacing w:line="0" w:lineRule="atLeast"/>
                    <w:ind w:left="-105" w:leftChars="-50" w:right="-105" w:rightChars="-50"/>
                    <w:jc w:val="center"/>
                    <w:rPr>
                      <w:color w:val="000000"/>
                      <w:szCs w:val="21"/>
                    </w:rPr>
                  </w:pPr>
                  <w:r>
                    <w:rPr>
                      <w:rFonts w:hint="eastAsia"/>
                      <w:color w:val="000000"/>
                      <w:szCs w:val="21"/>
                    </w:rPr>
                    <w:t xml:space="preserve">9604.15 </w:t>
                  </w:r>
                </w:p>
              </w:tc>
              <w:tc>
                <w:tcPr>
                  <w:tcW w:w="892" w:type="dxa"/>
                  <w:tcBorders>
                    <w:top w:val="double" w:color="auto" w:sz="4" w:space="0"/>
                    <w:bottom w:val="single" w:color="auto" w:sz="4" w:space="0"/>
                  </w:tcBorders>
                  <w:vAlign w:val="center"/>
                </w:tcPr>
                <w:p w14:paraId="48D44F32">
                  <w:pPr>
                    <w:spacing w:line="0" w:lineRule="atLeast"/>
                    <w:ind w:left="-105" w:leftChars="-50" w:right="-105" w:rightChars="-50"/>
                    <w:jc w:val="center"/>
                    <w:rPr>
                      <w:rFonts w:hint="eastAsia"/>
                      <w:color w:val="000000"/>
                      <w:szCs w:val="21"/>
                    </w:rPr>
                  </w:pPr>
                  <w:r>
                    <w:rPr>
                      <w:rFonts w:hint="eastAsia"/>
                      <w:color w:val="000000"/>
                      <w:szCs w:val="21"/>
                    </w:rPr>
                    <w:t>61.83</w:t>
                  </w:r>
                </w:p>
              </w:tc>
            </w:tr>
            <w:tr w14:paraId="1BB4A2C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Merge w:val="continue"/>
                  <w:tcBorders>
                    <w:top w:val="single" w:color="auto" w:sz="4" w:space="0"/>
                    <w:bottom w:val="single" w:color="auto" w:sz="4" w:space="0"/>
                  </w:tcBorders>
                  <w:vAlign w:val="center"/>
                </w:tcPr>
                <w:p w14:paraId="2D47D0C2">
                  <w:pPr>
                    <w:spacing w:line="0" w:lineRule="atLeast"/>
                    <w:jc w:val="center"/>
                    <w:rPr>
                      <w:rFonts w:hint="eastAsia"/>
                      <w:bCs/>
                      <w:snapToGrid w:val="0"/>
                      <w:kern w:val="24"/>
                      <w:szCs w:val="21"/>
                      <w:lang w:val="pt-BR"/>
                    </w:rPr>
                  </w:pPr>
                </w:p>
              </w:tc>
              <w:tc>
                <w:tcPr>
                  <w:tcW w:w="2573" w:type="dxa"/>
                  <w:vMerge w:val="restart"/>
                  <w:tcBorders>
                    <w:top w:val="single" w:color="auto" w:sz="4" w:space="0"/>
                    <w:bottom w:val="single" w:color="auto" w:sz="4" w:space="0"/>
                  </w:tcBorders>
                  <w:vAlign w:val="center"/>
                </w:tcPr>
                <w:p w14:paraId="079D63F1">
                  <w:pPr>
                    <w:spacing w:line="0" w:lineRule="atLeast"/>
                    <w:ind w:left="-105" w:leftChars="-50" w:right="-105" w:rightChars="-50"/>
                    <w:jc w:val="center"/>
                    <w:rPr>
                      <w:color w:val="000000"/>
                      <w:szCs w:val="21"/>
                    </w:rPr>
                  </w:pPr>
                  <w:r>
                    <w:rPr>
                      <w:rFonts w:hint="eastAsia"/>
                      <w:color w:val="000000"/>
                      <w:szCs w:val="21"/>
                    </w:rPr>
                    <w:t>水力侵蚀</w:t>
                  </w:r>
                </w:p>
              </w:tc>
              <w:tc>
                <w:tcPr>
                  <w:tcW w:w="2516" w:type="dxa"/>
                  <w:tcBorders>
                    <w:top w:val="single" w:color="auto" w:sz="4" w:space="0"/>
                    <w:bottom w:val="single" w:color="auto" w:sz="4" w:space="0"/>
                  </w:tcBorders>
                  <w:vAlign w:val="center"/>
                </w:tcPr>
                <w:p w14:paraId="77A6D26F">
                  <w:pPr>
                    <w:spacing w:line="0" w:lineRule="atLeast"/>
                    <w:ind w:left="-105" w:leftChars="-50" w:right="-105" w:rightChars="-50"/>
                    <w:jc w:val="center"/>
                    <w:rPr>
                      <w:color w:val="000000"/>
                      <w:szCs w:val="21"/>
                    </w:rPr>
                  </w:pPr>
                  <w:r>
                    <w:rPr>
                      <w:rFonts w:hint="eastAsia"/>
                      <w:color w:val="000000"/>
                      <w:szCs w:val="21"/>
                    </w:rPr>
                    <w:t>强烈水侵</w:t>
                  </w:r>
                </w:p>
              </w:tc>
              <w:tc>
                <w:tcPr>
                  <w:tcW w:w="896" w:type="dxa"/>
                  <w:tcBorders>
                    <w:top w:val="single" w:color="auto" w:sz="4" w:space="0"/>
                    <w:bottom w:val="single" w:color="auto" w:sz="4" w:space="0"/>
                  </w:tcBorders>
                  <w:vAlign w:val="center"/>
                </w:tcPr>
                <w:p w14:paraId="1CEC9363">
                  <w:pPr>
                    <w:spacing w:line="0" w:lineRule="atLeast"/>
                    <w:ind w:left="-105" w:leftChars="-50" w:right="-105" w:rightChars="-50"/>
                    <w:jc w:val="center"/>
                    <w:rPr>
                      <w:color w:val="000000"/>
                      <w:szCs w:val="21"/>
                    </w:rPr>
                  </w:pPr>
                  <w:r>
                    <w:rPr>
                      <w:rFonts w:hint="eastAsia"/>
                      <w:color w:val="000000"/>
                      <w:szCs w:val="21"/>
                    </w:rPr>
                    <w:t>2</w:t>
                  </w:r>
                </w:p>
              </w:tc>
              <w:tc>
                <w:tcPr>
                  <w:tcW w:w="913" w:type="dxa"/>
                  <w:tcBorders>
                    <w:top w:val="single" w:color="auto" w:sz="4" w:space="0"/>
                    <w:bottom w:val="single" w:color="auto" w:sz="4" w:space="0"/>
                  </w:tcBorders>
                  <w:vAlign w:val="center"/>
                </w:tcPr>
                <w:p w14:paraId="28EBC90D">
                  <w:pPr>
                    <w:spacing w:line="0" w:lineRule="atLeast"/>
                    <w:ind w:left="-105" w:leftChars="-50" w:right="-105" w:rightChars="-50"/>
                    <w:jc w:val="center"/>
                    <w:rPr>
                      <w:color w:val="000000"/>
                      <w:szCs w:val="21"/>
                    </w:rPr>
                  </w:pPr>
                  <w:r>
                    <w:rPr>
                      <w:rFonts w:hint="eastAsia"/>
                      <w:color w:val="000000"/>
                      <w:szCs w:val="21"/>
                    </w:rPr>
                    <w:t xml:space="preserve">58.51 </w:t>
                  </w:r>
                </w:p>
              </w:tc>
              <w:tc>
                <w:tcPr>
                  <w:tcW w:w="892" w:type="dxa"/>
                  <w:tcBorders>
                    <w:top w:val="single" w:color="auto" w:sz="4" w:space="0"/>
                    <w:bottom w:val="single" w:color="auto" w:sz="4" w:space="0"/>
                  </w:tcBorders>
                  <w:vAlign w:val="center"/>
                </w:tcPr>
                <w:p w14:paraId="25FB88D6">
                  <w:pPr>
                    <w:spacing w:line="0" w:lineRule="atLeast"/>
                    <w:ind w:left="-105" w:leftChars="-50" w:right="-105" w:rightChars="-50"/>
                    <w:jc w:val="center"/>
                    <w:rPr>
                      <w:rFonts w:hint="eastAsia"/>
                      <w:color w:val="000000"/>
                      <w:szCs w:val="21"/>
                    </w:rPr>
                  </w:pPr>
                  <w:r>
                    <w:rPr>
                      <w:rFonts w:hint="eastAsia"/>
                      <w:color w:val="000000"/>
                      <w:szCs w:val="21"/>
                    </w:rPr>
                    <w:t>0.38</w:t>
                  </w:r>
                </w:p>
              </w:tc>
            </w:tr>
            <w:tr w14:paraId="65B4398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Merge w:val="continue"/>
                  <w:tcBorders>
                    <w:top w:val="single" w:color="auto" w:sz="4" w:space="0"/>
                    <w:bottom w:val="single" w:color="auto" w:sz="4" w:space="0"/>
                  </w:tcBorders>
                  <w:vAlign w:val="center"/>
                </w:tcPr>
                <w:p w14:paraId="0A0E1C43">
                  <w:pPr>
                    <w:spacing w:line="0" w:lineRule="atLeast"/>
                    <w:jc w:val="center"/>
                    <w:rPr>
                      <w:rFonts w:hint="eastAsia"/>
                      <w:bCs/>
                      <w:snapToGrid w:val="0"/>
                      <w:kern w:val="24"/>
                      <w:szCs w:val="21"/>
                      <w:lang w:val="pt-BR"/>
                    </w:rPr>
                  </w:pPr>
                </w:p>
              </w:tc>
              <w:tc>
                <w:tcPr>
                  <w:tcW w:w="2573" w:type="dxa"/>
                  <w:vMerge w:val="continue"/>
                  <w:tcBorders>
                    <w:top w:val="single" w:color="auto" w:sz="4" w:space="0"/>
                    <w:bottom w:val="single" w:color="auto" w:sz="4" w:space="0"/>
                  </w:tcBorders>
                  <w:vAlign w:val="center"/>
                </w:tcPr>
                <w:p w14:paraId="073685A8">
                  <w:pPr>
                    <w:spacing w:line="0" w:lineRule="atLeast"/>
                    <w:ind w:left="-105" w:leftChars="-50" w:right="-105" w:rightChars="-50"/>
                    <w:jc w:val="center"/>
                    <w:rPr>
                      <w:rFonts w:hint="eastAsia"/>
                      <w:color w:val="000000"/>
                      <w:szCs w:val="21"/>
                    </w:rPr>
                  </w:pPr>
                </w:p>
              </w:tc>
              <w:tc>
                <w:tcPr>
                  <w:tcW w:w="2516" w:type="dxa"/>
                  <w:tcBorders>
                    <w:top w:val="single" w:color="auto" w:sz="4" w:space="0"/>
                    <w:bottom w:val="single" w:color="auto" w:sz="4" w:space="0"/>
                  </w:tcBorders>
                  <w:vAlign w:val="center"/>
                </w:tcPr>
                <w:p w14:paraId="76BD2811">
                  <w:pPr>
                    <w:spacing w:line="0" w:lineRule="atLeast"/>
                    <w:ind w:left="-105" w:leftChars="-50" w:right="-105" w:rightChars="-50"/>
                    <w:jc w:val="center"/>
                    <w:rPr>
                      <w:color w:val="000000"/>
                      <w:szCs w:val="21"/>
                    </w:rPr>
                  </w:pPr>
                  <w:r>
                    <w:rPr>
                      <w:rFonts w:hint="eastAsia"/>
                      <w:color w:val="000000"/>
                      <w:szCs w:val="21"/>
                    </w:rPr>
                    <w:t>中度水侵</w:t>
                  </w:r>
                </w:p>
              </w:tc>
              <w:tc>
                <w:tcPr>
                  <w:tcW w:w="896" w:type="dxa"/>
                  <w:tcBorders>
                    <w:top w:val="single" w:color="auto" w:sz="4" w:space="0"/>
                    <w:bottom w:val="single" w:color="auto" w:sz="4" w:space="0"/>
                  </w:tcBorders>
                  <w:vAlign w:val="center"/>
                </w:tcPr>
                <w:p w14:paraId="3DE2B138">
                  <w:pPr>
                    <w:spacing w:line="0" w:lineRule="atLeast"/>
                    <w:ind w:left="-105" w:leftChars="-50" w:right="-105" w:rightChars="-50"/>
                    <w:jc w:val="center"/>
                    <w:rPr>
                      <w:color w:val="000000"/>
                      <w:szCs w:val="21"/>
                    </w:rPr>
                  </w:pPr>
                  <w:r>
                    <w:rPr>
                      <w:rFonts w:hint="eastAsia"/>
                      <w:color w:val="000000"/>
                      <w:szCs w:val="21"/>
                    </w:rPr>
                    <w:t>14</w:t>
                  </w:r>
                </w:p>
              </w:tc>
              <w:tc>
                <w:tcPr>
                  <w:tcW w:w="913" w:type="dxa"/>
                  <w:tcBorders>
                    <w:top w:val="single" w:color="auto" w:sz="4" w:space="0"/>
                    <w:bottom w:val="single" w:color="auto" w:sz="4" w:space="0"/>
                  </w:tcBorders>
                  <w:vAlign w:val="center"/>
                </w:tcPr>
                <w:p w14:paraId="3796E3DF">
                  <w:pPr>
                    <w:spacing w:line="0" w:lineRule="atLeast"/>
                    <w:ind w:left="-105" w:leftChars="-50" w:right="-105" w:rightChars="-50"/>
                    <w:jc w:val="center"/>
                    <w:rPr>
                      <w:color w:val="000000"/>
                      <w:szCs w:val="21"/>
                    </w:rPr>
                  </w:pPr>
                  <w:r>
                    <w:rPr>
                      <w:rFonts w:hint="eastAsia"/>
                      <w:color w:val="000000"/>
                      <w:szCs w:val="21"/>
                    </w:rPr>
                    <w:t xml:space="preserve">451.02 </w:t>
                  </w:r>
                </w:p>
              </w:tc>
              <w:tc>
                <w:tcPr>
                  <w:tcW w:w="892" w:type="dxa"/>
                  <w:tcBorders>
                    <w:top w:val="single" w:color="auto" w:sz="4" w:space="0"/>
                    <w:bottom w:val="single" w:color="auto" w:sz="4" w:space="0"/>
                  </w:tcBorders>
                  <w:vAlign w:val="center"/>
                </w:tcPr>
                <w:p w14:paraId="7F335BAB">
                  <w:pPr>
                    <w:spacing w:line="0" w:lineRule="atLeast"/>
                    <w:ind w:left="-105" w:leftChars="-50" w:right="-105" w:rightChars="-50"/>
                    <w:jc w:val="center"/>
                    <w:rPr>
                      <w:rFonts w:hint="eastAsia"/>
                      <w:color w:val="000000"/>
                      <w:szCs w:val="21"/>
                    </w:rPr>
                  </w:pPr>
                  <w:r>
                    <w:rPr>
                      <w:rFonts w:hint="eastAsia"/>
                      <w:color w:val="000000"/>
                      <w:szCs w:val="21"/>
                    </w:rPr>
                    <w:t>2.90</w:t>
                  </w:r>
                </w:p>
              </w:tc>
            </w:tr>
            <w:tr w14:paraId="10B296D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Merge w:val="continue"/>
                  <w:tcBorders>
                    <w:top w:val="single" w:color="auto" w:sz="4" w:space="0"/>
                    <w:bottom w:val="single" w:color="auto" w:sz="4" w:space="0"/>
                  </w:tcBorders>
                  <w:vAlign w:val="center"/>
                </w:tcPr>
                <w:p w14:paraId="4158C7F9">
                  <w:pPr>
                    <w:spacing w:line="0" w:lineRule="atLeast"/>
                    <w:jc w:val="center"/>
                    <w:rPr>
                      <w:rFonts w:hint="eastAsia"/>
                      <w:bCs/>
                      <w:snapToGrid w:val="0"/>
                      <w:kern w:val="24"/>
                      <w:szCs w:val="21"/>
                      <w:lang w:val="pt-BR"/>
                    </w:rPr>
                  </w:pPr>
                </w:p>
              </w:tc>
              <w:tc>
                <w:tcPr>
                  <w:tcW w:w="2573" w:type="dxa"/>
                  <w:tcBorders>
                    <w:top w:val="single" w:color="auto" w:sz="4" w:space="0"/>
                    <w:bottom w:val="single" w:color="auto" w:sz="4" w:space="0"/>
                  </w:tcBorders>
                  <w:vAlign w:val="center"/>
                </w:tcPr>
                <w:p w14:paraId="6FC30347">
                  <w:pPr>
                    <w:spacing w:line="0" w:lineRule="atLeast"/>
                    <w:ind w:left="-105" w:leftChars="-50" w:right="-105" w:rightChars="-50"/>
                    <w:jc w:val="center"/>
                    <w:rPr>
                      <w:color w:val="000000"/>
                      <w:szCs w:val="21"/>
                    </w:rPr>
                  </w:pPr>
                  <w:r>
                    <w:rPr>
                      <w:rFonts w:hint="eastAsia"/>
                      <w:color w:val="000000"/>
                      <w:szCs w:val="21"/>
                    </w:rPr>
                    <w:t>其他</w:t>
                  </w:r>
                </w:p>
              </w:tc>
              <w:tc>
                <w:tcPr>
                  <w:tcW w:w="2516" w:type="dxa"/>
                  <w:tcBorders>
                    <w:top w:val="single" w:color="auto" w:sz="4" w:space="0"/>
                    <w:bottom w:val="single" w:color="auto" w:sz="4" w:space="0"/>
                  </w:tcBorders>
                  <w:vAlign w:val="center"/>
                </w:tcPr>
                <w:p w14:paraId="1B8112C6">
                  <w:pPr>
                    <w:spacing w:line="0" w:lineRule="atLeast"/>
                    <w:ind w:left="-105" w:leftChars="-50" w:right="-105" w:rightChars="-50"/>
                    <w:jc w:val="center"/>
                    <w:rPr>
                      <w:color w:val="000000"/>
                      <w:szCs w:val="21"/>
                    </w:rPr>
                  </w:pPr>
                  <w:r>
                    <w:rPr>
                      <w:rFonts w:hint="eastAsia"/>
                      <w:color w:val="000000"/>
                      <w:szCs w:val="21"/>
                    </w:rPr>
                    <w:t>其他</w:t>
                  </w:r>
                </w:p>
              </w:tc>
              <w:tc>
                <w:tcPr>
                  <w:tcW w:w="896" w:type="dxa"/>
                  <w:tcBorders>
                    <w:top w:val="single" w:color="auto" w:sz="4" w:space="0"/>
                    <w:bottom w:val="single" w:color="auto" w:sz="4" w:space="0"/>
                  </w:tcBorders>
                  <w:vAlign w:val="center"/>
                </w:tcPr>
                <w:p w14:paraId="758F551C">
                  <w:pPr>
                    <w:spacing w:line="0" w:lineRule="atLeast"/>
                    <w:ind w:left="-105" w:leftChars="-50" w:right="-105" w:rightChars="-50"/>
                    <w:jc w:val="center"/>
                    <w:rPr>
                      <w:color w:val="000000"/>
                      <w:szCs w:val="21"/>
                    </w:rPr>
                  </w:pPr>
                  <w:r>
                    <w:rPr>
                      <w:rFonts w:hint="eastAsia"/>
                      <w:color w:val="000000"/>
                      <w:szCs w:val="21"/>
                    </w:rPr>
                    <w:t>12</w:t>
                  </w:r>
                </w:p>
              </w:tc>
              <w:tc>
                <w:tcPr>
                  <w:tcW w:w="913" w:type="dxa"/>
                  <w:tcBorders>
                    <w:top w:val="single" w:color="auto" w:sz="4" w:space="0"/>
                    <w:bottom w:val="single" w:color="auto" w:sz="4" w:space="0"/>
                  </w:tcBorders>
                  <w:vAlign w:val="center"/>
                </w:tcPr>
                <w:p w14:paraId="504635BE">
                  <w:pPr>
                    <w:spacing w:line="0" w:lineRule="atLeast"/>
                    <w:ind w:left="-105" w:leftChars="-50" w:right="-105" w:rightChars="-50"/>
                    <w:jc w:val="center"/>
                    <w:rPr>
                      <w:color w:val="000000"/>
                      <w:szCs w:val="21"/>
                    </w:rPr>
                  </w:pPr>
                  <w:r>
                    <w:rPr>
                      <w:rFonts w:hint="eastAsia"/>
                      <w:color w:val="000000"/>
                      <w:szCs w:val="21"/>
                    </w:rPr>
                    <w:t xml:space="preserve">12.48 </w:t>
                  </w:r>
                </w:p>
              </w:tc>
              <w:tc>
                <w:tcPr>
                  <w:tcW w:w="892" w:type="dxa"/>
                  <w:tcBorders>
                    <w:top w:val="single" w:color="auto" w:sz="4" w:space="0"/>
                    <w:bottom w:val="single" w:color="auto" w:sz="4" w:space="0"/>
                  </w:tcBorders>
                  <w:vAlign w:val="center"/>
                </w:tcPr>
                <w:p w14:paraId="0B8BFF8E">
                  <w:pPr>
                    <w:spacing w:line="0" w:lineRule="atLeast"/>
                    <w:ind w:left="-105" w:leftChars="-50" w:right="-105" w:rightChars="-50"/>
                    <w:jc w:val="center"/>
                    <w:rPr>
                      <w:rFonts w:hint="eastAsia"/>
                      <w:color w:val="000000"/>
                      <w:szCs w:val="21"/>
                    </w:rPr>
                  </w:pPr>
                  <w:r>
                    <w:rPr>
                      <w:rFonts w:hint="eastAsia"/>
                      <w:color w:val="000000"/>
                      <w:szCs w:val="21"/>
                    </w:rPr>
                    <w:t>0.08</w:t>
                  </w:r>
                </w:p>
              </w:tc>
            </w:tr>
            <w:tr w14:paraId="0108EA0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Merge w:val="continue"/>
                  <w:tcBorders>
                    <w:top w:val="single" w:color="auto" w:sz="4" w:space="0"/>
                    <w:bottom w:val="single" w:color="auto" w:sz="8" w:space="0"/>
                  </w:tcBorders>
                  <w:vAlign w:val="center"/>
                </w:tcPr>
                <w:p w14:paraId="05365013">
                  <w:pPr>
                    <w:spacing w:line="0" w:lineRule="atLeast"/>
                    <w:jc w:val="center"/>
                    <w:rPr>
                      <w:rFonts w:hint="eastAsia"/>
                      <w:bCs/>
                      <w:snapToGrid w:val="0"/>
                      <w:kern w:val="24"/>
                      <w:szCs w:val="21"/>
                      <w:lang w:val="pt-BR"/>
                    </w:rPr>
                  </w:pPr>
                </w:p>
              </w:tc>
              <w:tc>
                <w:tcPr>
                  <w:tcW w:w="5089" w:type="dxa"/>
                  <w:gridSpan w:val="2"/>
                  <w:tcBorders>
                    <w:top w:val="single" w:color="auto" w:sz="4" w:space="0"/>
                    <w:bottom w:val="single" w:color="auto" w:sz="8" w:space="0"/>
                  </w:tcBorders>
                  <w:vAlign w:val="center"/>
                </w:tcPr>
                <w:p w14:paraId="37FF40F0">
                  <w:pPr>
                    <w:spacing w:line="0" w:lineRule="atLeast"/>
                    <w:ind w:left="-105" w:leftChars="-50" w:right="-105" w:rightChars="-50"/>
                    <w:jc w:val="center"/>
                    <w:rPr>
                      <w:rFonts w:hint="eastAsia"/>
                      <w:color w:val="000000"/>
                      <w:szCs w:val="21"/>
                    </w:rPr>
                  </w:pPr>
                  <w:r>
                    <w:rPr>
                      <w:rFonts w:hint="eastAsia"/>
                      <w:color w:val="000000"/>
                      <w:szCs w:val="21"/>
                    </w:rPr>
                    <w:t>合计</w:t>
                  </w:r>
                </w:p>
              </w:tc>
              <w:tc>
                <w:tcPr>
                  <w:tcW w:w="896" w:type="dxa"/>
                  <w:tcBorders>
                    <w:top w:val="single" w:color="auto" w:sz="4" w:space="0"/>
                    <w:bottom w:val="single" w:color="auto" w:sz="8" w:space="0"/>
                  </w:tcBorders>
                  <w:vAlign w:val="center"/>
                </w:tcPr>
                <w:p w14:paraId="15283B0F">
                  <w:pPr>
                    <w:spacing w:line="0" w:lineRule="atLeast"/>
                    <w:ind w:left="-105" w:leftChars="-50" w:right="-105" w:rightChars="-50"/>
                    <w:jc w:val="center"/>
                    <w:rPr>
                      <w:rFonts w:hint="eastAsia"/>
                      <w:color w:val="000000"/>
                      <w:szCs w:val="21"/>
                    </w:rPr>
                  </w:pPr>
                  <w:r>
                    <w:rPr>
                      <w:rFonts w:hint="eastAsia"/>
                      <w:color w:val="000000"/>
                      <w:szCs w:val="21"/>
                    </w:rPr>
                    <w:t>30</w:t>
                  </w:r>
                </w:p>
              </w:tc>
              <w:tc>
                <w:tcPr>
                  <w:tcW w:w="913" w:type="dxa"/>
                  <w:tcBorders>
                    <w:top w:val="single" w:color="auto" w:sz="4" w:space="0"/>
                    <w:bottom w:val="single" w:color="auto" w:sz="8" w:space="0"/>
                  </w:tcBorders>
                  <w:vAlign w:val="center"/>
                </w:tcPr>
                <w:p w14:paraId="01FBCD00">
                  <w:pPr>
                    <w:spacing w:line="0" w:lineRule="atLeast"/>
                    <w:ind w:left="-105" w:leftChars="-50" w:right="-105" w:rightChars="-50"/>
                    <w:jc w:val="center"/>
                    <w:rPr>
                      <w:rFonts w:hint="eastAsia"/>
                      <w:color w:val="000000"/>
                      <w:szCs w:val="21"/>
                    </w:rPr>
                  </w:pPr>
                  <w:r>
                    <w:rPr>
                      <w:rFonts w:hint="eastAsia"/>
                      <w:color w:val="000000"/>
                      <w:szCs w:val="21"/>
                    </w:rPr>
                    <w:t>10126.16</w:t>
                  </w:r>
                </w:p>
              </w:tc>
              <w:tc>
                <w:tcPr>
                  <w:tcW w:w="892" w:type="dxa"/>
                  <w:tcBorders>
                    <w:top w:val="single" w:color="auto" w:sz="4" w:space="0"/>
                    <w:bottom w:val="single" w:color="auto" w:sz="8" w:space="0"/>
                  </w:tcBorders>
                  <w:vAlign w:val="center"/>
                </w:tcPr>
                <w:p w14:paraId="74B8A3FF">
                  <w:pPr>
                    <w:spacing w:line="0" w:lineRule="atLeast"/>
                    <w:ind w:left="-105" w:leftChars="-50" w:right="-105" w:rightChars="-50"/>
                    <w:jc w:val="center"/>
                    <w:rPr>
                      <w:rFonts w:hint="eastAsia"/>
                      <w:color w:val="000000"/>
                      <w:szCs w:val="21"/>
                    </w:rPr>
                  </w:pPr>
                  <w:r>
                    <w:rPr>
                      <w:rFonts w:hint="eastAsia"/>
                      <w:color w:val="000000"/>
                      <w:szCs w:val="21"/>
                    </w:rPr>
                    <w:t>65.19</w:t>
                  </w:r>
                </w:p>
              </w:tc>
            </w:tr>
          </w:tbl>
          <w:p w14:paraId="34D4BA7B">
            <w:pPr>
              <w:ind w:firstLine="480" w:firstLineChars="200"/>
              <w:rPr>
                <w:rFonts w:hint="eastAsia"/>
                <w:color w:val="000000"/>
                <w:sz w:val="24"/>
              </w:rPr>
            </w:pPr>
          </w:p>
          <w:p w14:paraId="1BBD3376">
            <w:pPr>
              <w:ind w:firstLine="480" w:firstLineChars="200"/>
              <w:rPr>
                <w:rFonts w:hint="eastAsia"/>
                <w:color w:val="000000"/>
                <w:sz w:val="24"/>
              </w:rPr>
            </w:pPr>
          </w:p>
          <w:p w14:paraId="339015F6">
            <w:pPr>
              <w:ind w:firstLine="480" w:firstLineChars="200"/>
              <w:rPr>
                <w:rFonts w:hint="eastAsia"/>
                <w:color w:val="000000"/>
                <w:sz w:val="24"/>
              </w:rPr>
            </w:pPr>
          </w:p>
          <w:p w14:paraId="7D06E786">
            <w:pPr>
              <w:ind w:firstLine="480" w:firstLineChars="200"/>
              <w:rPr>
                <w:rFonts w:hint="eastAsia"/>
                <w:color w:val="000000"/>
                <w:sz w:val="24"/>
              </w:rPr>
            </w:pPr>
          </w:p>
          <w:p w14:paraId="750326B1">
            <w:pPr>
              <w:ind w:firstLine="480" w:firstLineChars="200"/>
              <w:rPr>
                <w:rFonts w:hint="eastAsia"/>
                <w:color w:val="000000"/>
                <w:sz w:val="24"/>
              </w:rPr>
            </w:pPr>
          </w:p>
          <w:p w14:paraId="1BF07E3D">
            <w:pPr>
              <w:ind w:firstLine="420" w:firstLineChars="200"/>
              <w:rPr>
                <w:rFonts w:hint="eastAsia"/>
                <w:color w:val="000000"/>
                <w:sz w:val="24"/>
              </w:rPr>
            </w:pPr>
            <w:r>
              <w:drawing>
                <wp:anchor distT="0" distB="0" distL="114300" distR="114300" simplePos="0" relativeHeight="251669504" behindDoc="0" locked="0" layoutInCell="1" allowOverlap="1">
                  <wp:simplePos x="0" y="0"/>
                  <wp:positionH relativeFrom="column">
                    <wp:posOffset>-1322070</wp:posOffset>
                  </wp:positionH>
                  <wp:positionV relativeFrom="paragraph">
                    <wp:posOffset>1447165</wp:posOffset>
                  </wp:positionV>
                  <wp:extent cx="8248650" cy="5505450"/>
                  <wp:effectExtent l="0" t="1390650" r="0" b="1390650"/>
                  <wp:wrapNone/>
                  <wp:docPr id="24" name="图片 745" descr="土壤侵蚀图A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745" descr="土壤侵蚀图A3"/>
                          <pic:cNvPicPr>
                            <a:picLocks noChangeAspect="1" noChangeArrowheads="1"/>
                          </pic:cNvPicPr>
                        </pic:nvPicPr>
                        <pic:blipFill>
                          <a:blip r:embed="rId15" cstate="print"/>
                          <a:srcRect l="5556" t="7895" r="5350" b="7602"/>
                          <a:stretch>
                            <a:fillRect/>
                          </a:stretch>
                        </pic:blipFill>
                        <pic:spPr>
                          <a:xfrm rot="16200000">
                            <a:off x="0" y="0"/>
                            <a:ext cx="8248650" cy="5505450"/>
                          </a:xfrm>
                          <a:prstGeom prst="rect">
                            <a:avLst/>
                          </a:prstGeom>
                          <a:noFill/>
                          <a:ln w="12700">
                            <a:solidFill>
                              <a:srgbClr val="000000"/>
                            </a:solidFill>
                            <a:miter lim="800000"/>
                            <a:headEnd/>
                            <a:tailEnd/>
                          </a:ln>
                        </pic:spPr>
                      </pic:pic>
                    </a:graphicData>
                  </a:graphic>
                </wp:anchor>
              </w:drawing>
            </w:r>
          </w:p>
          <w:p w14:paraId="1E4E3B55">
            <w:pPr>
              <w:ind w:firstLine="480" w:firstLineChars="200"/>
              <w:rPr>
                <w:rFonts w:hint="eastAsia"/>
                <w:color w:val="000000"/>
                <w:sz w:val="24"/>
              </w:rPr>
            </w:pPr>
          </w:p>
          <w:p w14:paraId="67048E34">
            <w:pPr>
              <w:ind w:firstLine="480" w:firstLineChars="200"/>
              <w:rPr>
                <w:rFonts w:hint="eastAsia"/>
                <w:color w:val="000000"/>
                <w:sz w:val="24"/>
              </w:rPr>
            </w:pPr>
          </w:p>
          <w:p w14:paraId="045F9E0A">
            <w:pPr>
              <w:ind w:firstLine="480" w:firstLineChars="200"/>
              <w:rPr>
                <w:rFonts w:hint="eastAsia"/>
                <w:color w:val="000000"/>
                <w:sz w:val="24"/>
              </w:rPr>
            </w:pPr>
          </w:p>
          <w:p w14:paraId="6AB746D5">
            <w:pPr>
              <w:ind w:firstLine="480" w:firstLineChars="200"/>
              <w:rPr>
                <w:rFonts w:hint="eastAsia"/>
                <w:color w:val="000000"/>
                <w:sz w:val="24"/>
              </w:rPr>
            </w:pPr>
          </w:p>
          <w:p w14:paraId="68A29384">
            <w:pPr>
              <w:ind w:firstLine="480" w:firstLineChars="200"/>
              <w:rPr>
                <w:rFonts w:hint="eastAsia"/>
                <w:color w:val="000000"/>
                <w:sz w:val="24"/>
              </w:rPr>
            </w:pPr>
          </w:p>
          <w:p w14:paraId="24C9D95A">
            <w:pPr>
              <w:ind w:firstLine="480" w:firstLineChars="200"/>
              <w:rPr>
                <w:rFonts w:hint="eastAsia"/>
                <w:color w:val="000000"/>
                <w:sz w:val="24"/>
              </w:rPr>
            </w:pPr>
          </w:p>
          <w:p w14:paraId="02D19BF2">
            <w:pPr>
              <w:ind w:firstLine="480" w:firstLineChars="200"/>
              <w:rPr>
                <w:rFonts w:hint="eastAsia"/>
                <w:color w:val="000000"/>
                <w:sz w:val="24"/>
              </w:rPr>
            </w:pPr>
          </w:p>
          <w:p w14:paraId="51034BFF">
            <w:pPr>
              <w:ind w:firstLine="480" w:firstLineChars="200"/>
              <w:rPr>
                <w:rFonts w:hint="eastAsia"/>
                <w:color w:val="000000"/>
                <w:sz w:val="24"/>
              </w:rPr>
            </w:pPr>
          </w:p>
          <w:p w14:paraId="1D35040B">
            <w:pPr>
              <w:ind w:firstLine="480" w:firstLineChars="200"/>
              <w:rPr>
                <w:rFonts w:hint="eastAsia"/>
                <w:color w:val="000000"/>
                <w:sz w:val="24"/>
              </w:rPr>
            </w:pPr>
          </w:p>
          <w:p w14:paraId="62E328BD">
            <w:pPr>
              <w:ind w:firstLine="480" w:firstLineChars="200"/>
              <w:rPr>
                <w:rFonts w:hint="eastAsia"/>
                <w:color w:val="000000"/>
                <w:sz w:val="24"/>
              </w:rPr>
            </w:pPr>
          </w:p>
          <w:p w14:paraId="59C2BC36">
            <w:pPr>
              <w:ind w:firstLine="480" w:firstLineChars="200"/>
              <w:rPr>
                <w:rFonts w:hint="eastAsia"/>
                <w:color w:val="000000"/>
                <w:sz w:val="24"/>
              </w:rPr>
            </w:pPr>
          </w:p>
          <w:p w14:paraId="63C2FF55">
            <w:pPr>
              <w:ind w:firstLine="480" w:firstLineChars="200"/>
              <w:rPr>
                <w:rFonts w:hint="eastAsia"/>
                <w:color w:val="000000"/>
                <w:sz w:val="24"/>
              </w:rPr>
            </w:pPr>
          </w:p>
          <w:p w14:paraId="1D3BD87C">
            <w:pPr>
              <w:ind w:firstLine="480" w:firstLineChars="200"/>
              <w:rPr>
                <w:rFonts w:hint="eastAsia"/>
                <w:color w:val="000000"/>
                <w:sz w:val="24"/>
              </w:rPr>
            </w:pPr>
          </w:p>
          <w:p w14:paraId="622F34E5">
            <w:pPr>
              <w:ind w:firstLine="480" w:firstLineChars="200"/>
              <w:rPr>
                <w:rFonts w:hint="eastAsia"/>
                <w:color w:val="000000"/>
                <w:sz w:val="24"/>
              </w:rPr>
            </w:pPr>
          </w:p>
          <w:p w14:paraId="6C5F9175">
            <w:pPr>
              <w:ind w:firstLine="480" w:firstLineChars="200"/>
              <w:rPr>
                <w:rFonts w:hint="eastAsia"/>
                <w:color w:val="000000"/>
                <w:sz w:val="24"/>
              </w:rPr>
            </w:pPr>
          </w:p>
          <w:p w14:paraId="397F6B7E">
            <w:pPr>
              <w:ind w:firstLine="480" w:firstLineChars="200"/>
              <w:rPr>
                <w:rFonts w:hint="eastAsia"/>
                <w:color w:val="000000"/>
                <w:sz w:val="24"/>
              </w:rPr>
            </w:pPr>
          </w:p>
          <w:p w14:paraId="24A3FBBB">
            <w:pPr>
              <w:ind w:firstLine="480" w:firstLineChars="200"/>
              <w:rPr>
                <w:rFonts w:hint="eastAsia"/>
                <w:color w:val="000000"/>
                <w:sz w:val="24"/>
              </w:rPr>
            </w:pPr>
          </w:p>
          <w:p w14:paraId="4303AF04">
            <w:pPr>
              <w:ind w:firstLine="480" w:firstLineChars="200"/>
              <w:rPr>
                <w:rFonts w:hint="eastAsia"/>
                <w:color w:val="000000"/>
                <w:sz w:val="24"/>
              </w:rPr>
            </w:pPr>
          </w:p>
          <w:p w14:paraId="4A09D220">
            <w:pPr>
              <w:ind w:firstLine="480" w:firstLineChars="200"/>
              <w:rPr>
                <w:rFonts w:hint="eastAsia"/>
                <w:color w:val="000000"/>
                <w:sz w:val="24"/>
              </w:rPr>
            </w:pPr>
          </w:p>
          <w:p w14:paraId="3EB72F7A">
            <w:pPr>
              <w:ind w:firstLine="480" w:firstLineChars="200"/>
              <w:rPr>
                <w:rFonts w:hint="eastAsia"/>
                <w:color w:val="000000"/>
                <w:sz w:val="24"/>
              </w:rPr>
            </w:pPr>
          </w:p>
          <w:p w14:paraId="7E7984C2">
            <w:pPr>
              <w:ind w:firstLine="480" w:firstLineChars="200"/>
              <w:rPr>
                <w:rFonts w:hint="eastAsia"/>
                <w:color w:val="000000"/>
                <w:sz w:val="24"/>
              </w:rPr>
            </w:pPr>
          </w:p>
          <w:p w14:paraId="5D1375F4">
            <w:pPr>
              <w:ind w:firstLine="480" w:firstLineChars="200"/>
              <w:rPr>
                <w:rFonts w:hint="eastAsia"/>
                <w:color w:val="000000"/>
                <w:sz w:val="24"/>
              </w:rPr>
            </w:pPr>
          </w:p>
          <w:p w14:paraId="697E4602">
            <w:pPr>
              <w:ind w:firstLine="480" w:firstLineChars="200"/>
              <w:rPr>
                <w:rFonts w:hint="eastAsia"/>
                <w:color w:val="000000"/>
                <w:sz w:val="24"/>
              </w:rPr>
            </w:pPr>
          </w:p>
          <w:p w14:paraId="7319171B">
            <w:pPr>
              <w:ind w:firstLine="480" w:firstLineChars="200"/>
              <w:rPr>
                <w:rFonts w:hint="eastAsia"/>
                <w:color w:val="000000"/>
                <w:sz w:val="24"/>
              </w:rPr>
            </w:pPr>
          </w:p>
          <w:p w14:paraId="2CFE2AFC">
            <w:pPr>
              <w:ind w:firstLine="480" w:firstLineChars="200"/>
              <w:rPr>
                <w:rFonts w:hint="eastAsia"/>
                <w:color w:val="000000"/>
                <w:sz w:val="24"/>
              </w:rPr>
            </w:pPr>
          </w:p>
          <w:p w14:paraId="0E80273E">
            <w:pPr>
              <w:ind w:firstLine="480" w:firstLineChars="200"/>
              <w:rPr>
                <w:rFonts w:hint="eastAsia"/>
                <w:color w:val="000000"/>
                <w:sz w:val="24"/>
              </w:rPr>
            </w:pPr>
          </w:p>
          <w:p w14:paraId="1548679D">
            <w:pPr>
              <w:ind w:firstLine="480" w:firstLineChars="200"/>
              <w:rPr>
                <w:rFonts w:hint="eastAsia"/>
                <w:color w:val="000000"/>
                <w:sz w:val="24"/>
              </w:rPr>
            </w:pPr>
          </w:p>
          <w:p w14:paraId="7DBD2098">
            <w:pPr>
              <w:jc w:val="center"/>
              <w:rPr>
                <w:rFonts w:hint="eastAsia" w:ascii="黑体" w:hAnsi="黑体" w:eastAsia="黑体"/>
                <w:color w:val="000000"/>
                <w:sz w:val="24"/>
              </w:rPr>
            </w:pPr>
            <w:r>
              <w:rPr>
                <w:rFonts w:hint="eastAsia" w:ascii="黑体" w:hAnsi="黑体" w:eastAsia="黑体"/>
                <w:color w:val="000000"/>
                <w:sz w:val="24"/>
              </w:rPr>
              <w:t>图12  评价区土壤侵蚀分布图</w:t>
            </w:r>
          </w:p>
          <w:p w14:paraId="15BDEEF8">
            <w:pPr>
              <w:ind w:firstLine="480" w:firstLineChars="200"/>
              <w:rPr>
                <w:rFonts w:hint="eastAsia"/>
                <w:color w:val="000000"/>
                <w:sz w:val="24"/>
              </w:rPr>
            </w:pPr>
            <w:r>
              <w:rPr>
                <w:rFonts w:hint="eastAsia"/>
                <w:color w:val="000000"/>
                <w:sz w:val="24"/>
              </w:rPr>
              <w:t>从图12及表18可看出，评价区范围内土壤侵蚀以中度风侵为主，面积为14799.17hm</w:t>
            </w:r>
            <w:r>
              <w:rPr>
                <w:rFonts w:hint="eastAsia"/>
                <w:color w:val="000000"/>
                <w:sz w:val="24"/>
                <w:vertAlign w:val="superscript"/>
              </w:rPr>
              <w:t>2</w:t>
            </w:r>
            <w:r>
              <w:rPr>
                <w:rFonts w:hint="eastAsia"/>
                <w:color w:val="000000"/>
                <w:sz w:val="24"/>
              </w:rPr>
              <w:t>，占评价区总面积的95.28%；强烈水侵面积为85.08hm</w:t>
            </w:r>
            <w:r>
              <w:rPr>
                <w:rFonts w:hint="eastAsia"/>
                <w:color w:val="000000"/>
                <w:sz w:val="24"/>
                <w:vertAlign w:val="superscript"/>
              </w:rPr>
              <w:t>2</w:t>
            </w:r>
            <w:r>
              <w:rPr>
                <w:rFonts w:hint="eastAsia"/>
                <w:color w:val="000000"/>
                <w:sz w:val="24"/>
              </w:rPr>
              <w:t>，占评价区总面积的0.55%；中度水侵面积为585.53hm</w:t>
            </w:r>
            <w:r>
              <w:rPr>
                <w:rFonts w:hint="eastAsia"/>
                <w:color w:val="000000"/>
                <w:sz w:val="24"/>
                <w:vertAlign w:val="superscript"/>
              </w:rPr>
              <w:t>2</w:t>
            </w:r>
            <w:r>
              <w:rPr>
                <w:rFonts w:hint="eastAsia"/>
                <w:color w:val="000000"/>
                <w:sz w:val="24"/>
              </w:rPr>
              <w:t>，占评价区总面积的3.77%。</w:t>
            </w:r>
          </w:p>
          <w:p w14:paraId="50B06460">
            <w:pPr>
              <w:ind w:firstLine="480" w:firstLineChars="200"/>
              <w:rPr>
                <w:rFonts w:hint="eastAsia"/>
                <w:color w:val="000000"/>
                <w:sz w:val="24"/>
              </w:rPr>
            </w:pPr>
            <w:r>
              <w:rPr>
                <w:rFonts w:hint="eastAsia"/>
                <w:color w:val="000000"/>
                <w:sz w:val="24"/>
              </w:rPr>
              <w:t>风电场区域土壤侵蚀以中度风侵为主，面积为9604.15hm</w:t>
            </w:r>
            <w:r>
              <w:rPr>
                <w:rFonts w:hint="eastAsia"/>
                <w:color w:val="000000"/>
                <w:sz w:val="24"/>
                <w:vertAlign w:val="superscript"/>
              </w:rPr>
              <w:t>2</w:t>
            </w:r>
            <w:r>
              <w:rPr>
                <w:rFonts w:hint="eastAsia"/>
                <w:color w:val="000000"/>
                <w:sz w:val="24"/>
              </w:rPr>
              <w:t>，占评价区总面积的61.83%；强烈水侵面积为58.51hm</w:t>
            </w:r>
            <w:r>
              <w:rPr>
                <w:rFonts w:hint="eastAsia"/>
                <w:color w:val="000000"/>
                <w:sz w:val="24"/>
                <w:vertAlign w:val="superscript"/>
              </w:rPr>
              <w:t>2</w:t>
            </w:r>
            <w:r>
              <w:rPr>
                <w:rFonts w:hint="eastAsia"/>
                <w:color w:val="000000"/>
                <w:sz w:val="24"/>
              </w:rPr>
              <w:t>，占评价区总面积的0.38%；中度水侵面积为451.02hm</w:t>
            </w:r>
            <w:r>
              <w:rPr>
                <w:rFonts w:hint="eastAsia"/>
                <w:color w:val="000000"/>
                <w:sz w:val="24"/>
                <w:vertAlign w:val="superscript"/>
              </w:rPr>
              <w:t>2</w:t>
            </w:r>
            <w:r>
              <w:rPr>
                <w:rFonts w:hint="eastAsia"/>
                <w:color w:val="000000"/>
                <w:sz w:val="24"/>
              </w:rPr>
              <w:t>，占评价区总面积的2.90%。</w:t>
            </w:r>
          </w:p>
          <w:p w14:paraId="3D7F67AF">
            <w:pPr>
              <w:ind w:firstLine="480" w:firstLineChars="200"/>
              <w:rPr>
                <w:rFonts w:hint="eastAsia"/>
                <w:color w:val="000000"/>
                <w:sz w:val="24"/>
              </w:rPr>
            </w:pPr>
            <w:r>
              <w:rPr>
                <w:rFonts w:hint="eastAsia"/>
                <w:color w:val="000000"/>
                <w:sz w:val="24"/>
              </w:rPr>
              <w:t>（6）景观类型现状与评价</w:t>
            </w:r>
          </w:p>
          <w:p w14:paraId="68A79C17">
            <w:pPr>
              <w:ind w:firstLine="480" w:firstLineChars="200"/>
              <w:rPr>
                <w:rFonts w:hint="eastAsia"/>
                <w:color w:val="000000"/>
                <w:sz w:val="24"/>
              </w:rPr>
            </w:pPr>
            <w:r>
              <w:rPr>
                <w:rFonts w:hint="eastAsia"/>
                <w:color w:val="000000"/>
                <w:sz w:val="24"/>
              </w:rPr>
              <w:t>根据遥感影像解译结果，评价区内景观类型包括典型草原景观、人工建筑景观、干沟景观、低湿地景观共4类，景观类型分布见图13，景观类型统计见表19。</w:t>
            </w:r>
          </w:p>
          <w:p w14:paraId="15BAF70F">
            <w:pPr>
              <w:ind w:firstLine="480" w:firstLineChars="200"/>
              <w:rPr>
                <w:rFonts w:hint="eastAsia" w:ascii="黑体" w:hAnsi="黑体" w:eastAsia="黑体"/>
                <w:color w:val="000000"/>
                <w:sz w:val="24"/>
              </w:rPr>
            </w:pPr>
            <w:r>
              <w:rPr>
                <w:rFonts w:hint="eastAsia" w:ascii="黑体" w:hAnsi="黑体" w:eastAsia="黑体"/>
                <w:color w:val="000000"/>
                <w:sz w:val="24"/>
              </w:rPr>
              <w:t>表19                  评价范围内景观类型统计</w:t>
            </w:r>
          </w:p>
          <w:tbl>
            <w:tblPr>
              <w:tblStyle w:val="25"/>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28" w:type="dxa"/>
                <w:bottom w:w="0" w:type="dxa"/>
                <w:right w:w="28" w:type="dxa"/>
              </w:tblCellMar>
            </w:tblPr>
            <w:tblGrid>
              <w:gridCol w:w="999"/>
              <w:gridCol w:w="2573"/>
              <w:gridCol w:w="2516"/>
              <w:gridCol w:w="896"/>
              <w:gridCol w:w="913"/>
              <w:gridCol w:w="892"/>
            </w:tblGrid>
            <w:tr w14:paraId="3521524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Merge w:val="restart"/>
                  <w:vAlign w:val="center"/>
                </w:tcPr>
                <w:p w14:paraId="33EB736D">
                  <w:pPr>
                    <w:pStyle w:val="111"/>
                    <w:spacing w:line="240" w:lineRule="auto"/>
                    <w:ind w:left="-105" w:leftChars="-50" w:right="-105" w:rightChars="-50" w:firstLine="0" w:firstLineChars="0"/>
                    <w:jc w:val="center"/>
                    <w:rPr>
                      <w:rFonts w:hint="eastAsia"/>
                      <w:bCs/>
                      <w:snapToGrid w:val="0"/>
                      <w:kern w:val="24"/>
                      <w:sz w:val="21"/>
                      <w:szCs w:val="21"/>
                      <w:lang w:val="pt-BR"/>
                    </w:rPr>
                  </w:pPr>
                  <w:r>
                    <w:rPr>
                      <w:rFonts w:hint="eastAsia"/>
                      <w:bCs/>
                      <w:snapToGrid w:val="0"/>
                      <w:kern w:val="24"/>
                      <w:sz w:val="21"/>
                      <w:szCs w:val="21"/>
                      <w:lang w:val="pt-BR"/>
                    </w:rPr>
                    <w:t>区域</w:t>
                  </w:r>
                </w:p>
                <w:p w14:paraId="1E667C70">
                  <w:pPr>
                    <w:spacing w:line="0" w:lineRule="atLeast"/>
                    <w:jc w:val="center"/>
                    <w:rPr>
                      <w:rFonts w:hint="eastAsia"/>
                    </w:rPr>
                  </w:pPr>
                  <w:r>
                    <w:rPr>
                      <w:rFonts w:hint="eastAsia"/>
                      <w:bCs/>
                      <w:snapToGrid w:val="0"/>
                      <w:kern w:val="24"/>
                      <w:szCs w:val="21"/>
                      <w:lang w:val="pt-BR"/>
                    </w:rPr>
                    <w:t>名称</w:t>
                  </w:r>
                </w:p>
              </w:tc>
              <w:tc>
                <w:tcPr>
                  <w:tcW w:w="5089" w:type="dxa"/>
                  <w:gridSpan w:val="2"/>
                  <w:vAlign w:val="center"/>
                </w:tcPr>
                <w:p w14:paraId="04E1D13F">
                  <w:pPr>
                    <w:spacing w:line="0" w:lineRule="atLeast"/>
                    <w:ind w:left="-105" w:leftChars="-50" w:right="-105" w:rightChars="-50"/>
                    <w:jc w:val="center"/>
                    <w:rPr>
                      <w:bCs/>
                      <w:snapToGrid w:val="0"/>
                      <w:kern w:val="24"/>
                      <w:szCs w:val="21"/>
                      <w:lang w:val="pt-BR"/>
                    </w:rPr>
                  </w:pPr>
                  <w:r>
                    <w:rPr>
                      <w:rFonts w:hint="eastAsia"/>
                      <w:bCs/>
                      <w:snapToGrid w:val="0"/>
                      <w:kern w:val="24"/>
                      <w:szCs w:val="21"/>
                      <w:lang w:val="pt-BR"/>
                    </w:rPr>
                    <w:t>评价区景观类型统计</w:t>
                  </w:r>
                </w:p>
              </w:tc>
              <w:tc>
                <w:tcPr>
                  <w:tcW w:w="896" w:type="dxa"/>
                  <w:vMerge w:val="restart"/>
                  <w:vAlign w:val="center"/>
                </w:tcPr>
                <w:p w14:paraId="1D922332">
                  <w:pPr>
                    <w:pStyle w:val="111"/>
                    <w:spacing w:line="240" w:lineRule="auto"/>
                    <w:ind w:firstLine="0" w:firstLineChars="0"/>
                    <w:jc w:val="center"/>
                    <w:rPr>
                      <w:rFonts w:hint="eastAsia"/>
                      <w:bCs/>
                      <w:snapToGrid w:val="0"/>
                      <w:kern w:val="24"/>
                      <w:sz w:val="21"/>
                      <w:szCs w:val="21"/>
                      <w:lang w:val="pt-BR"/>
                    </w:rPr>
                  </w:pPr>
                  <w:r>
                    <w:rPr>
                      <w:rFonts w:hint="eastAsia"/>
                      <w:bCs/>
                      <w:snapToGrid w:val="0"/>
                      <w:kern w:val="24"/>
                      <w:sz w:val="21"/>
                      <w:szCs w:val="21"/>
                      <w:lang w:val="pt-BR"/>
                    </w:rPr>
                    <w:t>斑块数</w:t>
                  </w:r>
                </w:p>
                <w:p w14:paraId="73D32C93">
                  <w:pPr>
                    <w:spacing w:line="0" w:lineRule="atLeast"/>
                    <w:ind w:left="-105" w:leftChars="-50" w:right="-105" w:rightChars="-50"/>
                    <w:jc w:val="center"/>
                    <w:rPr>
                      <w:color w:val="000000"/>
                      <w:szCs w:val="21"/>
                    </w:rPr>
                  </w:pPr>
                  <w:r>
                    <w:rPr>
                      <w:rFonts w:hint="eastAsia"/>
                      <w:bCs/>
                      <w:snapToGrid w:val="0"/>
                      <w:kern w:val="24"/>
                      <w:szCs w:val="21"/>
                      <w:lang w:val="pt-BR"/>
                    </w:rPr>
                    <w:t>（个）</w:t>
                  </w:r>
                </w:p>
              </w:tc>
              <w:tc>
                <w:tcPr>
                  <w:tcW w:w="913" w:type="dxa"/>
                  <w:vMerge w:val="restart"/>
                  <w:vAlign w:val="center"/>
                </w:tcPr>
                <w:p w14:paraId="00422EA3">
                  <w:pPr>
                    <w:pStyle w:val="111"/>
                    <w:spacing w:line="240" w:lineRule="auto"/>
                    <w:ind w:firstLine="0" w:firstLineChars="0"/>
                    <w:jc w:val="center"/>
                    <w:rPr>
                      <w:rFonts w:hint="eastAsia"/>
                      <w:bCs/>
                      <w:snapToGrid w:val="0"/>
                      <w:kern w:val="24"/>
                      <w:sz w:val="21"/>
                      <w:szCs w:val="21"/>
                      <w:lang w:val="pt-BR"/>
                    </w:rPr>
                  </w:pPr>
                  <w:r>
                    <w:rPr>
                      <w:rFonts w:hint="eastAsia"/>
                      <w:bCs/>
                      <w:snapToGrid w:val="0"/>
                      <w:kern w:val="24"/>
                      <w:sz w:val="21"/>
                      <w:szCs w:val="21"/>
                      <w:lang w:val="pt-BR"/>
                    </w:rPr>
                    <w:t>面积</w:t>
                  </w:r>
                </w:p>
                <w:p w14:paraId="1D46B046">
                  <w:pPr>
                    <w:spacing w:line="0" w:lineRule="atLeast"/>
                    <w:ind w:left="-105" w:leftChars="-50" w:right="-105" w:rightChars="-50"/>
                    <w:jc w:val="center"/>
                    <w:rPr>
                      <w:color w:val="000000"/>
                      <w:szCs w:val="21"/>
                    </w:rPr>
                  </w:pPr>
                  <w:r>
                    <w:rPr>
                      <w:rFonts w:hint="eastAsia"/>
                      <w:bCs/>
                      <w:snapToGrid w:val="0"/>
                      <w:kern w:val="24"/>
                      <w:szCs w:val="21"/>
                      <w:lang w:val="pt-BR"/>
                    </w:rPr>
                    <w:t>（hm</w:t>
                  </w:r>
                  <w:r>
                    <w:rPr>
                      <w:rFonts w:hint="eastAsia"/>
                      <w:bCs/>
                      <w:snapToGrid w:val="0"/>
                      <w:kern w:val="24"/>
                      <w:szCs w:val="21"/>
                      <w:vertAlign w:val="superscript"/>
                      <w:lang w:val="pt-BR"/>
                    </w:rPr>
                    <w:t>2</w:t>
                  </w:r>
                  <w:r>
                    <w:rPr>
                      <w:rFonts w:hint="eastAsia"/>
                      <w:bCs/>
                      <w:snapToGrid w:val="0"/>
                      <w:kern w:val="24"/>
                      <w:szCs w:val="21"/>
                      <w:lang w:val="pt-BR"/>
                    </w:rPr>
                    <w:t>）</w:t>
                  </w:r>
                </w:p>
              </w:tc>
              <w:tc>
                <w:tcPr>
                  <w:tcW w:w="892" w:type="dxa"/>
                  <w:vMerge w:val="restart"/>
                  <w:vAlign w:val="center"/>
                </w:tcPr>
                <w:p w14:paraId="6C3EC8DE">
                  <w:pPr>
                    <w:pStyle w:val="111"/>
                    <w:spacing w:line="240" w:lineRule="auto"/>
                    <w:ind w:firstLine="0" w:firstLineChars="0"/>
                    <w:jc w:val="center"/>
                    <w:rPr>
                      <w:rFonts w:hint="eastAsia"/>
                      <w:bCs/>
                      <w:snapToGrid w:val="0"/>
                      <w:kern w:val="24"/>
                      <w:sz w:val="21"/>
                      <w:szCs w:val="21"/>
                      <w:lang w:val="pt-BR"/>
                    </w:rPr>
                  </w:pPr>
                  <w:r>
                    <w:rPr>
                      <w:rFonts w:hint="eastAsia"/>
                      <w:bCs/>
                      <w:snapToGrid w:val="0"/>
                      <w:kern w:val="24"/>
                      <w:sz w:val="21"/>
                      <w:szCs w:val="21"/>
                      <w:lang w:val="pt-BR"/>
                    </w:rPr>
                    <w:t>比例</w:t>
                  </w:r>
                </w:p>
                <w:p w14:paraId="037212C5">
                  <w:pPr>
                    <w:spacing w:line="0" w:lineRule="atLeast"/>
                    <w:ind w:left="-105" w:leftChars="-50" w:right="-105" w:rightChars="-50"/>
                    <w:jc w:val="center"/>
                    <w:rPr>
                      <w:rFonts w:hint="eastAsia"/>
                      <w:color w:val="000000"/>
                      <w:szCs w:val="21"/>
                    </w:rPr>
                  </w:pPr>
                  <w:r>
                    <w:rPr>
                      <w:rFonts w:hint="eastAsia"/>
                      <w:bCs/>
                      <w:snapToGrid w:val="0"/>
                      <w:kern w:val="24"/>
                      <w:szCs w:val="21"/>
                      <w:lang w:val="pt-BR"/>
                    </w:rPr>
                    <w:t>（%）</w:t>
                  </w:r>
                </w:p>
              </w:tc>
            </w:tr>
            <w:tr w14:paraId="47A731C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Merge w:val="continue"/>
                  <w:vAlign w:val="center"/>
                </w:tcPr>
                <w:p w14:paraId="7603B6D9">
                  <w:pPr>
                    <w:spacing w:line="0" w:lineRule="atLeast"/>
                    <w:jc w:val="center"/>
                    <w:rPr>
                      <w:rFonts w:hint="eastAsia"/>
                    </w:rPr>
                  </w:pPr>
                </w:p>
              </w:tc>
              <w:tc>
                <w:tcPr>
                  <w:tcW w:w="2573" w:type="dxa"/>
                  <w:vAlign w:val="center"/>
                </w:tcPr>
                <w:p w14:paraId="1A725379">
                  <w:pPr>
                    <w:spacing w:line="0" w:lineRule="atLeast"/>
                    <w:ind w:left="-105" w:leftChars="-50" w:right="-105" w:rightChars="-50"/>
                    <w:jc w:val="center"/>
                    <w:rPr>
                      <w:color w:val="000000"/>
                      <w:szCs w:val="21"/>
                    </w:rPr>
                  </w:pPr>
                  <w:r>
                    <w:rPr>
                      <w:rFonts w:hint="eastAsia"/>
                      <w:bCs/>
                      <w:snapToGrid w:val="0"/>
                      <w:kern w:val="24"/>
                      <w:szCs w:val="21"/>
                      <w:lang w:val="pt-BR"/>
                    </w:rPr>
                    <w:t>一级</w:t>
                  </w:r>
                </w:p>
              </w:tc>
              <w:tc>
                <w:tcPr>
                  <w:tcW w:w="2516" w:type="dxa"/>
                  <w:vAlign w:val="center"/>
                </w:tcPr>
                <w:p w14:paraId="4E542D18">
                  <w:pPr>
                    <w:spacing w:line="0" w:lineRule="atLeast"/>
                    <w:ind w:left="-105" w:leftChars="-50" w:right="-105" w:rightChars="-50"/>
                    <w:jc w:val="center"/>
                    <w:rPr>
                      <w:color w:val="000000"/>
                      <w:szCs w:val="21"/>
                    </w:rPr>
                  </w:pPr>
                  <w:r>
                    <w:rPr>
                      <w:rFonts w:hint="eastAsia"/>
                      <w:bCs/>
                      <w:snapToGrid w:val="0"/>
                      <w:kern w:val="24"/>
                      <w:szCs w:val="21"/>
                      <w:lang w:val="pt-BR"/>
                    </w:rPr>
                    <w:t>二级</w:t>
                  </w:r>
                </w:p>
              </w:tc>
              <w:tc>
                <w:tcPr>
                  <w:tcW w:w="896" w:type="dxa"/>
                  <w:vMerge w:val="continue"/>
                  <w:vAlign w:val="center"/>
                </w:tcPr>
                <w:p w14:paraId="6FE1130D">
                  <w:pPr>
                    <w:spacing w:line="0" w:lineRule="atLeast"/>
                    <w:ind w:left="-105" w:leftChars="-50" w:right="-105" w:rightChars="-50"/>
                    <w:jc w:val="center"/>
                    <w:rPr>
                      <w:color w:val="000000"/>
                      <w:szCs w:val="21"/>
                    </w:rPr>
                  </w:pPr>
                </w:p>
              </w:tc>
              <w:tc>
                <w:tcPr>
                  <w:tcW w:w="913" w:type="dxa"/>
                  <w:vMerge w:val="continue"/>
                  <w:vAlign w:val="center"/>
                </w:tcPr>
                <w:p w14:paraId="196ADC64">
                  <w:pPr>
                    <w:spacing w:line="0" w:lineRule="atLeast"/>
                    <w:ind w:left="-105" w:leftChars="-50" w:right="-105" w:rightChars="-50"/>
                    <w:jc w:val="center"/>
                    <w:rPr>
                      <w:color w:val="000000"/>
                      <w:szCs w:val="21"/>
                    </w:rPr>
                  </w:pPr>
                </w:p>
              </w:tc>
              <w:tc>
                <w:tcPr>
                  <w:tcW w:w="892" w:type="dxa"/>
                  <w:vMerge w:val="continue"/>
                  <w:vAlign w:val="center"/>
                </w:tcPr>
                <w:p w14:paraId="7D28B489">
                  <w:pPr>
                    <w:spacing w:line="0" w:lineRule="atLeast"/>
                    <w:ind w:left="-105" w:leftChars="-50" w:right="-105" w:rightChars="-50"/>
                    <w:jc w:val="center"/>
                    <w:rPr>
                      <w:rFonts w:hint="eastAsia"/>
                      <w:color w:val="000000"/>
                      <w:szCs w:val="21"/>
                    </w:rPr>
                  </w:pPr>
                </w:p>
              </w:tc>
            </w:tr>
            <w:tr w14:paraId="53FD2C7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Merge w:val="restart"/>
                  <w:vAlign w:val="center"/>
                </w:tcPr>
                <w:p w14:paraId="096E3E84">
                  <w:pPr>
                    <w:spacing w:line="0" w:lineRule="atLeast"/>
                    <w:jc w:val="center"/>
                    <w:rPr>
                      <w:rFonts w:hint="eastAsia"/>
                    </w:rPr>
                  </w:pPr>
                  <w:r>
                    <w:rPr>
                      <w:rFonts w:hint="eastAsia"/>
                      <w:bCs/>
                      <w:snapToGrid w:val="0"/>
                      <w:kern w:val="24"/>
                      <w:szCs w:val="21"/>
                      <w:lang w:val="pt-BR"/>
                    </w:rPr>
                    <w:t>评价区</w:t>
                  </w:r>
                </w:p>
              </w:tc>
              <w:tc>
                <w:tcPr>
                  <w:tcW w:w="2573" w:type="dxa"/>
                  <w:vAlign w:val="center"/>
                </w:tcPr>
                <w:p w14:paraId="4E8D9BEA">
                  <w:pPr>
                    <w:spacing w:line="0" w:lineRule="atLeast"/>
                    <w:ind w:left="-105" w:leftChars="-50" w:right="-105" w:rightChars="-50"/>
                    <w:jc w:val="center"/>
                    <w:rPr>
                      <w:color w:val="000000"/>
                      <w:szCs w:val="21"/>
                    </w:rPr>
                  </w:pPr>
                  <w:r>
                    <w:rPr>
                      <w:rFonts w:hint="eastAsia"/>
                      <w:color w:val="000000"/>
                      <w:szCs w:val="21"/>
                    </w:rPr>
                    <w:t>典型草原景观</w:t>
                  </w:r>
                </w:p>
              </w:tc>
              <w:tc>
                <w:tcPr>
                  <w:tcW w:w="2516" w:type="dxa"/>
                  <w:vAlign w:val="center"/>
                </w:tcPr>
                <w:p w14:paraId="026B51B5">
                  <w:pPr>
                    <w:spacing w:line="0" w:lineRule="atLeast"/>
                    <w:ind w:left="-105" w:leftChars="-50" w:right="-105" w:rightChars="-50"/>
                    <w:jc w:val="center"/>
                    <w:rPr>
                      <w:color w:val="000000"/>
                      <w:szCs w:val="21"/>
                    </w:rPr>
                  </w:pPr>
                  <w:r>
                    <w:rPr>
                      <w:rFonts w:hint="eastAsia"/>
                      <w:color w:val="000000"/>
                      <w:szCs w:val="21"/>
                    </w:rPr>
                    <w:t>典型草原景观</w:t>
                  </w:r>
                </w:p>
              </w:tc>
              <w:tc>
                <w:tcPr>
                  <w:tcW w:w="896" w:type="dxa"/>
                  <w:vAlign w:val="center"/>
                </w:tcPr>
                <w:p w14:paraId="4CE5122A">
                  <w:pPr>
                    <w:spacing w:line="0" w:lineRule="atLeast"/>
                    <w:ind w:left="-105" w:leftChars="-50" w:right="-105" w:rightChars="-50"/>
                    <w:jc w:val="center"/>
                    <w:rPr>
                      <w:color w:val="000000"/>
                      <w:szCs w:val="21"/>
                    </w:rPr>
                  </w:pPr>
                  <w:r>
                    <w:rPr>
                      <w:rFonts w:hint="eastAsia"/>
                      <w:color w:val="000000"/>
                      <w:szCs w:val="21"/>
                    </w:rPr>
                    <w:t>7</w:t>
                  </w:r>
                </w:p>
              </w:tc>
              <w:tc>
                <w:tcPr>
                  <w:tcW w:w="913" w:type="dxa"/>
                  <w:vAlign w:val="center"/>
                </w:tcPr>
                <w:p w14:paraId="4CA25F81">
                  <w:pPr>
                    <w:spacing w:line="0" w:lineRule="atLeast"/>
                    <w:ind w:left="-105" w:leftChars="-50" w:right="-105" w:rightChars="-50"/>
                    <w:jc w:val="center"/>
                    <w:rPr>
                      <w:color w:val="000000"/>
                      <w:szCs w:val="21"/>
                    </w:rPr>
                  </w:pPr>
                  <w:r>
                    <w:rPr>
                      <w:rFonts w:hint="eastAsia"/>
                      <w:color w:val="000000"/>
                      <w:szCs w:val="21"/>
                    </w:rPr>
                    <w:t xml:space="preserve">14799.17 </w:t>
                  </w:r>
                </w:p>
              </w:tc>
              <w:tc>
                <w:tcPr>
                  <w:tcW w:w="892" w:type="dxa"/>
                  <w:vAlign w:val="center"/>
                </w:tcPr>
                <w:p w14:paraId="2B1AA256">
                  <w:pPr>
                    <w:spacing w:line="0" w:lineRule="atLeast"/>
                    <w:ind w:left="-105" w:leftChars="-50" w:right="-105" w:rightChars="-50"/>
                    <w:jc w:val="center"/>
                    <w:rPr>
                      <w:color w:val="000000"/>
                      <w:szCs w:val="21"/>
                    </w:rPr>
                  </w:pPr>
                  <w:r>
                    <w:rPr>
                      <w:rFonts w:hint="eastAsia"/>
                      <w:color w:val="000000"/>
                      <w:szCs w:val="21"/>
                    </w:rPr>
                    <w:t xml:space="preserve">95.28 </w:t>
                  </w:r>
                </w:p>
              </w:tc>
            </w:tr>
            <w:tr w14:paraId="5B750E5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Merge w:val="continue"/>
                  <w:vAlign w:val="center"/>
                </w:tcPr>
                <w:p w14:paraId="0A122082">
                  <w:pPr>
                    <w:spacing w:line="0" w:lineRule="atLeast"/>
                    <w:jc w:val="center"/>
                    <w:rPr>
                      <w:rFonts w:hint="eastAsia"/>
                      <w:bCs/>
                      <w:snapToGrid w:val="0"/>
                      <w:kern w:val="24"/>
                      <w:szCs w:val="21"/>
                      <w:lang w:val="pt-BR"/>
                    </w:rPr>
                  </w:pPr>
                </w:p>
              </w:tc>
              <w:tc>
                <w:tcPr>
                  <w:tcW w:w="2573" w:type="dxa"/>
                  <w:vAlign w:val="center"/>
                </w:tcPr>
                <w:p w14:paraId="195E6971">
                  <w:pPr>
                    <w:spacing w:line="0" w:lineRule="atLeast"/>
                    <w:ind w:left="-105" w:leftChars="-50" w:right="-105" w:rightChars="-50"/>
                    <w:jc w:val="center"/>
                    <w:rPr>
                      <w:color w:val="000000"/>
                      <w:szCs w:val="21"/>
                    </w:rPr>
                  </w:pPr>
                  <w:r>
                    <w:rPr>
                      <w:rFonts w:hint="eastAsia"/>
                      <w:color w:val="000000"/>
                      <w:szCs w:val="21"/>
                    </w:rPr>
                    <w:t>人工建筑景观</w:t>
                  </w:r>
                </w:p>
              </w:tc>
              <w:tc>
                <w:tcPr>
                  <w:tcW w:w="2516" w:type="dxa"/>
                  <w:vAlign w:val="center"/>
                </w:tcPr>
                <w:p w14:paraId="01347C85">
                  <w:pPr>
                    <w:spacing w:line="0" w:lineRule="atLeast"/>
                    <w:ind w:left="-105" w:leftChars="-50" w:right="-105" w:rightChars="-50"/>
                    <w:jc w:val="center"/>
                    <w:rPr>
                      <w:color w:val="000000"/>
                      <w:szCs w:val="21"/>
                    </w:rPr>
                  </w:pPr>
                  <w:r>
                    <w:rPr>
                      <w:rFonts w:hint="eastAsia"/>
                      <w:color w:val="000000"/>
                      <w:szCs w:val="21"/>
                    </w:rPr>
                    <w:t>人工建筑景观</w:t>
                  </w:r>
                </w:p>
              </w:tc>
              <w:tc>
                <w:tcPr>
                  <w:tcW w:w="896" w:type="dxa"/>
                  <w:vAlign w:val="center"/>
                </w:tcPr>
                <w:p w14:paraId="5B44E505">
                  <w:pPr>
                    <w:spacing w:line="0" w:lineRule="atLeast"/>
                    <w:ind w:left="-105" w:leftChars="-50" w:right="-105" w:rightChars="-50"/>
                    <w:jc w:val="center"/>
                    <w:rPr>
                      <w:color w:val="000000"/>
                      <w:szCs w:val="21"/>
                    </w:rPr>
                  </w:pPr>
                  <w:r>
                    <w:rPr>
                      <w:rFonts w:hint="eastAsia"/>
                      <w:color w:val="000000"/>
                      <w:szCs w:val="21"/>
                    </w:rPr>
                    <w:t>28</w:t>
                  </w:r>
                </w:p>
              </w:tc>
              <w:tc>
                <w:tcPr>
                  <w:tcW w:w="913" w:type="dxa"/>
                  <w:vAlign w:val="center"/>
                </w:tcPr>
                <w:p w14:paraId="7037C31F">
                  <w:pPr>
                    <w:spacing w:line="0" w:lineRule="atLeast"/>
                    <w:ind w:left="-105" w:leftChars="-50" w:right="-105" w:rightChars="-50"/>
                    <w:jc w:val="center"/>
                    <w:rPr>
                      <w:color w:val="000000"/>
                      <w:szCs w:val="21"/>
                    </w:rPr>
                  </w:pPr>
                  <w:r>
                    <w:rPr>
                      <w:rFonts w:hint="eastAsia"/>
                      <w:color w:val="000000"/>
                      <w:szCs w:val="21"/>
                    </w:rPr>
                    <w:t xml:space="preserve">62.43 </w:t>
                  </w:r>
                </w:p>
              </w:tc>
              <w:tc>
                <w:tcPr>
                  <w:tcW w:w="892" w:type="dxa"/>
                  <w:vAlign w:val="center"/>
                </w:tcPr>
                <w:p w14:paraId="1830C760">
                  <w:pPr>
                    <w:spacing w:line="0" w:lineRule="atLeast"/>
                    <w:ind w:left="-105" w:leftChars="-50" w:right="-105" w:rightChars="-50"/>
                    <w:jc w:val="center"/>
                    <w:rPr>
                      <w:color w:val="000000"/>
                      <w:szCs w:val="21"/>
                    </w:rPr>
                  </w:pPr>
                  <w:r>
                    <w:rPr>
                      <w:rFonts w:hint="eastAsia"/>
                      <w:color w:val="000000"/>
                      <w:szCs w:val="21"/>
                    </w:rPr>
                    <w:t xml:space="preserve">0.40 </w:t>
                  </w:r>
                </w:p>
              </w:tc>
            </w:tr>
            <w:tr w14:paraId="331BE6C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Merge w:val="continue"/>
                  <w:vAlign w:val="center"/>
                </w:tcPr>
                <w:p w14:paraId="1EB27EF9">
                  <w:pPr>
                    <w:spacing w:line="0" w:lineRule="atLeast"/>
                    <w:jc w:val="center"/>
                    <w:rPr>
                      <w:rFonts w:hint="eastAsia"/>
                      <w:bCs/>
                      <w:snapToGrid w:val="0"/>
                      <w:kern w:val="24"/>
                      <w:szCs w:val="21"/>
                      <w:lang w:val="pt-BR"/>
                    </w:rPr>
                  </w:pPr>
                </w:p>
              </w:tc>
              <w:tc>
                <w:tcPr>
                  <w:tcW w:w="2573" w:type="dxa"/>
                  <w:vAlign w:val="center"/>
                </w:tcPr>
                <w:p w14:paraId="267E6D77">
                  <w:pPr>
                    <w:spacing w:line="0" w:lineRule="atLeast"/>
                    <w:ind w:left="-105" w:leftChars="-50" w:right="-105" w:rightChars="-50"/>
                    <w:jc w:val="center"/>
                    <w:rPr>
                      <w:color w:val="000000"/>
                      <w:szCs w:val="21"/>
                    </w:rPr>
                  </w:pPr>
                  <w:r>
                    <w:rPr>
                      <w:rFonts w:hint="eastAsia"/>
                      <w:color w:val="000000"/>
                      <w:szCs w:val="21"/>
                    </w:rPr>
                    <w:t>干沟景观</w:t>
                  </w:r>
                </w:p>
              </w:tc>
              <w:tc>
                <w:tcPr>
                  <w:tcW w:w="2516" w:type="dxa"/>
                  <w:vAlign w:val="center"/>
                </w:tcPr>
                <w:p w14:paraId="5F1DF701">
                  <w:pPr>
                    <w:spacing w:line="0" w:lineRule="atLeast"/>
                    <w:ind w:left="-105" w:leftChars="-50" w:right="-105" w:rightChars="-50"/>
                    <w:jc w:val="center"/>
                    <w:rPr>
                      <w:color w:val="000000"/>
                      <w:szCs w:val="21"/>
                    </w:rPr>
                  </w:pPr>
                  <w:r>
                    <w:rPr>
                      <w:rFonts w:hint="eastAsia"/>
                      <w:color w:val="000000"/>
                      <w:szCs w:val="21"/>
                    </w:rPr>
                    <w:t>干沟景观</w:t>
                  </w:r>
                </w:p>
              </w:tc>
              <w:tc>
                <w:tcPr>
                  <w:tcW w:w="896" w:type="dxa"/>
                  <w:vAlign w:val="center"/>
                </w:tcPr>
                <w:p w14:paraId="6F805AE3">
                  <w:pPr>
                    <w:spacing w:line="0" w:lineRule="atLeast"/>
                    <w:ind w:left="-105" w:leftChars="-50" w:right="-105" w:rightChars="-50"/>
                    <w:jc w:val="center"/>
                    <w:rPr>
                      <w:color w:val="000000"/>
                      <w:szCs w:val="21"/>
                    </w:rPr>
                  </w:pPr>
                  <w:r>
                    <w:rPr>
                      <w:rFonts w:hint="eastAsia"/>
                      <w:color w:val="000000"/>
                      <w:szCs w:val="21"/>
                    </w:rPr>
                    <w:t>2</w:t>
                  </w:r>
                </w:p>
              </w:tc>
              <w:tc>
                <w:tcPr>
                  <w:tcW w:w="913" w:type="dxa"/>
                  <w:vAlign w:val="center"/>
                </w:tcPr>
                <w:p w14:paraId="3FD1FB2E">
                  <w:pPr>
                    <w:spacing w:line="0" w:lineRule="atLeast"/>
                    <w:ind w:left="-105" w:leftChars="-50" w:right="-105" w:rightChars="-50"/>
                    <w:jc w:val="center"/>
                    <w:rPr>
                      <w:color w:val="000000"/>
                      <w:szCs w:val="21"/>
                    </w:rPr>
                  </w:pPr>
                  <w:r>
                    <w:rPr>
                      <w:rFonts w:hint="eastAsia"/>
                      <w:color w:val="000000"/>
                      <w:szCs w:val="21"/>
                    </w:rPr>
                    <w:t xml:space="preserve">85.08 </w:t>
                  </w:r>
                </w:p>
              </w:tc>
              <w:tc>
                <w:tcPr>
                  <w:tcW w:w="892" w:type="dxa"/>
                  <w:vAlign w:val="center"/>
                </w:tcPr>
                <w:p w14:paraId="68D98FE1">
                  <w:pPr>
                    <w:spacing w:line="0" w:lineRule="atLeast"/>
                    <w:ind w:left="-105" w:leftChars="-50" w:right="-105" w:rightChars="-50"/>
                    <w:jc w:val="center"/>
                    <w:rPr>
                      <w:color w:val="000000"/>
                      <w:szCs w:val="21"/>
                    </w:rPr>
                  </w:pPr>
                  <w:r>
                    <w:rPr>
                      <w:rFonts w:hint="eastAsia"/>
                      <w:color w:val="000000"/>
                      <w:szCs w:val="21"/>
                    </w:rPr>
                    <w:t xml:space="preserve">0.55 </w:t>
                  </w:r>
                </w:p>
              </w:tc>
            </w:tr>
            <w:tr w14:paraId="6E384A0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Merge w:val="continue"/>
                  <w:vAlign w:val="center"/>
                </w:tcPr>
                <w:p w14:paraId="5E163E4F">
                  <w:pPr>
                    <w:spacing w:line="0" w:lineRule="atLeast"/>
                    <w:jc w:val="center"/>
                    <w:rPr>
                      <w:rFonts w:hint="eastAsia"/>
                      <w:bCs/>
                      <w:snapToGrid w:val="0"/>
                      <w:kern w:val="24"/>
                      <w:szCs w:val="21"/>
                      <w:lang w:val="pt-BR"/>
                    </w:rPr>
                  </w:pPr>
                </w:p>
              </w:tc>
              <w:tc>
                <w:tcPr>
                  <w:tcW w:w="2573" w:type="dxa"/>
                  <w:vAlign w:val="center"/>
                </w:tcPr>
                <w:p w14:paraId="3231A59C">
                  <w:pPr>
                    <w:spacing w:line="0" w:lineRule="atLeast"/>
                    <w:ind w:left="-105" w:leftChars="-50" w:right="-105" w:rightChars="-50"/>
                    <w:jc w:val="center"/>
                    <w:rPr>
                      <w:color w:val="000000"/>
                      <w:szCs w:val="21"/>
                    </w:rPr>
                  </w:pPr>
                  <w:r>
                    <w:rPr>
                      <w:rFonts w:hint="eastAsia"/>
                      <w:color w:val="000000"/>
                      <w:szCs w:val="21"/>
                    </w:rPr>
                    <w:t>低湿地景观</w:t>
                  </w:r>
                </w:p>
              </w:tc>
              <w:tc>
                <w:tcPr>
                  <w:tcW w:w="2516" w:type="dxa"/>
                  <w:vAlign w:val="center"/>
                </w:tcPr>
                <w:p w14:paraId="0A7A0048">
                  <w:pPr>
                    <w:spacing w:line="0" w:lineRule="atLeast"/>
                    <w:ind w:left="-105" w:leftChars="-50" w:right="-105" w:rightChars="-50"/>
                    <w:jc w:val="center"/>
                    <w:rPr>
                      <w:color w:val="000000"/>
                      <w:szCs w:val="21"/>
                    </w:rPr>
                  </w:pPr>
                  <w:r>
                    <w:rPr>
                      <w:rFonts w:hint="eastAsia"/>
                      <w:color w:val="000000"/>
                      <w:szCs w:val="21"/>
                    </w:rPr>
                    <w:t>低湿地景观</w:t>
                  </w:r>
                </w:p>
              </w:tc>
              <w:tc>
                <w:tcPr>
                  <w:tcW w:w="896" w:type="dxa"/>
                  <w:vAlign w:val="center"/>
                </w:tcPr>
                <w:p w14:paraId="42860DA2">
                  <w:pPr>
                    <w:spacing w:line="0" w:lineRule="atLeast"/>
                    <w:ind w:left="-105" w:leftChars="-50" w:right="-105" w:rightChars="-50"/>
                    <w:jc w:val="center"/>
                    <w:rPr>
                      <w:color w:val="000000"/>
                      <w:szCs w:val="21"/>
                    </w:rPr>
                  </w:pPr>
                  <w:r>
                    <w:rPr>
                      <w:rFonts w:hint="eastAsia"/>
                      <w:color w:val="000000"/>
                      <w:szCs w:val="21"/>
                    </w:rPr>
                    <w:t>17</w:t>
                  </w:r>
                </w:p>
              </w:tc>
              <w:tc>
                <w:tcPr>
                  <w:tcW w:w="913" w:type="dxa"/>
                  <w:vAlign w:val="center"/>
                </w:tcPr>
                <w:p w14:paraId="40862397">
                  <w:pPr>
                    <w:spacing w:line="0" w:lineRule="atLeast"/>
                    <w:ind w:left="-105" w:leftChars="-50" w:right="-105" w:rightChars="-50"/>
                    <w:jc w:val="center"/>
                    <w:rPr>
                      <w:color w:val="000000"/>
                      <w:szCs w:val="21"/>
                    </w:rPr>
                  </w:pPr>
                  <w:r>
                    <w:rPr>
                      <w:rFonts w:hint="eastAsia"/>
                      <w:color w:val="000000"/>
                      <w:szCs w:val="21"/>
                    </w:rPr>
                    <w:t xml:space="preserve">585.53 </w:t>
                  </w:r>
                </w:p>
              </w:tc>
              <w:tc>
                <w:tcPr>
                  <w:tcW w:w="892" w:type="dxa"/>
                  <w:vAlign w:val="center"/>
                </w:tcPr>
                <w:p w14:paraId="72BD5F65">
                  <w:pPr>
                    <w:spacing w:line="0" w:lineRule="atLeast"/>
                    <w:ind w:left="-105" w:leftChars="-50" w:right="-105" w:rightChars="-50"/>
                    <w:jc w:val="center"/>
                    <w:rPr>
                      <w:color w:val="000000"/>
                      <w:szCs w:val="21"/>
                    </w:rPr>
                  </w:pPr>
                  <w:r>
                    <w:rPr>
                      <w:rFonts w:hint="eastAsia"/>
                      <w:color w:val="000000"/>
                      <w:szCs w:val="21"/>
                    </w:rPr>
                    <w:t xml:space="preserve">3.77 </w:t>
                  </w:r>
                </w:p>
              </w:tc>
            </w:tr>
            <w:tr w14:paraId="1D1B634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Merge w:val="continue"/>
                  <w:tcBorders>
                    <w:bottom w:val="double" w:color="auto" w:sz="4" w:space="0"/>
                  </w:tcBorders>
                  <w:vAlign w:val="center"/>
                </w:tcPr>
                <w:p w14:paraId="47F2A949">
                  <w:pPr>
                    <w:spacing w:line="0" w:lineRule="atLeast"/>
                    <w:jc w:val="center"/>
                    <w:rPr>
                      <w:rFonts w:hint="eastAsia"/>
                      <w:bCs/>
                      <w:snapToGrid w:val="0"/>
                      <w:kern w:val="24"/>
                      <w:szCs w:val="21"/>
                      <w:lang w:val="pt-BR"/>
                    </w:rPr>
                  </w:pPr>
                </w:p>
              </w:tc>
              <w:tc>
                <w:tcPr>
                  <w:tcW w:w="5089" w:type="dxa"/>
                  <w:gridSpan w:val="2"/>
                  <w:tcBorders>
                    <w:bottom w:val="double" w:color="auto" w:sz="4" w:space="0"/>
                  </w:tcBorders>
                  <w:vAlign w:val="center"/>
                </w:tcPr>
                <w:p w14:paraId="1C88930B">
                  <w:pPr>
                    <w:spacing w:line="0" w:lineRule="atLeast"/>
                    <w:ind w:left="-105" w:leftChars="-50" w:right="-105" w:rightChars="-50"/>
                    <w:jc w:val="center"/>
                    <w:rPr>
                      <w:rFonts w:hint="eastAsia"/>
                      <w:color w:val="000000"/>
                      <w:szCs w:val="21"/>
                    </w:rPr>
                  </w:pPr>
                  <w:r>
                    <w:rPr>
                      <w:rFonts w:hint="eastAsia"/>
                      <w:bCs/>
                      <w:snapToGrid w:val="0"/>
                      <w:kern w:val="24"/>
                      <w:szCs w:val="21"/>
                      <w:lang w:val="pt-BR"/>
                    </w:rPr>
                    <w:t>总计</w:t>
                  </w:r>
                </w:p>
              </w:tc>
              <w:tc>
                <w:tcPr>
                  <w:tcW w:w="896" w:type="dxa"/>
                  <w:tcBorders>
                    <w:bottom w:val="double" w:color="auto" w:sz="4" w:space="0"/>
                  </w:tcBorders>
                  <w:vAlign w:val="center"/>
                </w:tcPr>
                <w:p w14:paraId="587A967E">
                  <w:pPr>
                    <w:spacing w:line="0" w:lineRule="atLeast"/>
                    <w:ind w:left="-105" w:leftChars="-50" w:right="-105" w:rightChars="-50"/>
                    <w:jc w:val="center"/>
                    <w:rPr>
                      <w:rFonts w:hint="eastAsia"/>
                      <w:color w:val="000000"/>
                      <w:szCs w:val="21"/>
                    </w:rPr>
                  </w:pPr>
                  <w:r>
                    <w:rPr>
                      <w:rFonts w:hint="eastAsia"/>
                      <w:color w:val="000000"/>
                      <w:szCs w:val="21"/>
                    </w:rPr>
                    <w:t>54</w:t>
                  </w:r>
                </w:p>
              </w:tc>
              <w:tc>
                <w:tcPr>
                  <w:tcW w:w="913" w:type="dxa"/>
                  <w:tcBorders>
                    <w:bottom w:val="double" w:color="auto" w:sz="4" w:space="0"/>
                  </w:tcBorders>
                  <w:vAlign w:val="center"/>
                </w:tcPr>
                <w:p w14:paraId="51B38B37">
                  <w:pPr>
                    <w:spacing w:line="0" w:lineRule="atLeast"/>
                    <w:ind w:left="-105" w:leftChars="-50" w:right="-105" w:rightChars="-50"/>
                    <w:jc w:val="center"/>
                    <w:rPr>
                      <w:rFonts w:hint="eastAsia"/>
                      <w:color w:val="000000"/>
                      <w:szCs w:val="21"/>
                    </w:rPr>
                  </w:pPr>
                  <w:r>
                    <w:rPr>
                      <w:rFonts w:hint="eastAsia"/>
                      <w:color w:val="000000"/>
                      <w:szCs w:val="21"/>
                    </w:rPr>
                    <w:t>15532.22</w:t>
                  </w:r>
                </w:p>
              </w:tc>
              <w:tc>
                <w:tcPr>
                  <w:tcW w:w="892" w:type="dxa"/>
                  <w:tcBorders>
                    <w:bottom w:val="double" w:color="auto" w:sz="4" w:space="0"/>
                  </w:tcBorders>
                  <w:vAlign w:val="center"/>
                </w:tcPr>
                <w:p w14:paraId="6352B341">
                  <w:pPr>
                    <w:spacing w:line="0" w:lineRule="atLeast"/>
                    <w:ind w:left="-105" w:leftChars="-50" w:right="-105" w:rightChars="-50"/>
                    <w:jc w:val="center"/>
                    <w:rPr>
                      <w:rFonts w:hint="eastAsia"/>
                      <w:color w:val="000000"/>
                      <w:szCs w:val="21"/>
                    </w:rPr>
                  </w:pPr>
                  <w:r>
                    <w:rPr>
                      <w:rFonts w:hint="eastAsia"/>
                      <w:color w:val="000000"/>
                      <w:szCs w:val="21"/>
                    </w:rPr>
                    <w:t>100.00</w:t>
                  </w:r>
                </w:p>
              </w:tc>
            </w:tr>
            <w:tr w14:paraId="1EFDDA8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Merge w:val="restart"/>
                  <w:tcBorders>
                    <w:top w:val="double" w:color="auto" w:sz="4" w:space="0"/>
                    <w:bottom w:val="single" w:color="auto" w:sz="4" w:space="0"/>
                  </w:tcBorders>
                  <w:vAlign w:val="center"/>
                </w:tcPr>
                <w:p w14:paraId="40C3D566">
                  <w:pPr>
                    <w:spacing w:line="0" w:lineRule="atLeast"/>
                    <w:jc w:val="center"/>
                    <w:rPr>
                      <w:rFonts w:hint="eastAsia"/>
                      <w:bCs/>
                      <w:snapToGrid w:val="0"/>
                      <w:kern w:val="24"/>
                      <w:szCs w:val="21"/>
                      <w:lang w:val="pt-BR"/>
                    </w:rPr>
                  </w:pPr>
                  <w:r>
                    <w:rPr>
                      <w:rFonts w:hint="eastAsia"/>
                      <w:bCs/>
                      <w:snapToGrid w:val="0"/>
                      <w:kern w:val="24"/>
                      <w:szCs w:val="21"/>
                      <w:lang w:val="pt-BR"/>
                    </w:rPr>
                    <w:t>风电场</w:t>
                  </w:r>
                </w:p>
              </w:tc>
              <w:tc>
                <w:tcPr>
                  <w:tcW w:w="2573" w:type="dxa"/>
                  <w:tcBorders>
                    <w:top w:val="double" w:color="auto" w:sz="4" w:space="0"/>
                    <w:bottom w:val="single" w:color="auto" w:sz="4" w:space="0"/>
                  </w:tcBorders>
                  <w:vAlign w:val="center"/>
                </w:tcPr>
                <w:p w14:paraId="35951724">
                  <w:pPr>
                    <w:spacing w:line="0" w:lineRule="atLeast"/>
                    <w:ind w:left="-105" w:leftChars="-50" w:right="-105" w:rightChars="-50"/>
                    <w:jc w:val="center"/>
                    <w:rPr>
                      <w:color w:val="000000"/>
                      <w:szCs w:val="21"/>
                    </w:rPr>
                  </w:pPr>
                  <w:r>
                    <w:rPr>
                      <w:rFonts w:hint="eastAsia"/>
                      <w:color w:val="000000"/>
                      <w:szCs w:val="21"/>
                    </w:rPr>
                    <w:t>典型草原景观</w:t>
                  </w:r>
                </w:p>
              </w:tc>
              <w:tc>
                <w:tcPr>
                  <w:tcW w:w="2516" w:type="dxa"/>
                  <w:tcBorders>
                    <w:top w:val="double" w:color="auto" w:sz="4" w:space="0"/>
                    <w:bottom w:val="single" w:color="auto" w:sz="4" w:space="0"/>
                  </w:tcBorders>
                  <w:vAlign w:val="center"/>
                </w:tcPr>
                <w:p w14:paraId="2D7C72B2">
                  <w:pPr>
                    <w:spacing w:line="0" w:lineRule="atLeast"/>
                    <w:ind w:left="-105" w:leftChars="-50" w:right="-105" w:rightChars="-50"/>
                    <w:jc w:val="center"/>
                    <w:rPr>
                      <w:color w:val="000000"/>
                      <w:szCs w:val="21"/>
                    </w:rPr>
                  </w:pPr>
                  <w:r>
                    <w:rPr>
                      <w:rFonts w:hint="eastAsia"/>
                      <w:color w:val="000000"/>
                      <w:szCs w:val="21"/>
                    </w:rPr>
                    <w:t>典型草原景观</w:t>
                  </w:r>
                </w:p>
              </w:tc>
              <w:tc>
                <w:tcPr>
                  <w:tcW w:w="896" w:type="dxa"/>
                  <w:tcBorders>
                    <w:top w:val="double" w:color="auto" w:sz="4" w:space="0"/>
                    <w:bottom w:val="single" w:color="auto" w:sz="4" w:space="0"/>
                  </w:tcBorders>
                  <w:vAlign w:val="center"/>
                </w:tcPr>
                <w:p w14:paraId="2DEB7FF7">
                  <w:pPr>
                    <w:spacing w:line="0" w:lineRule="atLeast"/>
                    <w:ind w:left="-105" w:leftChars="-50" w:right="-105" w:rightChars="-50"/>
                    <w:jc w:val="center"/>
                    <w:rPr>
                      <w:color w:val="000000"/>
                      <w:szCs w:val="21"/>
                    </w:rPr>
                  </w:pPr>
                  <w:r>
                    <w:rPr>
                      <w:rFonts w:hint="eastAsia"/>
                      <w:color w:val="000000"/>
                      <w:szCs w:val="21"/>
                    </w:rPr>
                    <w:t>2</w:t>
                  </w:r>
                </w:p>
              </w:tc>
              <w:tc>
                <w:tcPr>
                  <w:tcW w:w="913" w:type="dxa"/>
                  <w:tcBorders>
                    <w:top w:val="double" w:color="auto" w:sz="4" w:space="0"/>
                    <w:bottom w:val="single" w:color="auto" w:sz="4" w:space="0"/>
                  </w:tcBorders>
                  <w:vAlign w:val="center"/>
                </w:tcPr>
                <w:p w14:paraId="232BA731">
                  <w:pPr>
                    <w:spacing w:line="0" w:lineRule="atLeast"/>
                    <w:ind w:left="-105" w:leftChars="-50" w:right="-105" w:rightChars="-50"/>
                    <w:jc w:val="center"/>
                    <w:rPr>
                      <w:color w:val="000000"/>
                      <w:szCs w:val="21"/>
                    </w:rPr>
                  </w:pPr>
                  <w:r>
                    <w:rPr>
                      <w:rFonts w:hint="eastAsia"/>
                      <w:color w:val="000000"/>
                      <w:szCs w:val="21"/>
                    </w:rPr>
                    <w:t xml:space="preserve">9604.15 </w:t>
                  </w:r>
                </w:p>
              </w:tc>
              <w:tc>
                <w:tcPr>
                  <w:tcW w:w="892" w:type="dxa"/>
                  <w:tcBorders>
                    <w:top w:val="double" w:color="auto" w:sz="4" w:space="0"/>
                    <w:bottom w:val="single" w:color="auto" w:sz="4" w:space="0"/>
                  </w:tcBorders>
                  <w:vAlign w:val="center"/>
                </w:tcPr>
                <w:p w14:paraId="7546B354">
                  <w:pPr>
                    <w:spacing w:line="0" w:lineRule="atLeast"/>
                    <w:ind w:left="-105" w:leftChars="-50" w:right="-105" w:rightChars="-50"/>
                    <w:jc w:val="center"/>
                    <w:rPr>
                      <w:rFonts w:hint="eastAsia"/>
                      <w:color w:val="000000"/>
                      <w:szCs w:val="21"/>
                    </w:rPr>
                  </w:pPr>
                  <w:r>
                    <w:rPr>
                      <w:rFonts w:hint="eastAsia"/>
                      <w:color w:val="000000"/>
                      <w:szCs w:val="21"/>
                    </w:rPr>
                    <w:t>61.83</w:t>
                  </w:r>
                </w:p>
              </w:tc>
            </w:tr>
            <w:tr w14:paraId="2C36A6F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Merge w:val="continue"/>
                  <w:tcBorders>
                    <w:top w:val="single" w:color="auto" w:sz="4" w:space="0"/>
                    <w:bottom w:val="single" w:color="auto" w:sz="4" w:space="0"/>
                  </w:tcBorders>
                  <w:vAlign w:val="center"/>
                </w:tcPr>
                <w:p w14:paraId="670C49D9">
                  <w:pPr>
                    <w:spacing w:line="0" w:lineRule="atLeast"/>
                    <w:jc w:val="center"/>
                    <w:rPr>
                      <w:rFonts w:hint="eastAsia"/>
                      <w:bCs/>
                      <w:snapToGrid w:val="0"/>
                      <w:kern w:val="24"/>
                      <w:szCs w:val="21"/>
                      <w:lang w:val="pt-BR"/>
                    </w:rPr>
                  </w:pPr>
                </w:p>
              </w:tc>
              <w:tc>
                <w:tcPr>
                  <w:tcW w:w="2573" w:type="dxa"/>
                  <w:tcBorders>
                    <w:top w:val="single" w:color="auto" w:sz="4" w:space="0"/>
                    <w:bottom w:val="single" w:color="auto" w:sz="4" w:space="0"/>
                  </w:tcBorders>
                  <w:vAlign w:val="center"/>
                </w:tcPr>
                <w:p w14:paraId="34162626">
                  <w:pPr>
                    <w:spacing w:line="0" w:lineRule="atLeast"/>
                    <w:ind w:left="-105" w:leftChars="-50" w:right="-105" w:rightChars="-50"/>
                    <w:jc w:val="center"/>
                    <w:rPr>
                      <w:color w:val="000000"/>
                      <w:szCs w:val="21"/>
                    </w:rPr>
                  </w:pPr>
                  <w:r>
                    <w:rPr>
                      <w:rFonts w:hint="eastAsia"/>
                      <w:color w:val="000000"/>
                      <w:szCs w:val="21"/>
                    </w:rPr>
                    <w:t>人工建筑景观</w:t>
                  </w:r>
                </w:p>
              </w:tc>
              <w:tc>
                <w:tcPr>
                  <w:tcW w:w="2516" w:type="dxa"/>
                  <w:tcBorders>
                    <w:top w:val="single" w:color="auto" w:sz="4" w:space="0"/>
                    <w:bottom w:val="single" w:color="auto" w:sz="4" w:space="0"/>
                  </w:tcBorders>
                  <w:vAlign w:val="center"/>
                </w:tcPr>
                <w:p w14:paraId="57060D45">
                  <w:pPr>
                    <w:spacing w:line="0" w:lineRule="atLeast"/>
                    <w:ind w:left="-105" w:leftChars="-50" w:right="-105" w:rightChars="-50"/>
                    <w:jc w:val="center"/>
                    <w:rPr>
                      <w:color w:val="000000"/>
                      <w:szCs w:val="21"/>
                    </w:rPr>
                  </w:pPr>
                  <w:r>
                    <w:rPr>
                      <w:rFonts w:hint="eastAsia"/>
                      <w:color w:val="000000"/>
                      <w:szCs w:val="21"/>
                    </w:rPr>
                    <w:t>人工建筑景观</w:t>
                  </w:r>
                </w:p>
              </w:tc>
              <w:tc>
                <w:tcPr>
                  <w:tcW w:w="896" w:type="dxa"/>
                  <w:tcBorders>
                    <w:top w:val="single" w:color="auto" w:sz="4" w:space="0"/>
                    <w:bottom w:val="single" w:color="auto" w:sz="4" w:space="0"/>
                  </w:tcBorders>
                  <w:vAlign w:val="center"/>
                </w:tcPr>
                <w:p w14:paraId="4B6E38B3">
                  <w:pPr>
                    <w:spacing w:line="0" w:lineRule="atLeast"/>
                    <w:ind w:left="-105" w:leftChars="-50" w:right="-105" w:rightChars="-50"/>
                    <w:jc w:val="center"/>
                    <w:rPr>
                      <w:color w:val="000000"/>
                      <w:szCs w:val="21"/>
                    </w:rPr>
                  </w:pPr>
                  <w:r>
                    <w:rPr>
                      <w:rFonts w:hint="eastAsia"/>
                      <w:color w:val="000000"/>
                      <w:szCs w:val="21"/>
                    </w:rPr>
                    <w:t>12</w:t>
                  </w:r>
                </w:p>
              </w:tc>
              <w:tc>
                <w:tcPr>
                  <w:tcW w:w="913" w:type="dxa"/>
                  <w:tcBorders>
                    <w:top w:val="single" w:color="auto" w:sz="4" w:space="0"/>
                    <w:bottom w:val="single" w:color="auto" w:sz="4" w:space="0"/>
                  </w:tcBorders>
                  <w:vAlign w:val="center"/>
                </w:tcPr>
                <w:p w14:paraId="003153B6">
                  <w:pPr>
                    <w:spacing w:line="0" w:lineRule="atLeast"/>
                    <w:ind w:left="-105" w:leftChars="-50" w:right="-105" w:rightChars="-50"/>
                    <w:jc w:val="center"/>
                    <w:rPr>
                      <w:color w:val="000000"/>
                      <w:szCs w:val="21"/>
                    </w:rPr>
                  </w:pPr>
                  <w:r>
                    <w:rPr>
                      <w:rFonts w:hint="eastAsia"/>
                      <w:color w:val="000000"/>
                      <w:szCs w:val="21"/>
                    </w:rPr>
                    <w:t xml:space="preserve">12.48 </w:t>
                  </w:r>
                </w:p>
              </w:tc>
              <w:tc>
                <w:tcPr>
                  <w:tcW w:w="892" w:type="dxa"/>
                  <w:tcBorders>
                    <w:top w:val="single" w:color="auto" w:sz="4" w:space="0"/>
                    <w:bottom w:val="single" w:color="auto" w:sz="4" w:space="0"/>
                  </w:tcBorders>
                  <w:vAlign w:val="center"/>
                </w:tcPr>
                <w:p w14:paraId="39FB316A">
                  <w:pPr>
                    <w:spacing w:line="0" w:lineRule="atLeast"/>
                    <w:ind w:left="-105" w:leftChars="-50" w:right="-105" w:rightChars="-50"/>
                    <w:jc w:val="center"/>
                    <w:rPr>
                      <w:rFonts w:hint="eastAsia"/>
                      <w:color w:val="000000"/>
                      <w:szCs w:val="21"/>
                    </w:rPr>
                  </w:pPr>
                  <w:r>
                    <w:rPr>
                      <w:rFonts w:hint="eastAsia"/>
                      <w:color w:val="000000"/>
                      <w:szCs w:val="21"/>
                    </w:rPr>
                    <w:t>0.08</w:t>
                  </w:r>
                </w:p>
              </w:tc>
            </w:tr>
            <w:tr w14:paraId="49871A1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Merge w:val="continue"/>
                  <w:tcBorders>
                    <w:top w:val="single" w:color="auto" w:sz="4" w:space="0"/>
                    <w:bottom w:val="single" w:color="auto" w:sz="4" w:space="0"/>
                  </w:tcBorders>
                  <w:vAlign w:val="center"/>
                </w:tcPr>
                <w:p w14:paraId="00D1B5F7">
                  <w:pPr>
                    <w:spacing w:line="0" w:lineRule="atLeast"/>
                    <w:jc w:val="center"/>
                    <w:rPr>
                      <w:rFonts w:hint="eastAsia"/>
                      <w:bCs/>
                      <w:snapToGrid w:val="0"/>
                      <w:kern w:val="24"/>
                      <w:szCs w:val="21"/>
                      <w:lang w:val="pt-BR"/>
                    </w:rPr>
                  </w:pPr>
                </w:p>
              </w:tc>
              <w:tc>
                <w:tcPr>
                  <w:tcW w:w="2573" w:type="dxa"/>
                  <w:tcBorders>
                    <w:top w:val="single" w:color="auto" w:sz="4" w:space="0"/>
                    <w:bottom w:val="single" w:color="auto" w:sz="4" w:space="0"/>
                  </w:tcBorders>
                  <w:vAlign w:val="center"/>
                </w:tcPr>
                <w:p w14:paraId="4CD4258D">
                  <w:pPr>
                    <w:spacing w:line="0" w:lineRule="atLeast"/>
                    <w:ind w:left="-105" w:leftChars="-50" w:right="-105" w:rightChars="-50"/>
                    <w:jc w:val="center"/>
                    <w:rPr>
                      <w:color w:val="000000"/>
                      <w:szCs w:val="21"/>
                    </w:rPr>
                  </w:pPr>
                  <w:r>
                    <w:rPr>
                      <w:rFonts w:hint="eastAsia"/>
                      <w:color w:val="000000"/>
                      <w:szCs w:val="21"/>
                    </w:rPr>
                    <w:t>干沟景观</w:t>
                  </w:r>
                </w:p>
              </w:tc>
              <w:tc>
                <w:tcPr>
                  <w:tcW w:w="2516" w:type="dxa"/>
                  <w:tcBorders>
                    <w:top w:val="single" w:color="auto" w:sz="4" w:space="0"/>
                    <w:bottom w:val="single" w:color="auto" w:sz="4" w:space="0"/>
                  </w:tcBorders>
                  <w:vAlign w:val="center"/>
                </w:tcPr>
                <w:p w14:paraId="55C1B5E1">
                  <w:pPr>
                    <w:spacing w:line="0" w:lineRule="atLeast"/>
                    <w:ind w:left="-105" w:leftChars="-50" w:right="-105" w:rightChars="-50"/>
                    <w:jc w:val="center"/>
                    <w:rPr>
                      <w:color w:val="000000"/>
                      <w:szCs w:val="21"/>
                    </w:rPr>
                  </w:pPr>
                  <w:r>
                    <w:rPr>
                      <w:rFonts w:hint="eastAsia"/>
                      <w:color w:val="000000"/>
                      <w:szCs w:val="21"/>
                    </w:rPr>
                    <w:t>干沟景观</w:t>
                  </w:r>
                </w:p>
              </w:tc>
              <w:tc>
                <w:tcPr>
                  <w:tcW w:w="896" w:type="dxa"/>
                  <w:tcBorders>
                    <w:top w:val="single" w:color="auto" w:sz="4" w:space="0"/>
                    <w:bottom w:val="single" w:color="auto" w:sz="4" w:space="0"/>
                  </w:tcBorders>
                  <w:vAlign w:val="center"/>
                </w:tcPr>
                <w:p w14:paraId="4C4E4A5A">
                  <w:pPr>
                    <w:spacing w:line="0" w:lineRule="atLeast"/>
                    <w:ind w:left="-105" w:leftChars="-50" w:right="-105" w:rightChars="-50"/>
                    <w:jc w:val="center"/>
                    <w:rPr>
                      <w:color w:val="000000"/>
                      <w:szCs w:val="21"/>
                    </w:rPr>
                  </w:pPr>
                  <w:r>
                    <w:rPr>
                      <w:rFonts w:hint="eastAsia"/>
                      <w:color w:val="000000"/>
                      <w:szCs w:val="21"/>
                    </w:rPr>
                    <w:t>2</w:t>
                  </w:r>
                </w:p>
              </w:tc>
              <w:tc>
                <w:tcPr>
                  <w:tcW w:w="913" w:type="dxa"/>
                  <w:tcBorders>
                    <w:top w:val="single" w:color="auto" w:sz="4" w:space="0"/>
                    <w:bottom w:val="single" w:color="auto" w:sz="4" w:space="0"/>
                  </w:tcBorders>
                  <w:vAlign w:val="center"/>
                </w:tcPr>
                <w:p w14:paraId="7E408D3B">
                  <w:pPr>
                    <w:spacing w:line="0" w:lineRule="atLeast"/>
                    <w:ind w:left="-105" w:leftChars="-50" w:right="-105" w:rightChars="-50"/>
                    <w:jc w:val="center"/>
                    <w:rPr>
                      <w:color w:val="000000"/>
                      <w:szCs w:val="21"/>
                    </w:rPr>
                  </w:pPr>
                  <w:r>
                    <w:rPr>
                      <w:rFonts w:hint="eastAsia"/>
                      <w:color w:val="000000"/>
                      <w:szCs w:val="21"/>
                    </w:rPr>
                    <w:t xml:space="preserve">58.51 </w:t>
                  </w:r>
                </w:p>
              </w:tc>
              <w:tc>
                <w:tcPr>
                  <w:tcW w:w="892" w:type="dxa"/>
                  <w:tcBorders>
                    <w:top w:val="single" w:color="auto" w:sz="4" w:space="0"/>
                    <w:bottom w:val="single" w:color="auto" w:sz="4" w:space="0"/>
                  </w:tcBorders>
                  <w:vAlign w:val="center"/>
                </w:tcPr>
                <w:p w14:paraId="12B903E0">
                  <w:pPr>
                    <w:spacing w:line="0" w:lineRule="atLeast"/>
                    <w:ind w:left="-105" w:leftChars="-50" w:right="-105" w:rightChars="-50"/>
                    <w:jc w:val="center"/>
                    <w:rPr>
                      <w:rFonts w:hint="eastAsia"/>
                      <w:color w:val="000000"/>
                      <w:szCs w:val="21"/>
                    </w:rPr>
                  </w:pPr>
                  <w:r>
                    <w:rPr>
                      <w:rFonts w:hint="eastAsia"/>
                      <w:color w:val="000000"/>
                      <w:szCs w:val="21"/>
                    </w:rPr>
                    <w:t>0.38</w:t>
                  </w:r>
                </w:p>
              </w:tc>
            </w:tr>
            <w:tr w14:paraId="4BEE449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Merge w:val="continue"/>
                  <w:tcBorders>
                    <w:top w:val="single" w:color="auto" w:sz="4" w:space="0"/>
                    <w:bottom w:val="single" w:color="auto" w:sz="4" w:space="0"/>
                  </w:tcBorders>
                  <w:vAlign w:val="center"/>
                </w:tcPr>
                <w:p w14:paraId="34F627DA">
                  <w:pPr>
                    <w:spacing w:line="0" w:lineRule="atLeast"/>
                    <w:jc w:val="center"/>
                    <w:rPr>
                      <w:rFonts w:hint="eastAsia"/>
                      <w:bCs/>
                      <w:snapToGrid w:val="0"/>
                      <w:kern w:val="24"/>
                      <w:szCs w:val="21"/>
                      <w:lang w:val="pt-BR"/>
                    </w:rPr>
                  </w:pPr>
                </w:p>
              </w:tc>
              <w:tc>
                <w:tcPr>
                  <w:tcW w:w="2573" w:type="dxa"/>
                  <w:tcBorders>
                    <w:top w:val="single" w:color="auto" w:sz="4" w:space="0"/>
                    <w:bottom w:val="single" w:color="auto" w:sz="4" w:space="0"/>
                  </w:tcBorders>
                  <w:vAlign w:val="center"/>
                </w:tcPr>
                <w:p w14:paraId="7B7664FE">
                  <w:pPr>
                    <w:spacing w:line="0" w:lineRule="atLeast"/>
                    <w:ind w:left="-105" w:leftChars="-50" w:right="-105" w:rightChars="-50"/>
                    <w:jc w:val="center"/>
                    <w:rPr>
                      <w:color w:val="000000"/>
                      <w:szCs w:val="21"/>
                    </w:rPr>
                  </w:pPr>
                  <w:r>
                    <w:rPr>
                      <w:rFonts w:hint="eastAsia"/>
                      <w:color w:val="000000"/>
                      <w:szCs w:val="21"/>
                    </w:rPr>
                    <w:t>低湿地景观</w:t>
                  </w:r>
                </w:p>
              </w:tc>
              <w:tc>
                <w:tcPr>
                  <w:tcW w:w="2516" w:type="dxa"/>
                  <w:tcBorders>
                    <w:top w:val="single" w:color="auto" w:sz="4" w:space="0"/>
                    <w:bottom w:val="single" w:color="auto" w:sz="4" w:space="0"/>
                  </w:tcBorders>
                  <w:vAlign w:val="center"/>
                </w:tcPr>
                <w:p w14:paraId="00B6F055">
                  <w:pPr>
                    <w:spacing w:line="0" w:lineRule="atLeast"/>
                    <w:ind w:left="-105" w:leftChars="-50" w:right="-105" w:rightChars="-50"/>
                    <w:jc w:val="center"/>
                    <w:rPr>
                      <w:color w:val="000000"/>
                      <w:szCs w:val="21"/>
                    </w:rPr>
                  </w:pPr>
                  <w:r>
                    <w:rPr>
                      <w:rFonts w:hint="eastAsia"/>
                      <w:color w:val="000000"/>
                      <w:szCs w:val="21"/>
                    </w:rPr>
                    <w:t>低湿地景观</w:t>
                  </w:r>
                </w:p>
              </w:tc>
              <w:tc>
                <w:tcPr>
                  <w:tcW w:w="896" w:type="dxa"/>
                  <w:tcBorders>
                    <w:top w:val="single" w:color="auto" w:sz="4" w:space="0"/>
                    <w:bottom w:val="single" w:color="auto" w:sz="4" w:space="0"/>
                  </w:tcBorders>
                  <w:vAlign w:val="center"/>
                </w:tcPr>
                <w:p w14:paraId="6E81093F">
                  <w:pPr>
                    <w:spacing w:line="0" w:lineRule="atLeast"/>
                    <w:ind w:left="-105" w:leftChars="-50" w:right="-105" w:rightChars="-50"/>
                    <w:jc w:val="center"/>
                    <w:rPr>
                      <w:color w:val="000000"/>
                      <w:szCs w:val="21"/>
                    </w:rPr>
                  </w:pPr>
                  <w:r>
                    <w:rPr>
                      <w:rFonts w:hint="eastAsia"/>
                      <w:color w:val="000000"/>
                      <w:szCs w:val="21"/>
                    </w:rPr>
                    <w:t>14</w:t>
                  </w:r>
                </w:p>
              </w:tc>
              <w:tc>
                <w:tcPr>
                  <w:tcW w:w="913" w:type="dxa"/>
                  <w:tcBorders>
                    <w:top w:val="single" w:color="auto" w:sz="4" w:space="0"/>
                    <w:bottom w:val="single" w:color="auto" w:sz="4" w:space="0"/>
                  </w:tcBorders>
                  <w:vAlign w:val="center"/>
                </w:tcPr>
                <w:p w14:paraId="64E80618">
                  <w:pPr>
                    <w:spacing w:line="0" w:lineRule="atLeast"/>
                    <w:ind w:left="-105" w:leftChars="-50" w:right="-105" w:rightChars="-50"/>
                    <w:jc w:val="center"/>
                    <w:rPr>
                      <w:color w:val="000000"/>
                      <w:szCs w:val="21"/>
                    </w:rPr>
                  </w:pPr>
                  <w:r>
                    <w:rPr>
                      <w:rFonts w:hint="eastAsia"/>
                      <w:color w:val="000000"/>
                      <w:szCs w:val="21"/>
                    </w:rPr>
                    <w:t xml:space="preserve">451.02 </w:t>
                  </w:r>
                </w:p>
              </w:tc>
              <w:tc>
                <w:tcPr>
                  <w:tcW w:w="892" w:type="dxa"/>
                  <w:tcBorders>
                    <w:top w:val="single" w:color="auto" w:sz="4" w:space="0"/>
                    <w:bottom w:val="single" w:color="auto" w:sz="4" w:space="0"/>
                  </w:tcBorders>
                  <w:vAlign w:val="center"/>
                </w:tcPr>
                <w:p w14:paraId="51003729">
                  <w:pPr>
                    <w:spacing w:line="0" w:lineRule="atLeast"/>
                    <w:ind w:left="-105" w:leftChars="-50" w:right="-105" w:rightChars="-50"/>
                    <w:jc w:val="center"/>
                    <w:rPr>
                      <w:rFonts w:hint="eastAsia"/>
                      <w:color w:val="000000"/>
                      <w:szCs w:val="21"/>
                    </w:rPr>
                  </w:pPr>
                  <w:r>
                    <w:rPr>
                      <w:rFonts w:hint="eastAsia"/>
                      <w:color w:val="000000"/>
                      <w:szCs w:val="21"/>
                    </w:rPr>
                    <w:t>2.90</w:t>
                  </w:r>
                </w:p>
              </w:tc>
            </w:tr>
            <w:tr w14:paraId="5976517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999" w:type="dxa"/>
                  <w:vMerge w:val="continue"/>
                  <w:tcBorders>
                    <w:top w:val="single" w:color="auto" w:sz="4" w:space="0"/>
                    <w:bottom w:val="single" w:color="auto" w:sz="8" w:space="0"/>
                  </w:tcBorders>
                  <w:vAlign w:val="center"/>
                </w:tcPr>
                <w:p w14:paraId="09944DA8">
                  <w:pPr>
                    <w:spacing w:line="0" w:lineRule="atLeast"/>
                    <w:jc w:val="center"/>
                    <w:rPr>
                      <w:rFonts w:hint="eastAsia"/>
                      <w:bCs/>
                      <w:snapToGrid w:val="0"/>
                      <w:kern w:val="24"/>
                      <w:szCs w:val="21"/>
                      <w:lang w:val="pt-BR"/>
                    </w:rPr>
                  </w:pPr>
                </w:p>
              </w:tc>
              <w:tc>
                <w:tcPr>
                  <w:tcW w:w="5089" w:type="dxa"/>
                  <w:gridSpan w:val="2"/>
                  <w:tcBorders>
                    <w:top w:val="single" w:color="auto" w:sz="4" w:space="0"/>
                    <w:bottom w:val="single" w:color="auto" w:sz="8" w:space="0"/>
                  </w:tcBorders>
                  <w:vAlign w:val="center"/>
                </w:tcPr>
                <w:p w14:paraId="1962989B">
                  <w:pPr>
                    <w:spacing w:line="0" w:lineRule="atLeast"/>
                    <w:ind w:left="-105" w:leftChars="-50" w:right="-105" w:rightChars="-50"/>
                    <w:jc w:val="center"/>
                    <w:rPr>
                      <w:rFonts w:hint="eastAsia"/>
                      <w:color w:val="000000"/>
                      <w:szCs w:val="21"/>
                    </w:rPr>
                  </w:pPr>
                  <w:r>
                    <w:rPr>
                      <w:rFonts w:hint="eastAsia"/>
                      <w:color w:val="000000"/>
                      <w:szCs w:val="21"/>
                    </w:rPr>
                    <w:t>合计</w:t>
                  </w:r>
                </w:p>
              </w:tc>
              <w:tc>
                <w:tcPr>
                  <w:tcW w:w="896" w:type="dxa"/>
                  <w:tcBorders>
                    <w:top w:val="single" w:color="auto" w:sz="4" w:space="0"/>
                    <w:bottom w:val="single" w:color="auto" w:sz="8" w:space="0"/>
                  </w:tcBorders>
                  <w:vAlign w:val="center"/>
                </w:tcPr>
                <w:p w14:paraId="50D385BD">
                  <w:pPr>
                    <w:spacing w:line="0" w:lineRule="atLeast"/>
                    <w:ind w:left="-105" w:leftChars="-50" w:right="-105" w:rightChars="-50"/>
                    <w:jc w:val="center"/>
                    <w:rPr>
                      <w:rFonts w:hint="eastAsia"/>
                      <w:color w:val="000000"/>
                      <w:szCs w:val="21"/>
                    </w:rPr>
                  </w:pPr>
                  <w:r>
                    <w:rPr>
                      <w:rFonts w:hint="eastAsia"/>
                      <w:color w:val="000000"/>
                      <w:szCs w:val="21"/>
                    </w:rPr>
                    <w:t>30</w:t>
                  </w:r>
                </w:p>
              </w:tc>
              <w:tc>
                <w:tcPr>
                  <w:tcW w:w="913" w:type="dxa"/>
                  <w:tcBorders>
                    <w:top w:val="single" w:color="auto" w:sz="4" w:space="0"/>
                    <w:bottom w:val="single" w:color="auto" w:sz="8" w:space="0"/>
                  </w:tcBorders>
                  <w:vAlign w:val="center"/>
                </w:tcPr>
                <w:p w14:paraId="63196B7F">
                  <w:pPr>
                    <w:spacing w:line="0" w:lineRule="atLeast"/>
                    <w:ind w:left="-105" w:leftChars="-50" w:right="-105" w:rightChars="-50"/>
                    <w:jc w:val="center"/>
                    <w:rPr>
                      <w:rFonts w:hint="eastAsia"/>
                      <w:color w:val="000000"/>
                      <w:szCs w:val="21"/>
                    </w:rPr>
                  </w:pPr>
                  <w:r>
                    <w:rPr>
                      <w:rFonts w:hint="eastAsia"/>
                      <w:color w:val="000000"/>
                      <w:szCs w:val="21"/>
                    </w:rPr>
                    <w:t>10126.16</w:t>
                  </w:r>
                </w:p>
              </w:tc>
              <w:tc>
                <w:tcPr>
                  <w:tcW w:w="892" w:type="dxa"/>
                  <w:tcBorders>
                    <w:top w:val="single" w:color="auto" w:sz="4" w:space="0"/>
                    <w:bottom w:val="single" w:color="auto" w:sz="8" w:space="0"/>
                  </w:tcBorders>
                  <w:vAlign w:val="center"/>
                </w:tcPr>
                <w:p w14:paraId="1724B4E9">
                  <w:pPr>
                    <w:spacing w:line="0" w:lineRule="atLeast"/>
                    <w:ind w:left="-105" w:leftChars="-50" w:right="-105" w:rightChars="-50"/>
                    <w:jc w:val="center"/>
                    <w:rPr>
                      <w:rFonts w:hint="eastAsia"/>
                      <w:color w:val="000000"/>
                      <w:szCs w:val="21"/>
                    </w:rPr>
                  </w:pPr>
                  <w:r>
                    <w:rPr>
                      <w:rFonts w:hint="eastAsia"/>
                      <w:color w:val="000000"/>
                      <w:szCs w:val="21"/>
                    </w:rPr>
                    <w:t>65.19</w:t>
                  </w:r>
                </w:p>
              </w:tc>
            </w:tr>
          </w:tbl>
          <w:p w14:paraId="6E800EF0">
            <w:pPr>
              <w:spacing w:beforeLines="50"/>
              <w:ind w:firstLine="480" w:firstLineChars="200"/>
              <w:rPr>
                <w:rFonts w:hint="eastAsia"/>
                <w:color w:val="000000"/>
                <w:sz w:val="24"/>
              </w:rPr>
            </w:pPr>
            <w:r>
              <w:rPr>
                <w:rFonts w:hint="eastAsia"/>
                <w:color w:val="000000"/>
                <w:sz w:val="24"/>
              </w:rPr>
              <w:t>从图13及表19可看出，评价区范围内景观类型以典型草原景观为主，面积为14799.17hm</w:t>
            </w:r>
            <w:r>
              <w:rPr>
                <w:rFonts w:hint="eastAsia"/>
                <w:color w:val="000000"/>
                <w:sz w:val="24"/>
                <w:vertAlign w:val="superscript"/>
              </w:rPr>
              <w:t>2</w:t>
            </w:r>
            <w:r>
              <w:rPr>
                <w:rFonts w:hint="eastAsia"/>
                <w:color w:val="000000"/>
                <w:sz w:val="24"/>
              </w:rPr>
              <w:t>，占评价区总面积的95.28%；人工建筑景观面积为62.43hm</w:t>
            </w:r>
            <w:r>
              <w:rPr>
                <w:rFonts w:hint="eastAsia"/>
                <w:color w:val="000000"/>
                <w:sz w:val="24"/>
                <w:vertAlign w:val="superscript"/>
              </w:rPr>
              <w:t>2</w:t>
            </w:r>
            <w:r>
              <w:rPr>
                <w:rFonts w:hint="eastAsia"/>
                <w:color w:val="000000"/>
                <w:sz w:val="24"/>
              </w:rPr>
              <w:t>，占评价区总面积的0.40%；干沟景观面积为85.08hm</w:t>
            </w:r>
            <w:r>
              <w:rPr>
                <w:rFonts w:hint="eastAsia"/>
                <w:color w:val="000000"/>
                <w:sz w:val="24"/>
                <w:vertAlign w:val="superscript"/>
              </w:rPr>
              <w:t>2</w:t>
            </w:r>
            <w:r>
              <w:rPr>
                <w:rFonts w:hint="eastAsia"/>
                <w:color w:val="000000"/>
                <w:sz w:val="24"/>
              </w:rPr>
              <w:t>，占评价区总面积的0.55%；低湿地景观面积为585.53hm</w:t>
            </w:r>
            <w:r>
              <w:rPr>
                <w:rFonts w:hint="eastAsia"/>
                <w:color w:val="000000"/>
                <w:sz w:val="24"/>
                <w:vertAlign w:val="superscript"/>
              </w:rPr>
              <w:t>2</w:t>
            </w:r>
            <w:r>
              <w:rPr>
                <w:rFonts w:hint="eastAsia"/>
                <w:color w:val="000000"/>
                <w:sz w:val="24"/>
              </w:rPr>
              <w:t>，占评价区总面积的3.77%。</w:t>
            </w:r>
          </w:p>
          <w:p w14:paraId="72D330E3">
            <w:pPr>
              <w:ind w:firstLine="480" w:firstLineChars="200"/>
              <w:rPr>
                <w:rFonts w:hint="eastAsia"/>
                <w:color w:val="000000"/>
                <w:sz w:val="24"/>
              </w:rPr>
            </w:pPr>
            <w:r>
              <w:rPr>
                <w:rFonts w:hint="eastAsia"/>
                <w:color w:val="000000"/>
                <w:sz w:val="24"/>
              </w:rPr>
              <w:t>风电场区域景观类型以典型草原景观为主，面积为9604.15hm</w:t>
            </w:r>
            <w:r>
              <w:rPr>
                <w:rFonts w:hint="eastAsia"/>
                <w:color w:val="000000"/>
                <w:sz w:val="24"/>
                <w:vertAlign w:val="superscript"/>
              </w:rPr>
              <w:t>2</w:t>
            </w:r>
            <w:r>
              <w:rPr>
                <w:rFonts w:hint="eastAsia"/>
                <w:color w:val="000000"/>
                <w:sz w:val="24"/>
              </w:rPr>
              <w:t>，占评价区总面积的61.83%；人工建筑景观面积为12.48hm</w:t>
            </w:r>
            <w:r>
              <w:rPr>
                <w:rFonts w:hint="eastAsia"/>
                <w:color w:val="000000"/>
                <w:sz w:val="24"/>
                <w:vertAlign w:val="superscript"/>
              </w:rPr>
              <w:t>2</w:t>
            </w:r>
            <w:r>
              <w:rPr>
                <w:rFonts w:hint="eastAsia"/>
                <w:color w:val="000000"/>
                <w:sz w:val="24"/>
              </w:rPr>
              <w:t>，占评价区总面积的0.08%；干沟景观面积为58.51hm</w:t>
            </w:r>
            <w:r>
              <w:rPr>
                <w:rFonts w:hint="eastAsia"/>
                <w:color w:val="000000"/>
                <w:sz w:val="24"/>
                <w:vertAlign w:val="superscript"/>
              </w:rPr>
              <w:t>2</w:t>
            </w:r>
            <w:r>
              <w:rPr>
                <w:rFonts w:hint="eastAsia"/>
                <w:color w:val="000000"/>
                <w:sz w:val="24"/>
              </w:rPr>
              <w:t>，占评价区总面积的0.38%；低湿地景观面积为451.02hm</w:t>
            </w:r>
            <w:r>
              <w:rPr>
                <w:rFonts w:hint="eastAsia"/>
                <w:color w:val="000000"/>
                <w:sz w:val="24"/>
                <w:vertAlign w:val="superscript"/>
              </w:rPr>
              <w:t>2</w:t>
            </w:r>
            <w:r>
              <w:rPr>
                <w:rFonts w:hint="eastAsia"/>
                <w:color w:val="000000"/>
                <w:sz w:val="24"/>
              </w:rPr>
              <w:t>，占评价区总面积的2.90%。</w:t>
            </w:r>
          </w:p>
          <w:p w14:paraId="0B53E909">
            <w:pPr>
              <w:ind w:firstLine="480" w:firstLineChars="200"/>
              <w:rPr>
                <w:rFonts w:hint="eastAsia"/>
                <w:color w:val="000000"/>
                <w:sz w:val="24"/>
              </w:rPr>
            </w:pPr>
          </w:p>
          <w:p w14:paraId="479FD285">
            <w:pPr>
              <w:rPr>
                <w:rFonts w:hint="eastAsia"/>
                <w:color w:val="000000"/>
                <w:sz w:val="24"/>
              </w:rPr>
            </w:pPr>
            <w:r>
              <w:drawing>
                <wp:anchor distT="0" distB="0" distL="114300" distR="114300" simplePos="0" relativeHeight="251670528" behindDoc="0" locked="0" layoutInCell="1" allowOverlap="1">
                  <wp:simplePos x="0" y="0"/>
                  <wp:positionH relativeFrom="column">
                    <wp:posOffset>-1306830</wp:posOffset>
                  </wp:positionH>
                  <wp:positionV relativeFrom="paragraph">
                    <wp:posOffset>1419225</wp:posOffset>
                  </wp:positionV>
                  <wp:extent cx="8213090" cy="5524500"/>
                  <wp:effectExtent l="0" t="1371600" r="0" b="1371600"/>
                  <wp:wrapNone/>
                  <wp:docPr id="25" name="图片 746" descr="景观类型图A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746" descr="景观类型图A3"/>
                          <pic:cNvPicPr>
                            <a:picLocks noChangeAspect="1" noChangeArrowheads="1"/>
                          </pic:cNvPicPr>
                        </pic:nvPicPr>
                        <pic:blipFill>
                          <a:blip r:embed="rId16" cstate="print"/>
                          <a:srcRect l="5623" t="7671" r="5421" b="7671"/>
                          <a:stretch>
                            <a:fillRect/>
                          </a:stretch>
                        </pic:blipFill>
                        <pic:spPr>
                          <a:xfrm rot="16200000">
                            <a:off x="0" y="0"/>
                            <a:ext cx="8213090" cy="5524500"/>
                          </a:xfrm>
                          <a:prstGeom prst="rect">
                            <a:avLst/>
                          </a:prstGeom>
                          <a:noFill/>
                          <a:ln w="12700">
                            <a:solidFill>
                              <a:srgbClr val="000000"/>
                            </a:solidFill>
                            <a:miter lim="800000"/>
                            <a:headEnd/>
                            <a:tailEnd/>
                          </a:ln>
                        </pic:spPr>
                      </pic:pic>
                    </a:graphicData>
                  </a:graphic>
                </wp:anchor>
              </w:drawing>
            </w:r>
          </w:p>
          <w:p w14:paraId="5B90FB52">
            <w:pPr>
              <w:ind w:firstLine="480" w:firstLineChars="200"/>
              <w:rPr>
                <w:rFonts w:hint="eastAsia"/>
                <w:color w:val="000000"/>
                <w:sz w:val="24"/>
              </w:rPr>
            </w:pPr>
          </w:p>
          <w:p w14:paraId="0F162B5A">
            <w:pPr>
              <w:ind w:firstLine="480" w:firstLineChars="200"/>
              <w:rPr>
                <w:rFonts w:hint="eastAsia"/>
                <w:color w:val="000000"/>
                <w:sz w:val="24"/>
              </w:rPr>
            </w:pPr>
          </w:p>
          <w:p w14:paraId="21A14DAA">
            <w:pPr>
              <w:ind w:firstLine="480" w:firstLineChars="200"/>
              <w:rPr>
                <w:rFonts w:hint="eastAsia"/>
                <w:color w:val="000000"/>
                <w:sz w:val="24"/>
              </w:rPr>
            </w:pPr>
          </w:p>
          <w:p w14:paraId="0A718B6D">
            <w:pPr>
              <w:ind w:firstLine="480" w:firstLineChars="200"/>
              <w:rPr>
                <w:rFonts w:hint="eastAsia"/>
                <w:color w:val="000000"/>
                <w:sz w:val="24"/>
              </w:rPr>
            </w:pPr>
          </w:p>
          <w:p w14:paraId="2F5264BF">
            <w:pPr>
              <w:ind w:firstLine="480" w:firstLineChars="200"/>
              <w:rPr>
                <w:rFonts w:hint="eastAsia"/>
                <w:color w:val="000000"/>
                <w:sz w:val="24"/>
              </w:rPr>
            </w:pPr>
          </w:p>
          <w:p w14:paraId="765AC85E">
            <w:pPr>
              <w:ind w:firstLine="480" w:firstLineChars="200"/>
              <w:rPr>
                <w:rFonts w:hint="eastAsia"/>
                <w:color w:val="000000"/>
                <w:sz w:val="24"/>
              </w:rPr>
            </w:pPr>
          </w:p>
          <w:p w14:paraId="66DFB485">
            <w:pPr>
              <w:ind w:firstLine="480" w:firstLineChars="200"/>
              <w:rPr>
                <w:rFonts w:hint="eastAsia"/>
                <w:color w:val="000000"/>
                <w:sz w:val="24"/>
              </w:rPr>
            </w:pPr>
          </w:p>
          <w:p w14:paraId="541D0715">
            <w:pPr>
              <w:ind w:firstLine="480" w:firstLineChars="200"/>
              <w:rPr>
                <w:rFonts w:hint="eastAsia"/>
                <w:color w:val="000000"/>
                <w:sz w:val="24"/>
              </w:rPr>
            </w:pPr>
          </w:p>
          <w:p w14:paraId="4AF76544">
            <w:pPr>
              <w:ind w:firstLine="480" w:firstLineChars="200"/>
              <w:rPr>
                <w:rFonts w:hint="eastAsia"/>
                <w:color w:val="000000"/>
                <w:sz w:val="24"/>
              </w:rPr>
            </w:pPr>
          </w:p>
          <w:p w14:paraId="673CBA21">
            <w:pPr>
              <w:ind w:firstLine="480" w:firstLineChars="200"/>
              <w:rPr>
                <w:rFonts w:hint="eastAsia"/>
                <w:color w:val="000000"/>
                <w:sz w:val="24"/>
              </w:rPr>
            </w:pPr>
          </w:p>
          <w:p w14:paraId="5A5897D8">
            <w:pPr>
              <w:ind w:firstLine="480" w:firstLineChars="200"/>
              <w:rPr>
                <w:rFonts w:hint="eastAsia"/>
                <w:color w:val="000000"/>
                <w:sz w:val="24"/>
              </w:rPr>
            </w:pPr>
          </w:p>
          <w:p w14:paraId="000338C9">
            <w:pPr>
              <w:ind w:firstLine="480" w:firstLineChars="200"/>
              <w:rPr>
                <w:rFonts w:hint="eastAsia"/>
                <w:color w:val="000000"/>
                <w:sz w:val="24"/>
              </w:rPr>
            </w:pPr>
          </w:p>
          <w:p w14:paraId="45FFE8F0">
            <w:pPr>
              <w:ind w:firstLine="480" w:firstLineChars="200"/>
              <w:rPr>
                <w:rFonts w:hint="eastAsia"/>
                <w:color w:val="000000"/>
                <w:sz w:val="24"/>
              </w:rPr>
            </w:pPr>
          </w:p>
          <w:p w14:paraId="13FF8AC6">
            <w:pPr>
              <w:ind w:firstLine="480" w:firstLineChars="200"/>
              <w:rPr>
                <w:rFonts w:hint="eastAsia"/>
                <w:color w:val="000000"/>
                <w:sz w:val="24"/>
              </w:rPr>
            </w:pPr>
          </w:p>
          <w:p w14:paraId="27F73565">
            <w:pPr>
              <w:ind w:firstLine="480" w:firstLineChars="200"/>
              <w:rPr>
                <w:rFonts w:hint="eastAsia"/>
                <w:color w:val="000000"/>
                <w:sz w:val="24"/>
              </w:rPr>
            </w:pPr>
          </w:p>
          <w:p w14:paraId="4C5D721C">
            <w:pPr>
              <w:ind w:firstLine="480" w:firstLineChars="200"/>
              <w:rPr>
                <w:rFonts w:hint="eastAsia"/>
                <w:color w:val="000000"/>
                <w:sz w:val="24"/>
              </w:rPr>
            </w:pPr>
          </w:p>
          <w:p w14:paraId="7D878F3D">
            <w:pPr>
              <w:ind w:firstLine="480" w:firstLineChars="200"/>
              <w:rPr>
                <w:rFonts w:hint="eastAsia"/>
                <w:color w:val="000000"/>
                <w:sz w:val="24"/>
              </w:rPr>
            </w:pPr>
          </w:p>
          <w:p w14:paraId="0068506D">
            <w:pPr>
              <w:ind w:firstLine="480" w:firstLineChars="200"/>
              <w:rPr>
                <w:rFonts w:hint="eastAsia"/>
                <w:color w:val="000000"/>
                <w:sz w:val="24"/>
              </w:rPr>
            </w:pPr>
          </w:p>
          <w:p w14:paraId="7D7EBA21">
            <w:pPr>
              <w:ind w:firstLine="480" w:firstLineChars="200"/>
              <w:rPr>
                <w:rFonts w:hint="eastAsia"/>
                <w:color w:val="000000"/>
                <w:sz w:val="24"/>
              </w:rPr>
            </w:pPr>
          </w:p>
          <w:p w14:paraId="6B29FE25">
            <w:pPr>
              <w:ind w:firstLine="480" w:firstLineChars="200"/>
              <w:rPr>
                <w:rFonts w:hint="eastAsia"/>
                <w:color w:val="000000"/>
                <w:sz w:val="24"/>
              </w:rPr>
            </w:pPr>
          </w:p>
          <w:p w14:paraId="4BCAB623">
            <w:pPr>
              <w:ind w:firstLine="480" w:firstLineChars="200"/>
              <w:rPr>
                <w:rFonts w:hint="eastAsia"/>
                <w:color w:val="000000"/>
                <w:sz w:val="24"/>
              </w:rPr>
            </w:pPr>
          </w:p>
          <w:p w14:paraId="6F9D2F30">
            <w:pPr>
              <w:ind w:firstLine="480" w:firstLineChars="200"/>
              <w:rPr>
                <w:rFonts w:hint="eastAsia"/>
                <w:color w:val="000000"/>
                <w:sz w:val="24"/>
              </w:rPr>
            </w:pPr>
          </w:p>
          <w:p w14:paraId="2268CD71">
            <w:pPr>
              <w:ind w:firstLine="480" w:firstLineChars="200"/>
              <w:rPr>
                <w:rFonts w:hint="eastAsia"/>
                <w:color w:val="000000"/>
                <w:sz w:val="24"/>
              </w:rPr>
            </w:pPr>
          </w:p>
          <w:p w14:paraId="1E126737">
            <w:pPr>
              <w:ind w:firstLine="480" w:firstLineChars="200"/>
              <w:rPr>
                <w:rFonts w:hint="eastAsia"/>
                <w:color w:val="000000"/>
                <w:sz w:val="24"/>
              </w:rPr>
            </w:pPr>
          </w:p>
          <w:p w14:paraId="019F2960">
            <w:pPr>
              <w:ind w:firstLine="480" w:firstLineChars="200"/>
              <w:rPr>
                <w:rFonts w:hint="eastAsia"/>
                <w:color w:val="000000"/>
                <w:sz w:val="24"/>
              </w:rPr>
            </w:pPr>
          </w:p>
          <w:p w14:paraId="5816E965">
            <w:pPr>
              <w:ind w:firstLine="480" w:firstLineChars="200"/>
              <w:rPr>
                <w:rFonts w:hint="eastAsia"/>
                <w:color w:val="000000"/>
                <w:sz w:val="24"/>
              </w:rPr>
            </w:pPr>
          </w:p>
          <w:p w14:paraId="1D0B8581">
            <w:pPr>
              <w:ind w:firstLine="480" w:firstLineChars="200"/>
              <w:rPr>
                <w:rFonts w:hint="eastAsia"/>
                <w:color w:val="000000"/>
                <w:sz w:val="24"/>
              </w:rPr>
            </w:pPr>
          </w:p>
          <w:p w14:paraId="04AFE7D6">
            <w:pPr>
              <w:jc w:val="center"/>
              <w:rPr>
                <w:rFonts w:hint="eastAsia" w:ascii="黑体" w:hAnsi="黑体" w:eastAsia="黑体"/>
                <w:color w:val="000000"/>
                <w:sz w:val="24"/>
              </w:rPr>
            </w:pPr>
            <w:r>
              <w:rPr>
                <w:rFonts w:hint="eastAsia" w:ascii="黑体" w:hAnsi="黑体" w:eastAsia="黑体"/>
                <w:color w:val="000000"/>
                <w:sz w:val="24"/>
              </w:rPr>
              <w:t>图13  评价区景观类型分布图</w:t>
            </w:r>
          </w:p>
        </w:tc>
      </w:tr>
      <w:tr w14:paraId="7B380D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8" w:hRule="atLeast"/>
        </w:trPr>
        <w:tc>
          <w:tcPr>
            <w:tcW w:w="9072" w:type="dxa"/>
          </w:tcPr>
          <w:p w14:paraId="612AA0C3">
            <w:pPr>
              <w:pStyle w:val="11"/>
              <w:spacing w:after="0"/>
              <w:rPr>
                <w:rFonts w:ascii="宋体" w:hAnsi="宋体"/>
                <w:b/>
                <w:bCs/>
                <w:color w:val="000000"/>
                <w:sz w:val="28"/>
                <w:szCs w:val="28"/>
              </w:rPr>
            </w:pPr>
            <w:r>
              <w:rPr>
                <w:rFonts w:hint="eastAsia" w:ascii="宋体" w:hAnsi="宋体"/>
                <w:b/>
                <w:bCs/>
                <w:color w:val="000000"/>
                <w:sz w:val="28"/>
                <w:szCs w:val="28"/>
              </w:rPr>
              <w:t>主要环境保护目标（列出名单及保护级别）：</w:t>
            </w:r>
          </w:p>
          <w:p w14:paraId="71F4F779">
            <w:pPr>
              <w:pStyle w:val="111"/>
              <w:ind w:firstLine="480"/>
              <w:rPr>
                <w:rFonts w:hint="eastAsia"/>
                <w:color w:val="000000"/>
              </w:rPr>
            </w:pPr>
            <w:r>
              <w:rPr>
                <w:rFonts w:hint="eastAsia"/>
                <w:color w:val="000000"/>
              </w:rPr>
              <w:t>根据现场勘察，评价区域内没有重点文物、自然保护区、珍稀动植物资源等重点保护目标。根据项目性质及周围环境特征，本次评价将升压站周边2.5km范围及检修道路两侧200m范围内的居民点作为大气环境保护对象，风力发电机周围</w:t>
            </w:r>
            <w:r>
              <w:rPr>
                <w:rFonts w:hint="eastAsia"/>
                <w:color w:val="FF0000"/>
              </w:rPr>
              <w:t>700m</w:t>
            </w:r>
            <w:r>
              <w:rPr>
                <w:rFonts w:hint="eastAsia"/>
                <w:color w:val="000000"/>
              </w:rPr>
              <w:t>区域、升压站围墙外200m以内区域、检修道路及进站道路两侧200m以内区域作为声环境保护对象。主要保护目标见表20，环境保护目标分布见图14。</w:t>
            </w:r>
          </w:p>
          <w:p w14:paraId="0204A66C">
            <w:pPr>
              <w:ind w:firstLine="480" w:firstLineChars="200"/>
              <w:rPr>
                <w:rFonts w:hint="eastAsia" w:ascii="黑体" w:hAnsi="黑体" w:eastAsia="黑体"/>
                <w:color w:val="000000"/>
                <w:sz w:val="24"/>
              </w:rPr>
            </w:pPr>
            <w:r>
              <w:rPr>
                <w:rFonts w:hint="eastAsia" w:ascii="黑体" w:hAnsi="黑体" w:eastAsia="黑体"/>
                <w:color w:val="000000"/>
                <w:sz w:val="24"/>
              </w:rPr>
              <w:t>表20                    环境保护目标一览表</w:t>
            </w:r>
          </w:p>
          <w:tbl>
            <w:tblPr>
              <w:tblStyle w:val="25"/>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066"/>
              <w:gridCol w:w="870"/>
              <w:gridCol w:w="736"/>
              <w:gridCol w:w="645"/>
              <w:gridCol w:w="864"/>
              <w:gridCol w:w="648"/>
              <w:gridCol w:w="2431"/>
              <w:gridCol w:w="1514"/>
            </w:tblGrid>
            <w:tr w14:paraId="2E673D7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1066" w:type="dxa"/>
                  <w:vAlign w:val="center"/>
                </w:tcPr>
                <w:p w14:paraId="57AFFFD7">
                  <w:pPr>
                    <w:pStyle w:val="111"/>
                    <w:spacing w:line="240" w:lineRule="auto"/>
                    <w:ind w:left="-105" w:leftChars="-50" w:right="-105" w:rightChars="-50" w:firstLine="0" w:firstLineChars="0"/>
                    <w:jc w:val="center"/>
                    <w:rPr>
                      <w:rFonts w:hint="eastAsia"/>
                      <w:bCs/>
                      <w:snapToGrid w:val="0"/>
                      <w:color w:val="000000"/>
                      <w:kern w:val="24"/>
                      <w:sz w:val="21"/>
                      <w:szCs w:val="21"/>
                    </w:rPr>
                  </w:pPr>
                  <w:r>
                    <w:rPr>
                      <w:rFonts w:hint="eastAsia"/>
                      <w:bCs/>
                      <w:snapToGrid w:val="0"/>
                      <w:color w:val="000000"/>
                      <w:kern w:val="24"/>
                      <w:sz w:val="21"/>
                      <w:szCs w:val="21"/>
                    </w:rPr>
                    <w:t>环境要素</w:t>
                  </w:r>
                </w:p>
              </w:tc>
              <w:tc>
                <w:tcPr>
                  <w:tcW w:w="1606" w:type="dxa"/>
                  <w:gridSpan w:val="2"/>
                  <w:vAlign w:val="center"/>
                </w:tcPr>
                <w:p w14:paraId="1A603EDC">
                  <w:pPr>
                    <w:pStyle w:val="111"/>
                    <w:spacing w:line="240" w:lineRule="auto"/>
                    <w:ind w:left="-105" w:leftChars="-50" w:right="-105" w:rightChars="-50" w:firstLine="0" w:firstLineChars="0"/>
                    <w:jc w:val="center"/>
                    <w:rPr>
                      <w:rFonts w:hint="eastAsia"/>
                      <w:bCs/>
                      <w:snapToGrid w:val="0"/>
                      <w:color w:val="000000"/>
                      <w:kern w:val="24"/>
                      <w:sz w:val="21"/>
                      <w:szCs w:val="21"/>
                    </w:rPr>
                  </w:pPr>
                  <w:r>
                    <w:rPr>
                      <w:rFonts w:hint="eastAsia"/>
                      <w:bCs/>
                      <w:snapToGrid w:val="0"/>
                      <w:color w:val="000000"/>
                      <w:kern w:val="24"/>
                      <w:sz w:val="21"/>
                      <w:szCs w:val="21"/>
                    </w:rPr>
                    <w:t>保护对象</w:t>
                  </w:r>
                </w:p>
              </w:tc>
              <w:tc>
                <w:tcPr>
                  <w:tcW w:w="1509" w:type="dxa"/>
                  <w:gridSpan w:val="2"/>
                  <w:vAlign w:val="center"/>
                </w:tcPr>
                <w:p w14:paraId="664987E9">
                  <w:pPr>
                    <w:pStyle w:val="111"/>
                    <w:spacing w:line="240" w:lineRule="auto"/>
                    <w:ind w:left="-105" w:leftChars="-50" w:right="-105" w:rightChars="-50" w:firstLine="0" w:firstLineChars="0"/>
                    <w:jc w:val="center"/>
                    <w:rPr>
                      <w:rFonts w:hint="eastAsia"/>
                      <w:bCs/>
                      <w:snapToGrid w:val="0"/>
                      <w:color w:val="000000"/>
                      <w:kern w:val="24"/>
                      <w:sz w:val="21"/>
                      <w:szCs w:val="21"/>
                    </w:rPr>
                  </w:pPr>
                  <w:r>
                    <w:rPr>
                      <w:rFonts w:hint="eastAsia"/>
                      <w:bCs/>
                      <w:snapToGrid w:val="0"/>
                      <w:color w:val="000000"/>
                      <w:kern w:val="24"/>
                      <w:sz w:val="21"/>
                      <w:szCs w:val="21"/>
                    </w:rPr>
                    <w:t>与升压站站界最近距离（m）</w:t>
                  </w:r>
                </w:p>
              </w:tc>
              <w:tc>
                <w:tcPr>
                  <w:tcW w:w="648" w:type="dxa"/>
                  <w:vAlign w:val="center"/>
                </w:tcPr>
                <w:p w14:paraId="05C25E65">
                  <w:pPr>
                    <w:pStyle w:val="111"/>
                    <w:spacing w:line="240" w:lineRule="auto"/>
                    <w:ind w:left="-105" w:leftChars="-50" w:right="-105" w:rightChars="-50" w:firstLine="0" w:firstLineChars="0"/>
                    <w:jc w:val="center"/>
                    <w:rPr>
                      <w:rFonts w:hint="eastAsia"/>
                      <w:bCs/>
                      <w:snapToGrid w:val="0"/>
                      <w:color w:val="000000"/>
                      <w:kern w:val="24"/>
                      <w:sz w:val="21"/>
                      <w:szCs w:val="21"/>
                    </w:rPr>
                  </w:pPr>
                  <w:r>
                    <w:rPr>
                      <w:rFonts w:hint="eastAsia"/>
                      <w:bCs/>
                      <w:snapToGrid w:val="0"/>
                      <w:color w:val="000000"/>
                      <w:kern w:val="24"/>
                      <w:sz w:val="21"/>
                      <w:szCs w:val="21"/>
                    </w:rPr>
                    <w:t>方位</w:t>
                  </w:r>
                </w:p>
              </w:tc>
              <w:tc>
                <w:tcPr>
                  <w:tcW w:w="2431" w:type="dxa"/>
                  <w:tcMar>
                    <w:top w:w="28" w:type="dxa"/>
                    <w:left w:w="28" w:type="dxa"/>
                    <w:bottom w:w="28" w:type="dxa"/>
                    <w:right w:w="28" w:type="dxa"/>
                  </w:tcMar>
                  <w:vAlign w:val="center"/>
                </w:tcPr>
                <w:p w14:paraId="5A094F94">
                  <w:pPr>
                    <w:pStyle w:val="111"/>
                    <w:spacing w:line="240" w:lineRule="auto"/>
                    <w:ind w:left="-105" w:leftChars="-50" w:right="-105" w:rightChars="-50" w:firstLine="0" w:firstLineChars="0"/>
                    <w:jc w:val="center"/>
                    <w:rPr>
                      <w:rFonts w:hint="eastAsia"/>
                      <w:bCs/>
                      <w:snapToGrid w:val="0"/>
                      <w:color w:val="000000"/>
                      <w:kern w:val="24"/>
                      <w:sz w:val="21"/>
                      <w:szCs w:val="21"/>
                    </w:rPr>
                  </w:pPr>
                  <w:r>
                    <w:rPr>
                      <w:rFonts w:hint="eastAsia"/>
                      <w:bCs/>
                      <w:snapToGrid w:val="0"/>
                      <w:color w:val="000000"/>
                      <w:kern w:val="24"/>
                      <w:sz w:val="21"/>
                      <w:szCs w:val="21"/>
                    </w:rPr>
                    <w:t>环境质量功能</w:t>
                  </w:r>
                </w:p>
              </w:tc>
              <w:tc>
                <w:tcPr>
                  <w:tcW w:w="1514" w:type="dxa"/>
                  <w:tcMar>
                    <w:top w:w="28" w:type="dxa"/>
                    <w:left w:w="28" w:type="dxa"/>
                    <w:bottom w:w="28" w:type="dxa"/>
                    <w:right w:w="28" w:type="dxa"/>
                  </w:tcMar>
                  <w:vAlign w:val="center"/>
                </w:tcPr>
                <w:p w14:paraId="2A1E25A5">
                  <w:pPr>
                    <w:pStyle w:val="111"/>
                    <w:spacing w:line="240" w:lineRule="auto"/>
                    <w:ind w:left="-105" w:leftChars="-50" w:right="-105" w:rightChars="-50" w:firstLine="0" w:firstLineChars="0"/>
                    <w:jc w:val="center"/>
                    <w:rPr>
                      <w:rFonts w:hint="eastAsia"/>
                      <w:bCs/>
                      <w:snapToGrid w:val="0"/>
                      <w:color w:val="000000"/>
                      <w:kern w:val="24"/>
                      <w:sz w:val="21"/>
                      <w:szCs w:val="21"/>
                    </w:rPr>
                  </w:pPr>
                  <w:r>
                    <w:rPr>
                      <w:rFonts w:hint="eastAsia"/>
                      <w:bCs/>
                      <w:snapToGrid w:val="0"/>
                      <w:color w:val="000000"/>
                      <w:kern w:val="24"/>
                      <w:sz w:val="21"/>
                      <w:szCs w:val="21"/>
                    </w:rPr>
                    <w:t>保护目标</w:t>
                  </w:r>
                </w:p>
              </w:tc>
            </w:tr>
            <w:tr w14:paraId="1AAF38B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1066" w:type="dxa"/>
                  <w:vAlign w:val="center"/>
                </w:tcPr>
                <w:p w14:paraId="2EFE6E26">
                  <w:pPr>
                    <w:pStyle w:val="111"/>
                    <w:spacing w:line="240" w:lineRule="auto"/>
                    <w:ind w:left="-105" w:leftChars="-50" w:right="-105" w:rightChars="-50" w:firstLine="0" w:firstLineChars="0"/>
                    <w:jc w:val="center"/>
                    <w:rPr>
                      <w:rFonts w:hint="eastAsia"/>
                      <w:bCs/>
                      <w:snapToGrid w:val="0"/>
                      <w:color w:val="000000"/>
                      <w:kern w:val="24"/>
                      <w:sz w:val="21"/>
                      <w:szCs w:val="21"/>
                    </w:rPr>
                  </w:pPr>
                  <w:r>
                    <w:rPr>
                      <w:rFonts w:hint="eastAsia"/>
                      <w:bCs/>
                      <w:snapToGrid w:val="0"/>
                      <w:color w:val="000000"/>
                      <w:kern w:val="24"/>
                      <w:sz w:val="21"/>
                      <w:szCs w:val="21"/>
                    </w:rPr>
                    <w:t>大气环境</w:t>
                  </w:r>
                </w:p>
              </w:tc>
              <w:tc>
                <w:tcPr>
                  <w:tcW w:w="1606" w:type="dxa"/>
                  <w:gridSpan w:val="2"/>
                  <w:vAlign w:val="center"/>
                </w:tcPr>
                <w:p w14:paraId="1CF84E01">
                  <w:pPr>
                    <w:pStyle w:val="111"/>
                    <w:spacing w:line="240" w:lineRule="auto"/>
                    <w:ind w:left="-105" w:leftChars="-50" w:right="-105" w:rightChars="-50" w:firstLine="0" w:firstLineChars="0"/>
                    <w:rPr>
                      <w:rFonts w:hint="eastAsia"/>
                      <w:bCs/>
                      <w:snapToGrid w:val="0"/>
                      <w:color w:val="000000"/>
                      <w:kern w:val="24"/>
                      <w:sz w:val="21"/>
                      <w:szCs w:val="21"/>
                    </w:rPr>
                  </w:pPr>
                  <w:r>
                    <w:rPr>
                      <w:rFonts w:hint="eastAsia"/>
                      <w:bCs/>
                      <w:snapToGrid w:val="0"/>
                      <w:color w:val="000000"/>
                      <w:kern w:val="24"/>
                      <w:sz w:val="21"/>
                      <w:szCs w:val="21"/>
                    </w:rPr>
                    <w:t>塔尔干，2户，4人</w:t>
                  </w:r>
                </w:p>
              </w:tc>
              <w:tc>
                <w:tcPr>
                  <w:tcW w:w="1509" w:type="dxa"/>
                  <w:gridSpan w:val="2"/>
                  <w:vAlign w:val="center"/>
                </w:tcPr>
                <w:p w14:paraId="337134D0">
                  <w:pPr>
                    <w:pStyle w:val="111"/>
                    <w:spacing w:line="240" w:lineRule="auto"/>
                    <w:ind w:firstLine="0" w:firstLineChars="0"/>
                    <w:jc w:val="center"/>
                    <w:rPr>
                      <w:rFonts w:hint="eastAsia"/>
                      <w:bCs/>
                      <w:snapToGrid w:val="0"/>
                      <w:color w:val="000000"/>
                      <w:kern w:val="24"/>
                      <w:sz w:val="21"/>
                      <w:szCs w:val="21"/>
                    </w:rPr>
                  </w:pPr>
                  <w:r>
                    <w:rPr>
                      <w:rFonts w:hint="eastAsia"/>
                      <w:bCs/>
                      <w:snapToGrid w:val="0"/>
                      <w:color w:val="000000"/>
                      <w:kern w:val="24"/>
                      <w:sz w:val="21"/>
                      <w:szCs w:val="21"/>
                    </w:rPr>
                    <w:t>1235</w:t>
                  </w:r>
                </w:p>
              </w:tc>
              <w:tc>
                <w:tcPr>
                  <w:tcW w:w="648" w:type="dxa"/>
                  <w:vAlign w:val="center"/>
                </w:tcPr>
                <w:p w14:paraId="3B0B60B7">
                  <w:pPr>
                    <w:pStyle w:val="111"/>
                    <w:spacing w:line="240" w:lineRule="auto"/>
                    <w:ind w:firstLine="0" w:firstLineChars="0"/>
                    <w:jc w:val="center"/>
                    <w:rPr>
                      <w:rFonts w:hint="eastAsia"/>
                      <w:bCs/>
                      <w:snapToGrid w:val="0"/>
                      <w:color w:val="000000"/>
                      <w:kern w:val="24"/>
                      <w:sz w:val="21"/>
                      <w:szCs w:val="21"/>
                    </w:rPr>
                  </w:pPr>
                  <w:r>
                    <w:rPr>
                      <w:rFonts w:hint="eastAsia"/>
                      <w:bCs/>
                      <w:snapToGrid w:val="0"/>
                      <w:color w:val="000000"/>
                      <w:kern w:val="24"/>
                      <w:sz w:val="21"/>
                      <w:szCs w:val="21"/>
                    </w:rPr>
                    <w:t>NE</w:t>
                  </w:r>
                </w:p>
              </w:tc>
              <w:tc>
                <w:tcPr>
                  <w:tcW w:w="2431" w:type="dxa"/>
                  <w:tcMar>
                    <w:top w:w="28" w:type="dxa"/>
                    <w:left w:w="28" w:type="dxa"/>
                    <w:bottom w:w="28" w:type="dxa"/>
                    <w:right w:w="28" w:type="dxa"/>
                  </w:tcMar>
                  <w:vAlign w:val="center"/>
                </w:tcPr>
                <w:p w14:paraId="2C6C6B8E">
                  <w:pPr>
                    <w:pStyle w:val="111"/>
                    <w:spacing w:line="240" w:lineRule="auto"/>
                    <w:ind w:firstLine="0" w:firstLineChars="0"/>
                    <w:rPr>
                      <w:rFonts w:hint="eastAsia"/>
                      <w:bCs/>
                      <w:snapToGrid w:val="0"/>
                      <w:color w:val="000000"/>
                      <w:kern w:val="24"/>
                      <w:sz w:val="21"/>
                      <w:szCs w:val="21"/>
                    </w:rPr>
                  </w:pPr>
                  <w:r>
                    <w:rPr>
                      <w:rFonts w:hint="eastAsia"/>
                      <w:bCs/>
                      <w:snapToGrid w:val="0"/>
                      <w:color w:val="000000"/>
                      <w:kern w:val="24"/>
                      <w:sz w:val="21"/>
                      <w:szCs w:val="21"/>
                    </w:rPr>
                    <w:t>GB 3095-2012环境空气质量二级标准</w:t>
                  </w:r>
                </w:p>
              </w:tc>
              <w:tc>
                <w:tcPr>
                  <w:tcW w:w="1514" w:type="dxa"/>
                  <w:tcMar>
                    <w:top w:w="28" w:type="dxa"/>
                    <w:left w:w="28" w:type="dxa"/>
                    <w:bottom w:w="28" w:type="dxa"/>
                    <w:right w:w="28" w:type="dxa"/>
                  </w:tcMar>
                  <w:vAlign w:val="center"/>
                </w:tcPr>
                <w:p w14:paraId="6FD07E48">
                  <w:pPr>
                    <w:pStyle w:val="111"/>
                    <w:spacing w:line="240" w:lineRule="auto"/>
                    <w:ind w:firstLine="0" w:firstLineChars="0"/>
                    <w:rPr>
                      <w:bCs/>
                      <w:snapToGrid w:val="0"/>
                      <w:color w:val="000000"/>
                      <w:kern w:val="24"/>
                      <w:sz w:val="21"/>
                      <w:szCs w:val="21"/>
                    </w:rPr>
                  </w:pPr>
                  <w:r>
                    <w:rPr>
                      <w:rFonts w:hint="eastAsia"/>
                      <w:bCs/>
                      <w:snapToGrid w:val="0"/>
                      <w:color w:val="000000"/>
                      <w:kern w:val="24"/>
                      <w:sz w:val="21"/>
                      <w:szCs w:val="21"/>
                    </w:rPr>
                    <w:t>不对周围环境空气质量产生明显影响</w:t>
                  </w:r>
                </w:p>
              </w:tc>
            </w:tr>
            <w:tr w14:paraId="3375634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78" w:hRule="atLeast"/>
                <w:tblHeader/>
                <w:jc w:val="center"/>
              </w:trPr>
              <w:tc>
                <w:tcPr>
                  <w:tcW w:w="1066" w:type="dxa"/>
                  <w:vAlign w:val="center"/>
                </w:tcPr>
                <w:p w14:paraId="34EF216F">
                  <w:pPr>
                    <w:pStyle w:val="111"/>
                    <w:spacing w:line="240" w:lineRule="auto"/>
                    <w:ind w:left="-105" w:leftChars="-50" w:right="-105" w:rightChars="-50" w:firstLine="0" w:firstLineChars="0"/>
                    <w:jc w:val="center"/>
                    <w:rPr>
                      <w:rFonts w:hint="eastAsia"/>
                      <w:bCs/>
                      <w:snapToGrid w:val="0"/>
                      <w:color w:val="000000"/>
                      <w:kern w:val="24"/>
                      <w:sz w:val="21"/>
                      <w:szCs w:val="21"/>
                    </w:rPr>
                  </w:pPr>
                  <w:r>
                    <w:rPr>
                      <w:rFonts w:hint="eastAsia"/>
                      <w:bCs/>
                      <w:snapToGrid w:val="0"/>
                      <w:color w:val="000000"/>
                      <w:kern w:val="24"/>
                      <w:sz w:val="21"/>
                      <w:szCs w:val="21"/>
                    </w:rPr>
                    <w:t>生态环境</w:t>
                  </w:r>
                </w:p>
              </w:tc>
              <w:tc>
                <w:tcPr>
                  <w:tcW w:w="1606" w:type="dxa"/>
                  <w:gridSpan w:val="2"/>
                  <w:vAlign w:val="center"/>
                </w:tcPr>
                <w:p w14:paraId="55C200FE">
                  <w:pPr>
                    <w:pStyle w:val="111"/>
                    <w:spacing w:line="240" w:lineRule="auto"/>
                    <w:ind w:left="-105" w:leftChars="-50" w:right="-105" w:rightChars="-50" w:firstLine="0" w:firstLineChars="0"/>
                    <w:rPr>
                      <w:rFonts w:hint="eastAsia"/>
                      <w:bCs/>
                      <w:snapToGrid w:val="0"/>
                      <w:color w:val="000000"/>
                      <w:kern w:val="24"/>
                      <w:sz w:val="21"/>
                      <w:szCs w:val="21"/>
                    </w:rPr>
                  </w:pPr>
                  <w:r>
                    <w:rPr>
                      <w:rFonts w:hint="eastAsia"/>
                      <w:bCs/>
                      <w:snapToGrid w:val="0"/>
                      <w:color w:val="000000"/>
                      <w:kern w:val="24"/>
                      <w:sz w:val="21"/>
                      <w:szCs w:val="21"/>
                    </w:rPr>
                    <w:t>评价范围内植被、动物、土地利用类型等生态因子</w:t>
                  </w:r>
                </w:p>
              </w:tc>
              <w:tc>
                <w:tcPr>
                  <w:tcW w:w="4588" w:type="dxa"/>
                  <w:gridSpan w:val="4"/>
                  <w:vAlign w:val="center"/>
                </w:tcPr>
                <w:p w14:paraId="34D950C5">
                  <w:pPr>
                    <w:pStyle w:val="111"/>
                    <w:spacing w:line="240" w:lineRule="auto"/>
                    <w:ind w:firstLine="0" w:firstLineChars="0"/>
                    <w:rPr>
                      <w:rFonts w:hint="eastAsia"/>
                      <w:bCs/>
                      <w:snapToGrid w:val="0"/>
                      <w:color w:val="000000"/>
                      <w:kern w:val="24"/>
                      <w:sz w:val="21"/>
                      <w:szCs w:val="21"/>
                    </w:rPr>
                  </w:pPr>
                  <w:r>
                    <w:rPr>
                      <w:rFonts w:hint="eastAsia"/>
                      <w:bCs/>
                      <w:snapToGrid w:val="0"/>
                      <w:color w:val="000000"/>
                      <w:kern w:val="24"/>
                      <w:sz w:val="21"/>
                      <w:szCs w:val="21"/>
                    </w:rPr>
                    <w:t>评价区以典型草原植被为主，植物群落类型包括糙隐子草+冷蒿群落、糙隐子草+戈壁针茅群落、芨芨草群落。野生动物以鸟类，啮齿类、昆虫类为主，已无大型野生哺乳动物，建设项目区域未发现国家重点保护野生动物物种</w:t>
                  </w:r>
                </w:p>
              </w:tc>
              <w:tc>
                <w:tcPr>
                  <w:tcW w:w="1514" w:type="dxa"/>
                  <w:tcMar>
                    <w:top w:w="28" w:type="dxa"/>
                    <w:left w:w="28" w:type="dxa"/>
                    <w:bottom w:w="28" w:type="dxa"/>
                    <w:right w:w="28" w:type="dxa"/>
                  </w:tcMar>
                  <w:vAlign w:val="center"/>
                </w:tcPr>
                <w:p w14:paraId="51BAF58E">
                  <w:pPr>
                    <w:pStyle w:val="111"/>
                    <w:spacing w:line="240" w:lineRule="auto"/>
                    <w:ind w:firstLine="0" w:firstLineChars="0"/>
                    <w:rPr>
                      <w:rFonts w:hint="eastAsia"/>
                      <w:bCs/>
                      <w:snapToGrid w:val="0"/>
                      <w:color w:val="000000"/>
                      <w:kern w:val="24"/>
                      <w:sz w:val="21"/>
                      <w:szCs w:val="21"/>
                    </w:rPr>
                  </w:pPr>
                  <w:r>
                    <w:rPr>
                      <w:rFonts w:hint="eastAsia"/>
                      <w:bCs/>
                      <w:snapToGrid w:val="0"/>
                      <w:color w:val="000000"/>
                      <w:kern w:val="24"/>
                      <w:sz w:val="21"/>
                      <w:szCs w:val="21"/>
                    </w:rPr>
                    <w:t>保证土地使用功能，维持区域生态系统的完整性、稳定性和生物多样性</w:t>
                  </w:r>
                </w:p>
              </w:tc>
            </w:tr>
            <w:tr w14:paraId="09048C9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1066" w:type="dxa"/>
                  <w:vMerge w:val="restart"/>
                  <w:vAlign w:val="center"/>
                </w:tcPr>
                <w:p w14:paraId="745750A9">
                  <w:pPr>
                    <w:spacing w:line="0" w:lineRule="atLeast"/>
                    <w:ind w:left="-105" w:leftChars="-50" w:right="-105" w:rightChars="-50"/>
                    <w:jc w:val="center"/>
                    <w:rPr>
                      <w:rFonts w:hint="eastAsia"/>
                      <w:color w:val="FF0000"/>
                      <w:szCs w:val="21"/>
                    </w:rPr>
                  </w:pPr>
                  <w:r>
                    <w:rPr>
                      <w:rFonts w:hint="eastAsia"/>
                      <w:color w:val="FF0000"/>
                      <w:szCs w:val="21"/>
                    </w:rPr>
                    <w:t>声环境</w:t>
                  </w:r>
                </w:p>
              </w:tc>
              <w:tc>
                <w:tcPr>
                  <w:tcW w:w="7708" w:type="dxa"/>
                  <w:gridSpan w:val="7"/>
                  <w:vAlign w:val="center"/>
                </w:tcPr>
                <w:p w14:paraId="7C8C26A3">
                  <w:pPr>
                    <w:spacing w:line="0" w:lineRule="atLeast"/>
                    <w:ind w:left="-105" w:leftChars="-50" w:right="-105" w:rightChars="-50"/>
                    <w:rPr>
                      <w:rFonts w:hint="eastAsia"/>
                      <w:color w:val="FF0000"/>
                      <w:szCs w:val="21"/>
                    </w:rPr>
                  </w:pPr>
                  <w:r>
                    <w:rPr>
                      <w:rFonts w:hint="eastAsia"/>
                      <w:color w:val="FF0000"/>
                      <w:szCs w:val="21"/>
                    </w:rPr>
                    <w:t>升压站围墙外</w:t>
                  </w:r>
                  <w:r>
                    <w:rPr>
                      <w:color w:val="FF0000"/>
                      <w:szCs w:val="21"/>
                    </w:rPr>
                    <w:t>200m</w:t>
                  </w:r>
                  <w:r>
                    <w:rPr>
                      <w:rFonts w:hint="eastAsia"/>
                      <w:color w:val="FF0000"/>
                      <w:szCs w:val="21"/>
                    </w:rPr>
                    <w:t>以内区域内无居民点，升压站周边最近居民区为距离升压站厂界东北方向1235m的塔尔干</w:t>
                  </w:r>
                </w:p>
              </w:tc>
            </w:tr>
            <w:tr w14:paraId="34FB82B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1066" w:type="dxa"/>
                  <w:vMerge w:val="continue"/>
                  <w:vAlign w:val="center"/>
                </w:tcPr>
                <w:p w14:paraId="695E49CA">
                  <w:pPr>
                    <w:spacing w:line="0" w:lineRule="atLeast"/>
                    <w:ind w:left="-105" w:leftChars="-50" w:right="-105" w:rightChars="-50"/>
                    <w:jc w:val="center"/>
                    <w:rPr>
                      <w:rFonts w:hint="eastAsia"/>
                      <w:color w:val="FF0000"/>
                      <w:szCs w:val="21"/>
                    </w:rPr>
                  </w:pPr>
                </w:p>
              </w:tc>
              <w:tc>
                <w:tcPr>
                  <w:tcW w:w="6194" w:type="dxa"/>
                  <w:gridSpan w:val="6"/>
                  <w:vAlign w:val="center"/>
                </w:tcPr>
                <w:p w14:paraId="287920A7">
                  <w:pPr>
                    <w:spacing w:line="0" w:lineRule="atLeast"/>
                    <w:ind w:left="-105" w:leftChars="-50" w:right="-105" w:rightChars="-50"/>
                    <w:rPr>
                      <w:rFonts w:hint="eastAsia"/>
                      <w:color w:val="FF0000"/>
                      <w:szCs w:val="21"/>
                    </w:rPr>
                  </w:pPr>
                  <w:r>
                    <w:rPr>
                      <w:rFonts w:hint="eastAsia"/>
                      <w:color w:val="FF0000"/>
                      <w:szCs w:val="21"/>
                    </w:rPr>
                    <w:t>风力发电机周围7</w:t>
                  </w:r>
                  <w:r>
                    <w:rPr>
                      <w:color w:val="FF0000"/>
                      <w:szCs w:val="21"/>
                    </w:rPr>
                    <w:t>00m</w:t>
                  </w:r>
                  <w:r>
                    <w:rPr>
                      <w:rFonts w:hint="eastAsia"/>
                      <w:color w:val="FF0000"/>
                      <w:szCs w:val="21"/>
                    </w:rPr>
                    <w:t>区域</w:t>
                  </w:r>
                </w:p>
              </w:tc>
              <w:tc>
                <w:tcPr>
                  <w:tcW w:w="1514" w:type="dxa"/>
                  <w:vMerge w:val="restart"/>
                  <w:tcMar>
                    <w:top w:w="28" w:type="dxa"/>
                    <w:left w:w="28" w:type="dxa"/>
                    <w:bottom w:w="28" w:type="dxa"/>
                    <w:right w:w="28" w:type="dxa"/>
                  </w:tcMar>
                  <w:vAlign w:val="center"/>
                </w:tcPr>
                <w:p w14:paraId="4B39A204">
                  <w:pPr>
                    <w:spacing w:line="0" w:lineRule="atLeast"/>
                    <w:ind w:left="-105" w:leftChars="-50" w:right="-105" w:rightChars="-50"/>
                    <w:jc w:val="center"/>
                    <w:rPr>
                      <w:rFonts w:hint="eastAsia"/>
                      <w:color w:val="FF0000"/>
                      <w:szCs w:val="21"/>
                    </w:rPr>
                  </w:pPr>
                  <w:r>
                    <w:rPr>
                      <w:rFonts w:hint="eastAsia"/>
                      <w:bCs/>
                      <w:snapToGrid w:val="0"/>
                      <w:color w:val="FF0000"/>
                      <w:kern w:val="24"/>
                      <w:szCs w:val="21"/>
                    </w:rPr>
                    <w:t>保护目标</w:t>
                  </w:r>
                </w:p>
              </w:tc>
            </w:tr>
            <w:tr w14:paraId="6059705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1066" w:type="dxa"/>
                  <w:vMerge w:val="continue"/>
                  <w:vAlign w:val="center"/>
                </w:tcPr>
                <w:p w14:paraId="7D0E2B28">
                  <w:pPr>
                    <w:spacing w:line="0" w:lineRule="atLeast"/>
                    <w:ind w:left="-105" w:leftChars="-50" w:right="-105" w:rightChars="-50"/>
                    <w:jc w:val="center"/>
                    <w:rPr>
                      <w:rFonts w:hint="eastAsia"/>
                      <w:color w:val="FF0000"/>
                      <w:szCs w:val="21"/>
                    </w:rPr>
                  </w:pPr>
                </w:p>
              </w:tc>
              <w:tc>
                <w:tcPr>
                  <w:tcW w:w="1606" w:type="dxa"/>
                  <w:gridSpan w:val="2"/>
                  <w:vAlign w:val="center"/>
                </w:tcPr>
                <w:p w14:paraId="4CE463FF">
                  <w:pPr>
                    <w:spacing w:line="0" w:lineRule="atLeast"/>
                    <w:ind w:left="-105" w:leftChars="-50" w:right="-105" w:rightChars="-50"/>
                    <w:jc w:val="center"/>
                    <w:rPr>
                      <w:rFonts w:hint="eastAsia"/>
                      <w:color w:val="FF0000"/>
                      <w:szCs w:val="21"/>
                    </w:rPr>
                  </w:pPr>
                  <w:r>
                    <w:rPr>
                      <w:rFonts w:hint="eastAsia"/>
                      <w:color w:val="FF0000"/>
                      <w:szCs w:val="21"/>
                    </w:rPr>
                    <w:t>敏感点</w:t>
                  </w:r>
                </w:p>
              </w:tc>
              <w:tc>
                <w:tcPr>
                  <w:tcW w:w="1509" w:type="dxa"/>
                  <w:gridSpan w:val="2"/>
                  <w:vAlign w:val="center"/>
                </w:tcPr>
                <w:p w14:paraId="58C7F7C1">
                  <w:pPr>
                    <w:spacing w:line="0" w:lineRule="atLeast"/>
                    <w:ind w:left="-105" w:leftChars="-50" w:right="-105" w:rightChars="-50"/>
                    <w:jc w:val="center"/>
                    <w:rPr>
                      <w:rFonts w:hint="eastAsia"/>
                      <w:color w:val="FF0000"/>
                      <w:szCs w:val="21"/>
                    </w:rPr>
                  </w:pPr>
                  <w:r>
                    <w:rPr>
                      <w:rFonts w:hint="eastAsia"/>
                      <w:color w:val="FF0000"/>
                      <w:szCs w:val="21"/>
                    </w:rPr>
                    <w:t>与风电机距离（m）</w:t>
                  </w:r>
                </w:p>
              </w:tc>
              <w:tc>
                <w:tcPr>
                  <w:tcW w:w="648" w:type="dxa"/>
                  <w:vAlign w:val="center"/>
                </w:tcPr>
                <w:p w14:paraId="42FEE9C7">
                  <w:pPr>
                    <w:spacing w:line="0" w:lineRule="atLeast"/>
                    <w:ind w:left="-105" w:leftChars="-50" w:right="-105" w:rightChars="-50"/>
                    <w:jc w:val="center"/>
                    <w:rPr>
                      <w:rFonts w:hint="eastAsia"/>
                      <w:color w:val="FF0000"/>
                      <w:szCs w:val="21"/>
                    </w:rPr>
                  </w:pPr>
                  <w:r>
                    <w:rPr>
                      <w:rFonts w:hint="eastAsia"/>
                      <w:color w:val="FF0000"/>
                      <w:szCs w:val="21"/>
                    </w:rPr>
                    <w:t>方位</w:t>
                  </w:r>
                </w:p>
              </w:tc>
              <w:tc>
                <w:tcPr>
                  <w:tcW w:w="2431" w:type="dxa"/>
                  <w:tcMar>
                    <w:top w:w="28" w:type="dxa"/>
                    <w:left w:w="28" w:type="dxa"/>
                    <w:bottom w:w="28" w:type="dxa"/>
                    <w:right w:w="28" w:type="dxa"/>
                  </w:tcMar>
                  <w:vAlign w:val="center"/>
                </w:tcPr>
                <w:p w14:paraId="640D8415">
                  <w:pPr>
                    <w:spacing w:line="0" w:lineRule="atLeast"/>
                    <w:ind w:left="-105" w:leftChars="-50" w:right="-105" w:rightChars="-50"/>
                    <w:jc w:val="center"/>
                    <w:rPr>
                      <w:rFonts w:hint="eastAsia"/>
                      <w:color w:val="FF0000"/>
                      <w:szCs w:val="21"/>
                    </w:rPr>
                  </w:pPr>
                  <w:r>
                    <w:rPr>
                      <w:rFonts w:hint="eastAsia"/>
                      <w:bCs/>
                      <w:snapToGrid w:val="0"/>
                      <w:color w:val="FF0000"/>
                      <w:kern w:val="24"/>
                      <w:szCs w:val="21"/>
                    </w:rPr>
                    <w:t>环境质量功能</w:t>
                  </w:r>
                </w:p>
              </w:tc>
              <w:tc>
                <w:tcPr>
                  <w:tcW w:w="1514" w:type="dxa"/>
                  <w:vMerge w:val="continue"/>
                  <w:tcMar>
                    <w:top w:w="28" w:type="dxa"/>
                    <w:left w:w="28" w:type="dxa"/>
                    <w:bottom w:w="28" w:type="dxa"/>
                    <w:right w:w="28" w:type="dxa"/>
                  </w:tcMar>
                  <w:vAlign w:val="center"/>
                </w:tcPr>
                <w:p w14:paraId="41B317B1">
                  <w:pPr>
                    <w:spacing w:line="0" w:lineRule="atLeast"/>
                    <w:ind w:left="-105" w:leftChars="-50" w:right="-105" w:rightChars="-50"/>
                    <w:jc w:val="center"/>
                    <w:rPr>
                      <w:rFonts w:hint="eastAsia"/>
                      <w:color w:val="FF0000"/>
                      <w:szCs w:val="21"/>
                    </w:rPr>
                  </w:pPr>
                </w:p>
              </w:tc>
            </w:tr>
            <w:tr w14:paraId="262F5B7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1066" w:type="dxa"/>
                  <w:vMerge w:val="continue"/>
                  <w:vAlign w:val="center"/>
                </w:tcPr>
                <w:p w14:paraId="54539E2E">
                  <w:pPr>
                    <w:pStyle w:val="111"/>
                    <w:spacing w:line="240" w:lineRule="auto"/>
                    <w:ind w:left="-105" w:leftChars="-50" w:right="-105" w:rightChars="-50" w:firstLine="0" w:firstLineChars="0"/>
                    <w:jc w:val="center"/>
                    <w:rPr>
                      <w:rFonts w:hint="eastAsia"/>
                      <w:bCs/>
                      <w:snapToGrid w:val="0"/>
                      <w:color w:val="FF0000"/>
                      <w:kern w:val="24"/>
                      <w:sz w:val="21"/>
                      <w:szCs w:val="21"/>
                    </w:rPr>
                  </w:pPr>
                </w:p>
              </w:tc>
              <w:tc>
                <w:tcPr>
                  <w:tcW w:w="870" w:type="dxa"/>
                  <w:vAlign w:val="center"/>
                </w:tcPr>
                <w:p w14:paraId="5362FE0B">
                  <w:pPr>
                    <w:pStyle w:val="111"/>
                    <w:spacing w:line="240" w:lineRule="auto"/>
                    <w:ind w:left="-105" w:leftChars="-50" w:right="-105" w:rightChars="-50" w:firstLine="0" w:firstLineChars="0"/>
                    <w:rPr>
                      <w:rFonts w:hint="eastAsia"/>
                      <w:bCs/>
                      <w:snapToGrid w:val="0"/>
                      <w:color w:val="FF0000"/>
                      <w:kern w:val="24"/>
                      <w:sz w:val="21"/>
                      <w:szCs w:val="21"/>
                    </w:rPr>
                  </w:pPr>
                  <w:r>
                    <w:rPr>
                      <w:rFonts w:hint="eastAsia"/>
                      <w:bCs/>
                      <w:snapToGrid w:val="0"/>
                      <w:color w:val="FF0000"/>
                      <w:kern w:val="24"/>
                      <w:sz w:val="21"/>
                      <w:szCs w:val="21"/>
                    </w:rPr>
                    <w:t>德热木其音敖包</w:t>
                  </w:r>
                </w:p>
              </w:tc>
              <w:tc>
                <w:tcPr>
                  <w:tcW w:w="736" w:type="dxa"/>
                  <w:vAlign w:val="center"/>
                </w:tcPr>
                <w:p w14:paraId="2EB5017F">
                  <w:pPr>
                    <w:pStyle w:val="111"/>
                    <w:spacing w:line="240" w:lineRule="auto"/>
                    <w:ind w:left="-105" w:leftChars="-50" w:right="-105" w:rightChars="-50" w:firstLine="0" w:firstLineChars="0"/>
                    <w:rPr>
                      <w:rFonts w:hint="eastAsia"/>
                      <w:bCs/>
                      <w:snapToGrid w:val="0"/>
                      <w:color w:val="FF0000"/>
                      <w:kern w:val="24"/>
                      <w:sz w:val="21"/>
                      <w:szCs w:val="21"/>
                    </w:rPr>
                  </w:pPr>
                  <w:r>
                    <w:rPr>
                      <w:rFonts w:hint="eastAsia"/>
                      <w:bCs/>
                      <w:snapToGrid w:val="0"/>
                      <w:color w:val="FF0000"/>
                      <w:kern w:val="24"/>
                      <w:sz w:val="21"/>
                      <w:szCs w:val="21"/>
                    </w:rPr>
                    <w:t>1户3人</w:t>
                  </w:r>
                </w:p>
              </w:tc>
              <w:tc>
                <w:tcPr>
                  <w:tcW w:w="645" w:type="dxa"/>
                  <w:vAlign w:val="center"/>
                </w:tcPr>
                <w:p w14:paraId="377A923D">
                  <w:pPr>
                    <w:pStyle w:val="111"/>
                    <w:spacing w:line="240" w:lineRule="auto"/>
                    <w:ind w:left="-105" w:leftChars="-50" w:right="-105" w:rightChars="-50" w:firstLine="0" w:firstLineChars="0"/>
                    <w:jc w:val="center"/>
                    <w:rPr>
                      <w:rFonts w:hint="eastAsia"/>
                      <w:bCs/>
                      <w:snapToGrid w:val="0"/>
                      <w:color w:val="FF0000"/>
                      <w:kern w:val="24"/>
                      <w:sz w:val="21"/>
                      <w:szCs w:val="21"/>
                    </w:rPr>
                  </w:pPr>
                  <w:r>
                    <w:rPr>
                      <w:rFonts w:hint="eastAsia"/>
                      <w:bCs/>
                      <w:snapToGrid w:val="0"/>
                      <w:color w:val="FF0000"/>
                      <w:kern w:val="24"/>
                      <w:sz w:val="21"/>
                      <w:szCs w:val="21"/>
                    </w:rPr>
                    <w:t>19号</w:t>
                  </w:r>
                </w:p>
              </w:tc>
              <w:tc>
                <w:tcPr>
                  <w:tcW w:w="864" w:type="dxa"/>
                  <w:vAlign w:val="center"/>
                </w:tcPr>
                <w:p w14:paraId="56089E03">
                  <w:pPr>
                    <w:pStyle w:val="111"/>
                    <w:spacing w:line="240" w:lineRule="auto"/>
                    <w:ind w:firstLine="0" w:firstLineChars="0"/>
                    <w:jc w:val="center"/>
                    <w:rPr>
                      <w:rFonts w:hint="eastAsia"/>
                      <w:bCs/>
                      <w:snapToGrid w:val="0"/>
                      <w:color w:val="FF0000"/>
                      <w:kern w:val="24"/>
                      <w:sz w:val="21"/>
                      <w:szCs w:val="21"/>
                    </w:rPr>
                  </w:pPr>
                  <w:r>
                    <w:rPr>
                      <w:rFonts w:hint="eastAsia"/>
                      <w:bCs/>
                      <w:snapToGrid w:val="0"/>
                      <w:color w:val="FF0000"/>
                      <w:kern w:val="24"/>
                      <w:sz w:val="21"/>
                      <w:szCs w:val="21"/>
                    </w:rPr>
                    <w:t>532</w:t>
                  </w:r>
                </w:p>
              </w:tc>
              <w:tc>
                <w:tcPr>
                  <w:tcW w:w="648" w:type="dxa"/>
                  <w:vAlign w:val="center"/>
                </w:tcPr>
                <w:p w14:paraId="6150D511">
                  <w:pPr>
                    <w:pStyle w:val="111"/>
                    <w:spacing w:line="240" w:lineRule="auto"/>
                    <w:ind w:firstLine="0" w:firstLineChars="0"/>
                    <w:jc w:val="center"/>
                    <w:rPr>
                      <w:rFonts w:hint="eastAsia"/>
                      <w:bCs/>
                      <w:snapToGrid w:val="0"/>
                      <w:color w:val="FF0000"/>
                      <w:kern w:val="24"/>
                      <w:sz w:val="21"/>
                      <w:szCs w:val="21"/>
                    </w:rPr>
                  </w:pPr>
                  <w:r>
                    <w:rPr>
                      <w:rFonts w:hint="eastAsia"/>
                      <w:bCs/>
                      <w:snapToGrid w:val="0"/>
                      <w:color w:val="FF0000"/>
                      <w:kern w:val="24"/>
                      <w:sz w:val="21"/>
                      <w:szCs w:val="21"/>
                    </w:rPr>
                    <w:t>SW</w:t>
                  </w:r>
                </w:p>
              </w:tc>
              <w:tc>
                <w:tcPr>
                  <w:tcW w:w="2431" w:type="dxa"/>
                  <w:vMerge w:val="restart"/>
                  <w:tcMar>
                    <w:top w:w="28" w:type="dxa"/>
                    <w:left w:w="28" w:type="dxa"/>
                    <w:bottom w:w="28" w:type="dxa"/>
                    <w:right w:w="28" w:type="dxa"/>
                  </w:tcMar>
                  <w:vAlign w:val="center"/>
                </w:tcPr>
                <w:p w14:paraId="5C70063E">
                  <w:pPr>
                    <w:pStyle w:val="111"/>
                    <w:spacing w:line="240" w:lineRule="auto"/>
                    <w:ind w:firstLine="0" w:firstLineChars="0"/>
                    <w:jc w:val="center"/>
                    <w:rPr>
                      <w:rFonts w:hint="eastAsia"/>
                      <w:bCs/>
                      <w:snapToGrid w:val="0"/>
                      <w:color w:val="FF0000"/>
                      <w:kern w:val="24"/>
                      <w:sz w:val="21"/>
                      <w:szCs w:val="21"/>
                    </w:rPr>
                  </w:pPr>
                  <w:r>
                    <w:rPr>
                      <w:snapToGrid w:val="0"/>
                      <w:color w:val="FF0000"/>
                      <w:kern w:val="24"/>
                      <w:sz w:val="21"/>
                      <w:szCs w:val="20"/>
                    </w:rPr>
                    <w:t>GB3096-2008</w:t>
                  </w:r>
                  <w:r>
                    <w:rPr>
                      <w:rFonts w:hint="eastAsia"/>
                      <w:snapToGrid w:val="0"/>
                      <w:color w:val="FF0000"/>
                      <w:kern w:val="24"/>
                      <w:sz w:val="21"/>
                      <w:szCs w:val="20"/>
                    </w:rPr>
                    <w:t>中1</w:t>
                  </w:r>
                  <w:r>
                    <w:rPr>
                      <w:snapToGrid w:val="0"/>
                      <w:color w:val="FF0000"/>
                      <w:kern w:val="24"/>
                      <w:sz w:val="21"/>
                      <w:szCs w:val="20"/>
                    </w:rPr>
                    <w:t>类</w:t>
                  </w:r>
                </w:p>
              </w:tc>
              <w:tc>
                <w:tcPr>
                  <w:tcW w:w="1514" w:type="dxa"/>
                  <w:vMerge w:val="restart"/>
                  <w:tcMar>
                    <w:top w:w="28" w:type="dxa"/>
                    <w:left w:w="28" w:type="dxa"/>
                    <w:bottom w:w="28" w:type="dxa"/>
                    <w:right w:w="28" w:type="dxa"/>
                  </w:tcMar>
                  <w:vAlign w:val="center"/>
                </w:tcPr>
                <w:p w14:paraId="2251696D">
                  <w:pPr>
                    <w:pStyle w:val="111"/>
                    <w:spacing w:line="240" w:lineRule="auto"/>
                    <w:ind w:left="-105" w:leftChars="-50" w:right="-105" w:rightChars="-50" w:firstLine="0" w:firstLineChars="0"/>
                    <w:jc w:val="center"/>
                    <w:rPr>
                      <w:rFonts w:hint="eastAsia"/>
                      <w:bCs/>
                      <w:snapToGrid w:val="0"/>
                      <w:color w:val="FF0000"/>
                      <w:kern w:val="24"/>
                      <w:sz w:val="21"/>
                      <w:szCs w:val="21"/>
                    </w:rPr>
                  </w:pPr>
                  <w:r>
                    <w:rPr>
                      <w:rFonts w:hint="eastAsia"/>
                      <w:bCs/>
                      <w:snapToGrid w:val="0"/>
                      <w:color w:val="FF0000"/>
                      <w:kern w:val="24"/>
                      <w:sz w:val="21"/>
                      <w:szCs w:val="21"/>
                    </w:rPr>
                    <w:t>声环境质量达标</w:t>
                  </w:r>
                </w:p>
              </w:tc>
            </w:tr>
            <w:tr w14:paraId="3239309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1066" w:type="dxa"/>
                  <w:vMerge w:val="continue"/>
                  <w:vAlign w:val="center"/>
                </w:tcPr>
                <w:p w14:paraId="15756108">
                  <w:pPr>
                    <w:pStyle w:val="111"/>
                    <w:spacing w:line="240" w:lineRule="auto"/>
                    <w:ind w:left="-105" w:leftChars="-50" w:right="-105" w:rightChars="-50" w:firstLine="0" w:firstLineChars="0"/>
                    <w:jc w:val="center"/>
                    <w:rPr>
                      <w:rFonts w:hint="eastAsia"/>
                      <w:bCs/>
                      <w:snapToGrid w:val="0"/>
                      <w:color w:val="FF0000"/>
                      <w:kern w:val="24"/>
                      <w:sz w:val="21"/>
                      <w:szCs w:val="21"/>
                    </w:rPr>
                  </w:pPr>
                </w:p>
              </w:tc>
              <w:tc>
                <w:tcPr>
                  <w:tcW w:w="870" w:type="dxa"/>
                  <w:vMerge w:val="restart"/>
                  <w:vAlign w:val="center"/>
                </w:tcPr>
                <w:p w14:paraId="023594A4">
                  <w:pPr>
                    <w:pStyle w:val="111"/>
                    <w:spacing w:line="240" w:lineRule="auto"/>
                    <w:ind w:left="-105" w:leftChars="-50" w:right="-105" w:rightChars="-50" w:firstLine="0" w:firstLineChars="0"/>
                    <w:rPr>
                      <w:rFonts w:hint="eastAsia"/>
                      <w:bCs/>
                      <w:snapToGrid w:val="0"/>
                      <w:color w:val="FF0000"/>
                      <w:kern w:val="24"/>
                      <w:sz w:val="21"/>
                      <w:szCs w:val="21"/>
                    </w:rPr>
                  </w:pPr>
                  <w:r>
                    <w:rPr>
                      <w:rFonts w:hint="eastAsia"/>
                      <w:bCs/>
                      <w:snapToGrid w:val="0"/>
                      <w:color w:val="FF0000"/>
                      <w:kern w:val="24"/>
                      <w:sz w:val="21"/>
                      <w:szCs w:val="21"/>
                    </w:rPr>
                    <w:t>哈日陶勒盖</w:t>
                  </w:r>
                </w:p>
              </w:tc>
              <w:tc>
                <w:tcPr>
                  <w:tcW w:w="736" w:type="dxa"/>
                  <w:vAlign w:val="center"/>
                </w:tcPr>
                <w:p w14:paraId="74896DC6">
                  <w:pPr>
                    <w:pStyle w:val="111"/>
                    <w:spacing w:line="240" w:lineRule="auto"/>
                    <w:ind w:left="-105" w:leftChars="-50" w:right="-105" w:rightChars="-50" w:firstLine="0" w:firstLineChars="0"/>
                    <w:rPr>
                      <w:rFonts w:hint="eastAsia"/>
                      <w:bCs/>
                      <w:snapToGrid w:val="0"/>
                      <w:color w:val="FF0000"/>
                      <w:kern w:val="24"/>
                      <w:sz w:val="21"/>
                      <w:szCs w:val="21"/>
                    </w:rPr>
                  </w:pPr>
                  <w:r>
                    <w:rPr>
                      <w:rFonts w:hint="eastAsia"/>
                      <w:bCs/>
                      <w:snapToGrid w:val="0"/>
                      <w:color w:val="FF0000"/>
                      <w:kern w:val="24"/>
                      <w:sz w:val="21"/>
                      <w:szCs w:val="21"/>
                    </w:rPr>
                    <w:t>1户2人</w:t>
                  </w:r>
                </w:p>
              </w:tc>
              <w:tc>
                <w:tcPr>
                  <w:tcW w:w="645" w:type="dxa"/>
                  <w:vAlign w:val="center"/>
                </w:tcPr>
                <w:p w14:paraId="400DD5C6">
                  <w:pPr>
                    <w:pStyle w:val="111"/>
                    <w:spacing w:line="240" w:lineRule="auto"/>
                    <w:ind w:left="-105" w:leftChars="-50" w:right="-105" w:rightChars="-50" w:firstLine="0" w:firstLineChars="0"/>
                    <w:jc w:val="center"/>
                    <w:rPr>
                      <w:rFonts w:hint="eastAsia"/>
                      <w:bCs/>
                      <w:snapToGrid w:val="0"/>
                      <w:color w:val="FF0000"/>
                      <w:kern w:val="24"/>
                      <w:sz w:val="21"/>
                      <w:szCs w:val="21"/>
                    </w:rPr>
                  </w:pPr>
                  <w:r>
                    <w:rPr>
                      <w:rFonts w:hint="eastAsia"/>
                      <w:bCs/>
                      <w:snapToGrid w:val="0"/>
                      <w:color w:val="FF0000"/>
                      <w:kern w:val="24"/>
                      <w:sz w:val="21"/>
                      <w:szCs w:val="21"/>
                    </w:rPr>
                    <w:t>114号</w:t>
                  </w:r>
                </w:p>
              </w:tc>
              <w:tc>
                <w:tcPr>
                  <w:tcW w:w="864" w:type="dxa"/>
                  <w:vAlign w:val="center"/>
                </w:tcPr>
                <w:p w14:paraId="71B35EC6">
                  <w:pPr>
                    <w:pStyle w:val="111"/>
                    <w:spacing w:line="240" w:lineRule="auto"/>
                    <w:ind w:firstLine="0" w:firstLineChars="0"/>
                    <w:jc w:val="center"/>
                    <w:rPr>
                      <w:rFonts w:hint="eastAsia"/>
                      <w:bCs/>
                      <w:snapToGrid w:val="0"/>
                      <w:color w:val="FF0000"/>
                      <w:kern w:val="24"/>
                      <w:sz w:val="21"/>
                      <w:szCs w:val="21"/>
                    </w:rPr>
                  </w:pPr>
                  <w:r>
                    <w:rPr>
                      <w:rFonts w:hint="eastAsia"/>
                      <w:bCs/>
                      <w:snapToGrid w:val="0"/>
                      <w:color w:val="FF0000"/>
                      <w:kern w:val="24"/>
                      <w:sz w:val="21"/>
                      <w:szCs w:val="21"/>
                    </w:rPr>
                    <w:t>613</w:t>
                  </w:r>
                </w:p>
              </w:tc>
              <w:tc>
                <w:tcPr>
                  <w:tcW w:w="648" w:type="dxa"/>
                  <w:vAlign w:val="center"/>
                </w:tcPr>
                <w:p w14:paraId="3571A48E">
                  <w:pPr>
                    <w:pStyle w:val="111"/>
                    <w:spacing w:line="240" w:lineRule="auto"/>
                    <w:ind w:firstLine="0" w:firstLineChars="0"/>
                    <w:jc w:val="center"/>
                    <w:rPr>
                      <w:rFonts w:hint="eastAsia"/>
                      <w:bCs/>
                      <w:snapToGrid w:val="0"/>
                      <w:color w:val="FF0000"/>
                      <w:kern w:val="24"/>
                      <w:sz w:val="21"/>
                      <w:szCs w:val="21"/>
                    </w:rPr>
                  </w:pPr>
                  <w:r>
                    <w:rPr>
                      <w:rFonts w:hint="eastAsia"/>
                      <w:bCs/>
                      <w:snapToGrid w:val="0"/>
                      <w:color w:val="FF0000"/>
                      <w:kern w:val="24"/>
                      <w:sz w:val="21"/>
                      <w:szCs w:val="21"/>
                    </w:rPr>
                    <w:t>SSE</w:t>
                  </w:r>
                </w:p>
              </w:tc>
              <w:tc>
                <w:tcPr>
                  <w:tcW w:w="2431" w:type="dxa"/>
                  <w:vMerge w:val="continue"/>
                  <w:tcMar>
                    <w:top w:w="28" w:type="dxa"/>
                    <w:left w:w="28" w:type="dxa"/>
                    <w:bottom w:w="28" w:type="dxa"/>
                    <w:right w:w="28" w:type="dxa"/>
                  </w:tcMar>
                  <w:vAlign w:val="center"/>
                </w:tcPr>
                <w:p w14:paraId="66C8CD9E">
                  <w:pPr>
                    <w:pStyle w:val="111"/>
                    <w:spacing w:line="240" w:lineRule="auto"/>
                    <w:ind w:firstLine="0" w:firstLineChars="0"/>
                    <w:rPr>
                      <w:rFonts w:hint="eastAsia"/>
                      <w:bCs/>
                      <w:snapToGrid w:val="0"/>
                      <w:color w:val="FF0000"/>
                      <w:kern w:val="24"/>
                      <w:sz w:val="21"/>
                      <w:szCs w:val="21"/>
                    </w:rPr>
                  </w:pPr>
                </w:p>
              </w:tc>
              <w:tc>
                <w:tcPr>
                  <w:tcW w:w="1514" w:type="dxa"/>
                  <w:vMerge w:val="continue"/>
                  <w:tcMar>
                    <w:top w:w="28" w:type="dxa"/>
                    <w:left w:w="28" w:type="dxa"/>
                    <w:bottom w:w="28" w:type="dxa"/>
                    <w:right w:w="28" w:type="dxa"/>
                  </w:tcMar>
                  <w:vAlign w:val="center"/>
                </w:tcPr>
                <w:p w14:paraId="081B4603">
                  <w:pPr>
                    <w:pStyle w:val="111"/>
                    <w:spacing w:line="240" w:lineRule="auto"/>
                    <w:ind w:firstLine="0" w:firstLineChars="0"/>
                    <w:rPr>
                      <w:rFonts w:hint="eastAsia"/>
                      <w:bCs/>
                      <w:snapToGrid w:val="0"/>
                      <w:color w:val="FF0000"/>
                      <w:kern w:val="24"/>
                      <w:sz w:val="21"/>
                      <w:szCs w:val="21"/>
                    </w:rPr>
                  </w:pPr>
                </w:p>
              </w:tc>
            </w:tr>
            <w:tr w14:paraId="2EE6917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1066" w:type="dxa"/>
                  <w:vMerge w:val="continue"/>
                  <w:vAlign w:val="center"/>
                </w:tcPr>
                <w:p w14:paraId="153F5B8E">
                  <w:pPr>
                    <w:pStyle w:val="111"/>
                    <w:spacing w:line="240" w:lineRule="auto"/>
                    <w:ind w:left="-105" w:leftChars="-50" w:right="-105" w:rightChars="-50" w:firstLine="0" w:firstLineChars="0"/>
                    <w:jc w:val="center"/>
                    <w:rPr>
                      <w:rFonts w:hint="eastAsia"/>
                      <w:bCs/>
                      <w:snapToGrid w:val="0"/>
                      <w:color w:val="FF0000"/>
                      <w:kern w:val="24"/>
                      <w:sz w:val="21"/>
                      <w:szCs w:val="21"/>
                    </w:rPr>
                  </w:pPr>
                </w:p>
              </w:tc>
              <w:tc>
                <w:tcPr>
                  <w:tcW w:w="870" w:type="dxa"/>
                  <w:vMerge w:val="continue"/>
                  <w:vAlign w:val="center"/>
                </w:tcPr>
                <w:p w14:paraId="55EDCF55">
                  <w:pPr>
                    <w:pStyle w:val="111"/>
                    <w:spacing w:line="240" w:lineRule="auto"/>
                    <w:ind w:left="-105" w:leftChars="-50" w:right="-105" w:rightChars="-50" w:firstLine="0" w:firstLineChars="0"/>
                    <w:rPr>
                      <w:rFonts w:hint="eastAsia"/>
                      <w:bCs/>
                      <w:snapToGrid w:val="0"/>
                      <w:color w:val="FF0000"/>
                      <w:kern w:val="24"/>
                      <w:sz w:val="21"/>
                      <w:szCs w:val="21"/>
                    </w:rPr>
                  </w:pPr>
                </w:p>
              </w:tc>
              <w:tc>
                <w:tcPr>
                  <w:tcW w:w="736" w:type="dxa"/>
                  <w:vAlign w:val="center"/>
                </w:tcPr>
                <w:p w14:paraId="75868906">
                  <w:pPr>
                    <w:pStyle w:val="111"/>
                    <w:spacing w:line="240" w:lineRule="auto"/>
                    <w:ind w:left="-105" w:leftChars="-50" w:right="-105" w:rightChars="-50" w:firstLine="0" w:firstLineChars="0"/>
                    <w:rPr>
                      <w:rFonts w:hint="eastAsia"/>
                      <w:bCs/>
                      <w:snapToGrid w:val="0"/>
                      <w:color w:val="FF0000"/>
                      <w:kern w:val="24"/>
                      <w:sz w:val="21"/>
                      <w:szCs w:val="21"/>
                    </w:rPr>
                  </w:pPr>
                  <w:r>
                    <w:rPr>
                      <w:rFonts w:hint="eastAsia"/>
                      <w:bCs/>
                      <w:snapToGrid w:val="0"/>
                      <w:color w:val="FF0000"/>
                      <w:kern w:val="24"/>
                      <w:sz w:val="21"/>
                      <w:szCs w:val="21"/>
                    </w:rPr>
                    <w:t>1户2人</w:t>
                  </w:r>
                </w:p>
              </w:tc>
              <w:tc>
                <w:tcPr>
                  <w:tcW w:w="645" w:type="dxa"/>
                  <w:vAlign w:val="center"/>
                </w:tcPr>
                <w:p w14:paraId="3DF761F2">
                  <w:pPr>
                    <w:pStyle w:val="111"/>
                    <w:spacing w:line="240" w:lineRule="auto"/>
                    <w:ind w:left="-105" w:leftChars="-50" w:right="-105" w:rightChars="-50" w:firstLine="0" w:firstLineChars="0"/>
                    <w:jc w:val="center"/>
                    <w:rPr>
                      <w:rFonts w:hint="eastAsia"/>
                      <w:bCs/>
                      <w:snapToGrid w:val="0"/>
                      <w:color w:val="FF0000"/>
                      <w:kern w:val="24"/>
                      <w:sz w:val="21"/>
                      <w:szCs w:val="21"/>
                    </w:rPr>
                  </w:pPr>
                  <w:r>
                    <w:rPr>
                      <w:rFonts w:hint="eastAsia"/>
                      <w:bCs/>
                      <w:snapToGrid w:val="0"/>
                      <w:color w:val="FF0000"/>
                      <w:kern w:val="24"/>
                      <w:sz w:val="21"/>
                      <w:szCs w:val="21"/>
                    </w:rPr>
                    <w:t>114号</w:t>
                  </w:r>
                </w:p>
              </w:tc>
              <w:tc>
                <w:tcPr>
                  <w:tcW w:w="864" w:type="dxa"/>
                  <w:vAlign w:val="center"/>
                </w:tcPr>
                <w:p w14:paraId="07C29756">
                  <w:pPr>
                    <w:pStyle w:val="111"/>
                    <w:spacing w:line="240" w:lineRule="auto"/>
                    <w:ind w:firstLine="0" w:firstLineChars="0"/>
                    <w:jc w:val="center"/>
                    <w:rPr>
                      <w:rFonts w:hint="eastAsia"/>
                      <w:bCs/>
                      <w:snapToGrid w:val="0"/>
                      <w:color w:val="FF0000"/>
                      <w:kern w:val="24"/>
                      <w:sz w:val="21"/>
                      <w:szCs w:val="21"/>
                    </w:rPr>
                  </w:pPr>
                  <w:r>
                    <w:rPr>
                      <w:rFonts w:hint="eastAsia"/>
                      <w:bCs/>
                      <w:snapToGrid w:val="0"/>
                      <w:color w:val="FF0000"/>
                      <w:kern w:val="24"/>
                      <w:sz w:val="21"/>
                      <w:szCs w:val="21"/>
                    </w:rPr>
                    <w:t>686</w:t>
                  </w:r>
                </w:p>
              </w:tc>
              <w:tc>
                <w:tcPr>
                  <w:tcW w:w="648" w:type="dxa"/>
                  <w:vAlign w:val="center"/>
                </w:tcPr>
                <w:p w14:paraId="0E56BDAC">
                  <w:pPr>
                    <w:pStyle w:val="111"/>
                    <w:spacing w:line="240" w:lineRule="auto"/>
                    <w:ind w:firstLine="0" w:firstLineChars="0"/>
                    <w:jc w:val="center"/>
                    <w:rPr>
                      <w:rFonts w:hint="eastAsia"/>
                      <w:bCs/>
                      <w:snapToGrid w:val="0"/>
                      <w:color w:val="FF0000"/>
                      <w:kern w:val="24"/>
                      <w:sz w:val="21"/>
                      <w:szCs w:val="21"/>
                    </w:rPr>
                  </w:pPr>
                  <w:r>
                    <w:rPr>
                      <w:rFonts w:hint="eastAsia"/>
                      <w:bCs/>
                      <w:snapToGrid w:val="0"/>
                      <w:color w:val="FF0000"/>
                      <w:kern w:val="24"/>
                      <w:sz w:val="21"/>
                      <w:szCs w:val="21"/>
                    </w:rPr>
                    <w:t>SSE</w:t>
                  </w:r>
                </w:p>
              </w:tc>
              <w:tc>
                <w:tcPr>
                  <w:tcW w:w="2431" w:type="dxa"/>
                  <w:vMerge w:val="continue"/>
                  <w:tcMar>
                    <w:top w:w="28" w:type="dxa"/>
                    <w:left w:w="28" w:type="dxa"/>
                    <w:bottom w:w="28" w:type="dxa"/>
                    <w:right w:w="28" w:type="dxa"/>
                  </w:tcMar>
                  <w:vAlign w:val="center"/>
                </w:tcPr>
                <w:p w14:paraId="6F2491FB">
                  <w:pPr>
                    <w:pStyle w:val="111"/>
                    <w:spacing w:line="240" w:lineRule="auto"/>
                    <w:ind w:firstLine="0" w:firstLineChars="0"/>
                    <w:rPr>
                      <w:rFonts w:hint="eastAsia"/>
                      <w:bCs/>
                      <w:snapToGrid w:val="0"/>
                      <w:color w:val="FF0000"/>
                      <w:kern w:val="24"/>
                      <w:sz w:val="21"/>
                      <w:szCs w:val="21"/>
                    </w:rPr>
                  </w:pPr>
                </w:p>
              </w:tc>
              <w:tc>
                <w:tcPr>
                  <w:tcW w:w="1514" w:type="dxa"/>
                  <w:vMerge w:val="continue"/>
                  <w:tcMar>
                    <w:top w:w="28" w:type="dxa"/>
                    <w:left w:w="28" w:type="dxa"/>
                    <w:bottom w:w="28" w:type="dxa"/>
                    <w:right w:w="28" w:type="dxa"/>
                  </w:tcMar>
                  <w:vAlign w:val="center"/>
                </w:tcPr>
                <w:p w14:paraId="2F1B73BD">
                  <w:pPr>
                    <w:pStyle w:val="111"/>
                    <w:spacing w:line="240" w:lineRule="auto"/>
                    <w:ind w:firstLine="0" w:firstLineChars="0"/>
                    <w:rPr>
                      <w:rFonts w:hint="eastAsia"/>
                      <w:bCs/>
                      <w:snapToGrid w:val="0"/>
                      <w:color w:val="FF0000"/>
                      <w:kern w:val="24"/>
                      <w:sz w:val="21"/>
                      <w:szCs w:val="21"/>
                    </w:rPr>
                  </w:pPr>
                </w:p>
              </w:tc>
            </w:tr>
            <w:tr w14:paraId="6FA2895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1066" w:type="dxa"/>
                  <w:vMerge w:val="continue"/>
                  <w:vAlign w:val="center"/>
                </w:tcPr>
                <w:p w14:paraId="2A3C7D92">
                  <w:pPr>
                    <w:pStyle w:val="111"/>
                    <w:spacing w:line="240" w:lineRule="auto"/>
                    <w:ind w:left="-105" w:leftChars="-50" w:right="-105" w:rightChars="-50" w:firstLine="0" w:firstLineChars="0"/>
                    <w:jc w:val="center"/>
                    <w:rPr>
                      <w:rFonts w:hint="eastAsia"/>
                      <w:bCs/>
                      <w:snapToGrid w:val="0"/>
                      <w:color w:val="FF0000"/>
                      <w:kern w:val="24"/>
                      <w:sz w:val="21"/>
                      <w:szCs w:val="21"/>
                    </w:rPr>
                  </w:pPr>
                </w:p>
              </w:tc>
              <w:tc>
                <w:tcPr>
                  <w:tcW w:w="870" w:type="dxa"/>
                  <w:vAlign w:val="center"/>
                </w:tcPr>
                <w:p w14:paraId="7001FE02">
                  <w:pPr>
                    <w:pStyle w:val="111"/>
                    <w:spacing w:line="240" w:lineRule="auto"/>
                    <w:ind w:left="-105" w:leftChars="-50" w:right="-105" w:rightChars="-50" w:firstLine="0" w:firstLineChars="0"/>
                    <w:rPr>
                      <w:rFonts w:hint="eastAsia"/>
                      <w:bCs/>
                      <w:snapToGrid w:val="0"/>
                      <w:color w:val="FF0000"/>
                      <w:kern w:val="24"/>
                      <w:sz w:val="21"/>
                      <w:szCs w:val="21"/>
                    </w:rPr>
                  </w:pPr>
                  <w:r>
                    <w:rPr>
                      <w:rFonts w:hint="eastAsia"/>
                      <w:bCs/>
                      <w:snapToGrid w:val="0"/>
                      <w:color w:val="FF0000"/>
                      <w:kern w:val="24"/>
                      <w:sz w:val="21"/>
                      <w:szCs w:val="21"/>
                    </w:rPr>
                    <w:t>阿钦郭勒</w:t>
                  </w:r>
                </w:p>
              </w:tc>
              <w:tc>
                <w:tcPr>
                  <w:tcW w:w="736" w:type="dxa"/>
                  <w:vAlign w:val="center"/>
                </w:tcPr>
                <w:p w14:paraId="70319A21">
                  <w:pPr>
                    <w:pStyle w:val="111"/>
                    <w:spacing w:line="240" w:lineRule="auto"/>
                    <w:ind w:left="-105" w:leftChars="-50" w:right="-105" w:rightChars="-50" w:firstLine="0" w:firstLineChars="0"/>
                    <w:rPr>
                      <w:rFonts w:hint="eastAsia"/>
                      <w:bCs/>
                      <w:snapToGrid w:val="0"/>
                      <w:color w:val="FF0000"/>
                      <w:kern w:val="24"/>
                      <w:sz w:val="21"/>
                      <w:szCs w:val="21"/>
                    </w:rPr>
                  </w:pPr>
                  <w:r>
                    <w:rPr>
                      <w:rFonts w:hint="eastAsia"/>
                      <w:bCs/>
                      <w:snapToGrid w:val="0"/>
                      <w:color w:val="FF0000"/>
                      <w:kern w:val="24"/>
                      <w:sz w:val="21"/>
                      <w:szCs w:val="21"/>
                    </w:rPr>
                    <w:t>1户2人</w:t>
                  </w:r>
                </w:p>
              </w:tc>
              <w:tc>
                <w:tcPr>
                  <w:tcW w:w="645" w:type="dxa"/>
                  <w:vAlign w:val="center"/>
                </w:tcPr>
                <w:p w14:paraId="070144DB">
                  <w:pPr>
                    <w:pStyle w:val="111"/>
                    <w:spacing w:line="240" w:lineRule="auto"/>
                    <w:ind w:left="-105" w:leftChars="-50" w:right="-105" w:rightChars="-50" w:firstLine="0" w:firstLineChars="0"/>
                    <w:jc w:val="center"/>
                    <w:rPr>
                      <w:rFonts w:hint="eastAsia"/>
                      <w:bCs/>
                      <w:snapToGrid w:val="0"/>
                      <w:color w:val="FF0000"/>
                      <w:kern w:val="24"/>
                      <w:sz w:val="21"/>
                      <w:szCs w:val="21"/>
                    </w:rPr>
                  </w:pPr>
                  <w:r>
                    <w:rPr>
                      <w:rFonts w:hint="eastAsia"/>
                      <w:bCs/>
                      <w:snapToGrid w:val="0"/>
                      <w:color w:val="FF0000"/>
                      <w:kern w:val="24"/>
                      <w:sz w:val="21"/>
                      <w:szCs w:val="21"/>
                    </w:rPr>
                    <w:t>98号</w:t>
                  </w:r>
                </w:p>
              </w:tc>
              <w:tc>
                <w:tcPr>
                  <w:tcW w:w="864" w:type="dxa"/>
                  <w:vAlign w:val="center"/>
                </w:tcPr>
                <w:p w14:paraId="7D907830">
                  <w:pPr>
                    <w:pStyle w:val="111"/>
                    <w:spacing w:line="240" w:lineRule="auto"/>
                    <w:ind w:firstLine="0" w:firstLineChars="0"/>
                    <w:jc w:val="center"/>
                    <w:rPr>
                      <w:rFonts w:hint="eastAsia"/>
                      <w:bCs/>
                      <w:snapToGrid w:val="0"/>
                      <w:color w:val="FF0000"/>
                      <w:kern w:val="24"/>
                      <w:sz w:val="21"/>
                      <w:szCs w:val="21"/>
                    </w:rPr>
                  </w:pPr>
                  <w:r>
                    <w:rPr>
                      <w:rFonts w:hint="eastAsia"/>
                      <w:bCs/>
                      <w:snapToGrid w:val="0"/>
                      <w:color w:val="FF0000"/>
                      <w:kern w:val="24"/>
                      <w:sz w:val="21"/>
                      <w:szCs w:val="21"/>
                    </w:rPr>
                    <w:t>602</w:t>
                  </w:r>
                </w:p>
              </w:tc>
              <w:tc>
                <w:tcPr>
                  <w:tcW w:w="648" w:type="dxa"/>
                  <w:vAlign w:val="center"/>
                </w:tcPr>
                <w:p w14:paraId="5D9D29F2">
                  <w:pPr>
                    <w:pStyle w:val="111"/>
                    <w:spacing w:line="240" w:lineRule="auto"/>
                    <w:ind w:firstLine="0" w:firstLineChars="0"/>
                    <w:jc w:val="center"/>
                    <w:rPr>
                      <w:rFonts w:hint="eastAsia"/>
                      <w:bCs/>
                      <w:snapToGrid w:val="0"/>
                      <w:color w:val="FF0000"/>
                      <w:kern w:val="24"/>
                      <w:sz w:val="21"/>
                      <w:szCs w:val="21"/>
                    </w:rPr>
                  </w:pPr>
                  <w:r>
                    <w:rPr>
                      <w:rFonts w:hint="eastAsia"/>
                      <w:bCs/>
                      <w:snapToGrid w:val="0"/>
                      <w:color w:val="FF0000"/>
                      <w:kern w:val="24"/>
                      <w:sz w:val="21"/>
                      <w:szCs w:val="21"/>
                    </w:rPr>
                    <w:t>SE</w:t>
                  </w:r>
                </w:p>
              </w:tc>
              <w:tc>
                <w:tcPr>
                  <w:tcW w:w="2431" w:type="dxa"/>
                  <w:vMerge w:val="continue"/>
                  <w:tcMar>
                    <w:top w:w="28" w:type="dxa"/>
                    <w:left w:w="28" w:type="dxa"/>
                    <w:bottom w:w="28" w:type="dxa"/>
                    <w:right w:w="28" w:type="dxa"/>
                  </w:tcMar>
                  <w:vAlign w:val="center"/>
                </w:tcPr>
                <w:p w14:paraId="65BD7CFA">
                  <w:pPr>
                    <w:pStyle w:val="111"/>
                    <w:spacing w:line="240" w:lineRule="auto"/>
                    <w:ind w:firstLine="0" w:firstLineChars="0"/>
                    <w:rPr>
                      <w:rFonts w:hint="eastAsia"/>
                      <w:bCs/>
                      <w:snapToGrid w:val="0"/>
                      <w:color w:val="FF0000"/>
                      <w:kern w:val="24"/>
                      <w:sz w:val="21"/>
                      <w:szCs w:val="21"/>
                    </w:rPr>
                  </w:pPr>
                </w:p>
              </w:tc>
              <w:tc>
                <w:tcPr>
                  <w:tcW w:w="1514" w:type="dxa"/>
                  <w:vMerge w:val="continue"/>
                  <w:tcMar>
                    <w:top w:w="28" w:type="dxa"/>
                    <w:left w:w="28" w:type="dxa"/>
                    <w:bottom w:w="28" w:type="dxa"/>
                    <w:right w:w="28" w:type="dxa"/>
                  </w:tcMar>
                  <w:vAlign w:val="center"/>
                </w:tcPr>
                <w:p w14:paraId="4C577E88">
                  <w:pPr>
                    <w:pStyle w:val="111"/>
                    <w:spacing w:line="240" w:lineRule="auto"/>
                    <w:ind w:firstLine="0" w:firstLineChars="0"/>
                    <w:rPr>
                      <w:rFonts w:hint="eastAsia"/>
                      <w:bCs/>
                      <w:snapToGrid w:val="0"/>
                      <w:color w:val="FF0000"/>
                      <w:kern w:val="24"/>
                      <w:sz w:val="21"/>
                      <w:szCs w:val="21"/>
                    </w:rPr>
                  </w:pPr>
                </w:p>
              </w:tc>
            </w:tr>
          </w:tbl>
          <w:p w14:paraId="192DE604">
            <w:pPr>
              <w:pStyle w:val="111"/>
              <w:ind w:firstLine="0" w:firstLineChars="0"/>
              <w:rPr>
                <w:rFonts w:hint="eastAsia"/>
              </w:rPr>
            </w:pPr>
          </w:p>
          <w:p w14:paraId="24623CF0">
            <w:pPr>
              <w:pStyle w:val="111"/>
              <w:ind w:firstLine="0" w:firstLineChars="0"/>
              <w:rPr>
                <w:rFonts w:hint="eastAsia"/>
              </w:rPr>
            </w:pPr>
          </w:p>
          <w:p w14:paraId="7B3EB016">
            <w:pPr>
              <w:pStyle w:val="111"/>
              <w:ind w:firstLine="0" w:firstLineChars="0"/>
              <w:rPr>
                <w:rFonts w:hint="eastAsia"/>
              </w:rPr>
            </w:pPr>
          </w:p>
          <w:p w14:paraId="042B7B30">
            <w:pPr>
              <w:pStyle w:val="111"/>
              <w:ind w:firstLine="0" w:firstLineChars="0"/>
              <w:rPr>
                <w:rFonts w:hint="eastAsia"/>
              </w:rPr>
            </w:pPr>
          </w:p>
          <w:p w14:paraId="7548944D">
            <w:pPr>
              <w:pStyle w:val="111"/>
              <w:ind w:firstLine="0" w:firstLineChars="0"/>
              <w:rPr>
                <w:rFonts w:hint="eastAsia"/>
              </w:rPr>
            </w:pPr>
          </w:p>
          <w:p w14:paraId="019EEFE8">
            <w:pPr>
              <w:pStyle w:val="111"/>
              <w:ind w:firstLine="0" w:firstLineChars="0"/>
              <w:rPr>
                <w:rFonts w:hint="eastAsia"/>
              </w:rPr>
            </w:pPr>
          </w:p>
        </w:tc>
      </w:tr>
    </w:tbl>
    <w:p w14:paraId="317FD6AE">
      <w:pPr>
        <w:rPr>
          <w:b/>
          <w:color w:val="000000"/>
          <w:sz w:val="28"/>
          <w:szCs w:val="28"/>
        </w:rPr>
      </w:pPr>
      <w:r>
        <w:rPr>
          <w:rFonts w:hint="eastAsia"/>
          <w:b/>
          <w:color w:val="000000"/>
          <w:sz w:val="28"/>
          <w:szCs w:val="28"/>
        </w:rPr>
        <w:t>评价适用标准</w:t>
      </w:r>
    </w:p>
    <w:tbl>
      <w:tblPr>
        <w:tblStyle w:val="2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55"/>
        <w:gridCol w:w="8517"/>
      </w:tblGrid>
      <w:tr w14:paraId="7C68D2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11" w:hRule="atLeast"/>
          <w:jc w:val="center"/>
        </w:trPr>
        <w:tc>
          <w:tcPr>
            <w:tcW w:w="555" w:type="dxa"/>
            <w:tcBorders>
              <w:top w:val="single" w:color="auto" w:sz="4" w:space="0"/>
              <w:left w:val="single" w:color="auto" w:sz="4" w:space="0"/>
              <w:bottom w:val="single" w:color="auto" w:sz="4" w:space="0"/>
              <w:right w:val="single" w:color="auto" w:sz="4" w:space="0"/>
            </w:tcBorders>
            <w:vAlign w:val="center"/>
          </w:tcPr>
          <w:p w14:paraId="48F93FA4">
            <w:pPr>
              <w:rPr>
                <w:color w:val="000000"/>
                <w:sz w:val="24"/>
              </w:rPr>
            </w:pPr>
            <w:r>
              <w:rPr>
                <w:rFonts w:hint="eastAsia"/>
                <w:color w:val="000000"/>
                <w:sz w:val="24"/>
              </w:rPr>
              <w:t>环境质量标准</w:t>
            </w:r>
          </w:p>
        </w:tc>
        <w:tc>
          <w:tcPr>
            <w:tcW w:w="8517" w:type="dxa"/>
            <w:tcBorders>
              <w:top w:val="single" w:color="auto" w:sz="4" w:space="0"/>
              <w:left w:val="single" w:color="auto" w:sz="4" w:space="0"/>
              <w:bottom w:val="single" w:color="auto" w:sz="4" w:space="0"/>
              <w:right w:val="single" w:color="auto" w:sz="4" w:space="0"/>
            </w:tcBorders>
          </w:tcPr>
          <w:p w14:paraId="6AAF6BEC">
            <w:pPr>
              <w:rPr>
                <w:color w:val="000000"/>
                <w:sz w:val="24"/>
              </w:rPr>
            </w:pPr>
          </w:p>
          <w:p w14:paraId="7B3882CB">
            <w:pPr>
              <w:rPr>
                <w:color w:val="000000"/>
                <w:sz w:val="24"/>
              </w:rPr>
            </w:pPr>
          </w:p>
          <w:p w14:paraId="547A3AA5">
            <w:pPr>
              <w:ind w:firstLine="480" w:firstLineChars="200"/>
              <w:rPr>
                <w:color w:val="000000"/>
                <w:sz w:val="24"/>
              </w:rPr>
            </w:pPr>
            <w:r>
              <w:rPr>
                <w:rFonts w:hint="eastAsia"/>
                <w:color w:val="000000"/>
                <w:sz w:val="24"/>
              </w:rPr>
              <w:t>环境空气：执行《环境空气质量标准》（</w:t>
            </w:r>
            <w:r>
              <w:rPr>
                <w:color w:val="000000"/>
                <w:sz w:val="24"/>
              </w:rPr>
              <w:t>GB3095-2012</w:t>
            </w:r>
            <w:r>
              <w:rPr>
                <w:rFonts w:hint="eastAsia"/>
                <w:color w:val="000000"/>
                <w:sz w:val="24"/>
              </w:rPr>
              <w:t>）二级标准；</w:t>
            </w:r>
          </w:p>
          <w:p w14:paraId="4466533E">
            <w:pPr>
              <w:ind w:firstLine="480" w:firstLineChars="200"/>
              <w:rPr>
                <w:color w:val="000000"/>
                <w:sz w:val="24"/>
              </w:rPr>
            </w:pPr>
            <w:r>
              <w:rPr>
                <w:rFonts w:hint="eastAsia"/>
                <w:color w:val="000000"/>
                <w:sz w:val="24"/>
              </w:rPr>
              <w:t>声环境：执行《声环境质量标准》（</w:t>
            </w:r>
            <w:r>
              <w:rPr>
                <w:color w:val="000000"/>
                <w:sz w:val="24"/>
              </w:rPr>
              <w:t>GB3096-2008</w:t>
            </w:r>
            <w:r>
              <w:rPr>
                <w:rFonts w:hint="eastAsia"/>
                <w:color w:val="000000"/>
                <w:sz w:val="24"/>
              </w:rPr>
              <w:t>）中</w:t>
            </w:r>
            <w:r>
              <w:rPr>
                <w:color w:val="000000"/>
                <w:sz w:val="24"/>
              </w:rPr>
              <w:t>1</w:t>
            </w:r>
            <w:r>
              <w:rPr>
                <w:rFonts w:hint="eastAsia"/>
                <w:color w:val="000000"/>
                <w:sz w:val="24"/>
              </w:rPr>
              <w:t>类标准；</w:t>
            </w:r>
          </w:p>
          <w:p w14:paraId="09B0A8FC">
            <w:pPr>
              <w:ind w:firstLine="480" w:firstLineChars="200"/>
              <w:rPr>
                <w:color w:val="000000"/>
                <w:sz w:val="24"/>
              </w:rPr>
            </w:pPr>
          </w:p>
          <w:p w14:paraId="4DEA6794">
            <w:pPr>
              <w:rPr>
                <w:color w:val="000000"/>
                <w:sz w:val="24"/>
              </w:rPr>
            </w:pPr>
          </w:p>
          <w:p w14:paraId="638ABC8A">
            <w:pPr>
              <w:rPr>
                <w:color w:val="000000"/>
                <w:sz w:val="24"/>
              </w:rPr>
            </w:pPr>
          </w:p>
        </w:tc>
      </w:tr>
      <w:tr w14:paraId="6D89B3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60" w:hRule="atLeast"/>
          <w:jc w:val="center"/>
        </w:trPr>
        <w:tc>
          <w:tcPr>
            <w:tcW w:w="555" w:type="dxa"/>
            <w:tcBorders>
              <w:top w:val="single" w:color="auto" w:sz="4" w:space="0"/>
              <w:left w:val="single" w:color="auto" w:sz="4" w:space="0"/>
              <w:bottom w:val="single" w:color="auto" w:sz="4" w:space="0"/>
              <w:right w:val="single" w:color="auto" w:sz="4" w:space="0"/>
            </w:tcBorders>
            <w:vAlign w:val="center"/>
          </w:tcPr>
          <w:p w14:paraId="125F4EB9">
            <w:pPr>
              <w:rPr>
                <w:color w:val="000000"/>
                <w:sz w:val="24"/>
              </w:rPr>
            </w:pPr>
            <w:r>
              <w:rPr>
                <w:rFonts w:hint="eastAsia"/>
                <w:color w:val="000000"/>
                <w:sz w:val="24"/>
              </w:rPr>
              <w:t>污染物排放标准</w:t>
            </w:r>
          </w:p>
        </w:tc>
        <w:tc>
          <w:tcPr>
            <w:tcW w:w="8517" w:type="dxa"/>
            <w:tcBorders>
              <w:top w:val="single" w:color="auto" w:sz="4" w:space="0"/>
              <w:left w:val="single" w:color="auto" w:sz="4" w:space="0"/>
              <w:bottom w:val="single" w:color="auto" w:sz="4" w:space="0"/>
              <w:right w:val="single" w:color="auto" w:sz="4" w:space="0"/>
            </w:tcBorders>
          </w:tcPr>
          <w:p w14:paraId="5A0D8157">
            <w:pPr>
              <w:ind w:firstLine="480" w:firstLineChars="200"/>
              <w:rPr>
                <w:bCs/>
                <w:color w:val="000000"/>
                <w:sz w:val="24"/>
              </w:rPr>
            </w:pPr>
            <w:r>
              <w:rPr>
                <w:rFonts w:hint="eastAsia"/>
                <w:color w:val="000000"/>
                <w:sz w:val="24"/>
              </w:rPr>
              <w:t>废气：项目施工期产生的扬尘以及运营期产生的道路扬尘，均执行《大气污染物综合排放标准》（</w:t>
            </w:r>
            <w:r>
              <w:rPr>
                <w:color w:val="000000"/>
                <w:sz w:val="24"/>
              </w:rPr>
              <w:t>GB16297-1996</w:t>
            </w:r>
            <w:r>
              <w:rPr>
                <w:rFonts w:hint="eastAsia"/>
                <w:color w:val="000000"/>
                <w:sz w:val="24"/>
              </w:rPr>
              <w:t>）中二级标准新污染源大气污染物排放限值中无组织排放监控浓度限值，食堂油烟排放执行《饮食业油烟排放标准（试行）》（</w:t>
            </w:r>
            <w:r>
              <w:rPr>
                <w:color w:val="000000"/>
                <w:sz w:val="24"/>
              </w:rPr>
              <w:t>GB18483-2001</w:t>
            </w:r>
            <w:r>
              <w:rPr>
                <w:rFonts w:hint="eastAsia"/>
                <w:color w:val="000000"/>
                <w:sz w:val="24"/>
              </w:rPr>
              <w:t>）表</w:t>
            </w:r>
            <w:r>
              <w:rPr>
                <w:color w:val="000000"/>
                <w:sz w:val="24"/>
              </w:rPr>
              <w:t>2</w:t>
            </w:r>
            <w:r>
              <w:rPr>
                <w:rFonts w:hint="eastAsia"/>
                <w:color w:val="000000"/>
                <w:sz w:val="24"/>
              </w:rPr>
              <w:t>小型食堂排放标准要求。</w:t>
            </w:r>
          </w:p>
          <w:p w14:paraId="71C3D181">
            <w:pPr>
              <w:ind w:firstLine="480" w:firstLineChars="200"/>
              <w:rPr>
                <w:color w:val="000000"/>
                <w:sz w:val="24"/>
              </w:rPr>
            </w:pPr>
            <w:r>
              <w:rPr>
                <w:rFonts w:hint="eastAsia"/>
                <w:color w:val="000000"/>
                <w:sz w:val="24"/>
              </w:rPr>
              <w:t>废水：生活污水夏季经处理后用于绿化，执行《城市污水再生利用</w:t>
            </w:r>
            <w:r>
              <w:rPr>
                <w:color w:val="000000"/>
                <w:sz w:val="24"/>
              </w:rPr>
              <w:t xml:space="preserve"> </w:t>
            </w:r>
            <w:r>
              <w:rPr>
                <w:rFonts w:hint="eastAsia"/>
                <w:color w:val="000000"/>
                <w:sz w:val="24"/>
              </w:rPr>
              <w:t>城市杂用水水质》（</w:t>
            </w:r>
            <w:r>
              <w:rPr>
                <w:color w:val="000000"/>
                <w:sz w:val="24"/>
              </w:rPr>
              <w:t>GB/T18920-2002</w:t>
            </w:r>
            <w:r>
              <w:rPr>
                <w:rFonts w:hint="eastAsia"/>
                <w:color w:val="000000"/>
                <w:sz w:val="24"/>
              </w:rPr>
              <w:t>）道路清洒、绿化水质标准。</w:t>
            </w:r>
          </w:p>
          <w:p w14:paraId="1FDDC6E2">
            <w:pPr>
              <w:ind w:firstLine="480" w:firstLineChars="200"/>
              <w:rPr>
                <w:color w:val="000000"/>
                <w:sz w:val="24"/>
              </w:rPr>
            </w:pPr>
            <w:r>
              <w:rPr>
                <w:rFonts w:hint="eastAsia"/>
                <w:color w:val="000000"/>
                <w:sz w:val="24"/>
              </w:rPr>
              <w:t>噪声：施工期场界噪声执行《建筑施工场界环境噪声排放标准》（</w:t>
            </w:r>
            <w:r>
              <w:rPr>
                <w:color w:val="000000"/>
                <w:sz w:val="24"/>
              </w:rPr>
              <w:t>GB12523-2011</w:t>
            </w:r>
            <w:r>
              <w:rPr>
                <w:rFonts w:hint="eastAsia"/>
                <w:color w:val="000000"/>
                <w:sz w:val="24"/>
              </w:rPr>
              <w:t>）标准限值；运营期场界噪声执行《工业企业厂界环境噪声排放标准》（</w:t>
            </w:r>
            <w:r>
              <w:rPr>
                <w:color w:val="000000"/>
                <w:sz w:val="24"/>
              </w:rPr>
              <w:t>GB12348-2008</w:t>
            </w:r>
            <w:r>
              <w:rPr>
                <w:rFonts w:hint="eastAsia"/>
                <w:color w:val="000000"/>
                <w:sz w:val="24"/>
              </w:rPr>
              <w:t>）中</w:t>
            </w:r>
            <w:r>
              <w:rPr>
                <w:color w:val="000000"/>
                <w:sz w:val="24"/>
              </w:rPr>
              <w:t>1</w:t>
            </w:r>
            <w:r>
              <w:rPr>
                <w:rFonts w:hint="eastAsia"/>
                <w:color w:val="000000"/>
                <w:sz w:val="24"/>
              </w:rPr>
              <w:t>类标准限值。</w:t>
            </w:r>
          </w:p>
          <w:p w14:paraId="21DB3C3F">
            <w:pPr>
              <w:ind w:firstLine="480" w:firstLineChars="200"/>
              <w:rPr>
                <w:color w:val="000000"/>
                <w:sz w:val="24"/>
              </w:rPr>
            </w:pPr>
            <w:r>
              <w:rPr>
                <w:rFonts w:hint="eastAsia"/>
                <w:color w:val="000000"/>
                <w:sz w:val="24"/>
              </w:rPr>
              <w:t>固体废物：一般工业固体废物执行《一般工业固体废物贮存、处理场污染控制标准》（</w:t>
            </w:r>
            <w:r>
              <w:rPr>
                <w:color w:val="000000"/>
                <w:sz w:val="24"/>
              </w:rPr>
              <w:t>GB18599-2001</w:t>
            </w:r>
            <w:r>
              <w:rPr>
                <w:rFonts w:hint="eastAsia"/>
                <w:color w:val="000000"/>
                <w:sz w:val="24"/>
              </w:rPr>
              <w:t>）及其修改单要求；危险废物执行《危险废物贮存污染控制标准》（</w:t>
            </w:r>
            <w:r>
              <w:rPr>
                <w:color w:val="000000"/>
                <w:sz w:val="24"/>
              </w:rPr>
              <w:t>GB18597-2001</w:t>
            </w:r>
            <w:r>
              <w:rPr>
                <w:rFonts w:hint="eastAsia"/>
                <w:color w:val="000000"/>
                <w:sz w:val="24"/>
              </w:rPr>
              <w:t>）及其修改单要求。</w:t>
            </w:r>
          </w:p>
        </w:tc>
      </w:tr>
      <w:tr w14:paraId="083C25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8" w:hRule="atLeast"/>
          <w:jc w:val="center"/>
        </w:trPr>
        <w:tc>
          <w:tcPr>
            <w:tcW w:w="555" w:type="dxa"/>
            <w:tcBorders>
              <w:top w:val="single" w:color="auto" w:sz="4" w:space="0"/>
              <w:left w:val="single" w:color="auto" w:sz="4" w:space="0"/>
              <w:bottom w:val="single" w:color="auto" w:sz="4" w:space="0"/>
              <w:right w:val="single" w:color="auto" w:sz="4" w:space="0"/>
            </w:tcBorders>
            <w:vAlign w:val="center"/>
          </w:tcPr>
          <w:p w14:paraId="6E80241F">
            <w:pPr>
              <w:rPr>
                <w:color w:val="000000"/>
                <w:sz w:val="24"/>
              </w:rPr>
            </w:pPr>
            <w:r>
              <w:rPr>
                <w:rFonts w:hint="eastAsia"/>
                <w:color w:val="000000"/>
                <w:sz w:val="24"/>
              </w:rPr>
              <w:t>总量控制指</w:t>
            </w:r>
          </w:p>
          <w:p w14:paraId="3B28A11F">
            <w:pPr>
              <w:rPr>
                <w:color w:val="000000"/>
                <w:sz w:val="24"/>
              </w:rPr>
            </w:pPr>
            <w:r>
              <w:rPr>
                <w:rFonts w:hint="eastAsia"/>
                <w:color w:val="000000"/>
                <w:sz w:val="24"/>
              </w:rPr>
              <w:t>标</w:t>
            </w:r>
          </w:p>
        </w:tc>
        <w:tc>
          <w:tcPr>
            <w:tcW w:w="8517" w:type="dxa"/>
            <w:tcBorders>
              <w:top w:val="single" w:color="auto" w:sz="4" w:space="0"/>
              <w:left w:val="single" w:color="auto" w:sz="4" w:space="0"/>
              <w:bottom w:val="single" w:color="auto" w:sz="4" w:space="0"/>
              <w:right w:val="single" w:color="auto" w:sz="4" w:space="0"/>
            </w:tcBorders>
          </w:tcPr>
          <w:p w14:paraId="7C057DC5">
            <w:pPr>
              <w:ind w:firstLine="480" w:firstLineChars="200"/>
              <w:rPr>
                <w:color w:val="000000"/>
                <w:sz w:val="24"/>
              </w:rPr>
            </w:pPr>
          </w:p>
          <w:p w14:paraId="739DC9CB">
            <w:pPr>
              <w:ind w:firstLine="480" w:firstLineChars="200"/>
              <w:rPr>
                <w:color w:val="000000"/>
                <w:sz w:val="24"/>
              </w:rPr>
            </w:pPr>
          </w:p>
          <w:p w14:paraId="34AF03C1">
            <w:pPr>
              <w:ind w:firstLine="480" w:firstLineChars="200"/>
              <w:rPr>
                <w:color w:val="000000"/>
                <w:sz w:val="24"/>
              </w:rPr>
            </w:pPr>
          </w:p>
          <w:p w14:paraId="22CC1FA9">
            <w:pPr>
              <w:ind w:firstLine="480" w:firstLineChars="200"/>
              <w:rPr>
                <w:color w:val="000000"/>
                <w:sz w:val="24"/>
              </w:rPr>
            </w:pPr>
            <w:r>
              <w:rPr>
                <w:rFonts w:hint="eastAsia"/>
                <w:color w:val="000000"/>
                <w:sz w:val="24"/>
              </w:rPr>
              <w:t>本项目运营期无</w:t>
            </w:r>
            <w:r>
              <w:rPr>
                <w:color w:val="000000"/>
                <w:sz w:val="24"/>
              </w:rPr>
              <w:t>SO</w:t>
            </w:r>
            <w:r>
              <w:rPr>
                <w:color w:val="000000"/>
                <w:sz w:val="24"/>
                <w:vertAlign w:val="subscript"/>
              </w:rPr>
              <w:t>2</w:t>
            </w:r>
            <w:r>
              <w:rPr>
                <w:rFonts w:hint="eastAsia"/>
                <w:color w:val="000000"/>
                <w:sz w:val="24"/>
              </w:rPr>
              <w:t>、</w:t>
            </w:r>
            <w:r>
              <w:rPr>
                <w:color w:val="000000"/>
                <w:sz w:val="24"/>
              </w:rPr>
              <w:t>NO</w:t>
            </w:r>
            <w:r>
              <w:rPr>
                <w:color w:val="000000"/>
                <w:sz w:val="24"/>
                <w:vertAlign w:val="subscript"/>
              </w:rPr>
              <w:t>2</w:t>
            </w:r>
            <w:r>
              <w:rPr>
                <w:rFonts w:hint="eastAsia"/>
                <w:color w:val="000000"/>
                <w:sz w:val="24"/>
              </w:rPr>
              <w:t>产生，生活污水经地埋式一体化设备处理后用于绿化洒水等，无</w:t>
            </w:r>
            <w:r>
              <w:rPr>
                <w:color w:val="000000"/>
                <w:sz w:val="24"/>
              </w:rPr>
              <w:t>COD</w:t>
            </w:r>
            <w:r>
              <w:rPr>
                <w:rFonts w:hint="eastAsia"/>
                <w:color w:val="000000"/>
                <w:sz w:val="24"/>
              </w:rPr>
              <w:t>、</w:t>
            </w:r>
            <w:r>
              <w:rPr>
                <w:color w:val="000000"/>
                <w:sz w:val="24"/>
              </w:rPr>
              <w:t>BOD</w:t>
            </w:r>
            <w:r>
              <w:rPr>
                <w:color w:val="000000"/>
                <w:sz w:val="24"/>
                <w:vertAlign w:val="subscript"/>
              </w:rPr>
              <w:t>5</w:t>
            </w:r>
            <w:r>
              <w:rPr>
                <w:rFonts w:hint="eastAsia"/>
                <w:color w:val="000000"/>
                <w:sz w:val="24"/>
              </w:rPr>
              <w:t>直接排放，因此不涉及总量控制指标。</w:t>
            </w:r>
          </w:p>
          <w:p w14:paraId="0571DCF9">
            <w:pPr>
              <w:ind w:firstLine="480" w:firstLineChars="200"/>
              <w:rPr>
                <w:color w:val="000000"/>
                <w:sz w:val="24"/>
              </w:rPr>
            </w:pPr>
          </w:p>
          <w:p w14:paraId="384055D9">
            <w:pPr>
              <w:ind w:firstLine="480" w:firstLineChars="200"/>
              <w:rPr>
                <w:color w:val="000000"/>
                <w:sz w:val="24"/>
              </w:rPr>
            </w:pPr>
          </w:p>
          <w:p w14:paraId="790CA6C0">
            <w:pPr>
              <w:ind w:firstLine="480" w:firstLineChars="200"/>
              <w:rPr>
                <w:color w:val="000000"/>
                <w:sz w:val="24"/>
              </w:rPr>
            </w:pPr>
          </w:p>
        </w:tc>
      </w:tr>
    </w:tbl>
    <w:p w14:paraId="71080F7C">
      <w:pPr>
        <w:rPr>
          <w:b/>
          <w:color w:val="000000"/>
          <w:sz w:val="28"/>
          <w:szCs w:val="28"/>
        </w:rPr>
      </w:pPr>
      <w:r>
        <w:rPr>
          <w:rFonts w:hint="eastAsia"/>
          <w:b/>
          <w:color w:val="000000"/>
          <w:sz w:val="28"/>
          <w:szCs w:val="28"/>
        </w:rPr>
        <w:t>建设项目工程分析</w:t>
      </w:r>
    </w:p>
    <w:tbl>
      <w:tblPr>
        <w:tblStyle w:val="2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72"/>
      </w:tblGrid>
      <w:tr w14:paraId="5945AE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2" w:hRule="atLeast"/>
          <w:jc w:val="center"/>
        </w:trPr>
        <w:tc>
          <w:tcPr>
            <w:tcW w:w="9072" w:type="dxa"/>
            <w:tcBorders>
              <w:top w:val="single" w:color="auto" w:sz="4" w:space="0"/>
              <w:left w:val="single" w:color="auto" w:sz="4" w:space="0"/>
              <w:bottom w:val="single" w:color="auto" w:sz="4" w:space="0"/>
              <w:right w:val="single" w:color="auto" w:sz="4" w:space="0"/>
            </w:tcBorders>
          </w:tcPr>
          <w:p w14:paraId="1B650035">
            <w:pPr>
              <w:rPr>
                <w:b/>
                <w:color w:val="000000"/>
                <w:sz w:val="24"/>
              </w:rPr>
            </w:pPr>
            <w:r>
              <w:rPr>
                <w:rFonts w:hint="eastAsia"/>
                <w:b/>
                <w:color w:val="000000"/>
                <w:sz w:val="24"/>
              </w:rPr>
              <w:t>工艺流程简述（图示）：</w:t>
            </w:r>
          </w:p>
          <w:p w14:paraId="2508417D">
            <w:pPr>
              <w:ind w:firstLine="480"/>
              <w:rPr>
                <w:color w:val="000000"/>
                <w:sz w:val="24"/>
              </w:rPr>
            </w:pPr>
            <w:r>
              <w:rPr>
                <w:color w:val="000000"/>
                <w:sz w:val="24"/>
              </w:rPr>
              <w:t>1</w:t>
            </w:r>
            <w:r>
              <w:rPr>
                <w:rFonts w:hint="eastAsia"/>
                <w:color w:val="000000"/>
                <w:sz w:val="24"/>
              </w:rPr>
              <w:t>、施工期</w:t>
            </w:r>
          </w:p>
          <w:p w14:paraId="3A44E982">
            <w:pPr>
              <w:ind w:firstLine="480"/>
              <w:rPr>
                <w:color w:val="000000"/>
                <w:sz w:val="24"/>
              </w:rPr>
            </w:pPr>
            <w:r>
              <w:rPr>
                <w:rFonts w:hint="eastAsia"/>
                <w:color w:val="000000"/>
                <w:sz w:val="24"/>
              </w:rPr>
              <w:t>风电场施工工程主要包括场内道路施工、风机基础构筑及安装、箱式变压器基础施工及安装、线路架设施工、升压站建筑及附属生产工程施工，产生的污染物主要包括施工粉尘、废气、噪声、施工废水、废土石等。另外，道路修建、场地平整、基础开挖等施工活动，均会对生态环境造成影响，包括植被破坏、土地占用、水土流失等。</w:t>
            </w:r>
          </w:p>
          <w:p w14:paraId="49BC3CC6">
            <w:pPr>
              <w:ind w:firstLine="480"/>
              <w:rPr>
                <w:color w:val="000000"/>
                <w:sz w:val="24"/>
              </w:rPr>
            </w:pPr>
            <w:r>
              <w:rPr>
                <w:rFonts w:hint="eastAsia"/>
                <w:color w:val="000000"/>
                <w:sz w:val="24"/>
              </w:rPr>
              <w:t>（</w:t>
            </w:r>
            <w:r>
              <w:rPr>
                <w:color w:val="000000"/>
                <w:sz w:val="24"/>
              </w:rPr>
              <w:t>1</w:t>
            </w:r>
            <w:r>
              <w:rPr>
                <w:rFonts w:hint="eastAsia"/>
                <w:color w:val="000000"/>
                <w:sz w:val="24"/>
              </w:rPr>
              <w:t>）</w:t>
            </w:r>
            <w:r>
              <w:rPr>
                <w:rFonts w:hint="eastAsia"/>
                <w:sz w:val="24"/>
              </w:rPr>
              <w:t>风机及箱式变压器施工</w:t>
            </w:r>
          </w:p>
          <w:p w14:paraId="51B96D8E">
            <w:pPr>
              <w:ind w:firstLine="480"/>
              <w:rPr>
                <w:color w:val="000000"/>
                <w:sz w:val="24"/>
              </w:rPr>
            </w:pPr>
            <w:r>
              <w:rPr>
                <w:rFonts w:hint="eastAsia"/>
                <w:color w:val="000000"/>
                <w:sz w:val="24"/>
              </w:rPr>
              <w:t>风机基础工程主要包括土石方工程、模板工程、钢筋工程、混凝土工程。</w:t>
            </w:r>
          </w:p>
          <w:p w14:paraId="1031805A">
            <w:pPr>
              <w:ind w:firstLine="480"/>
              <w:rPr>
                <w:rFonts w:ascii="宋体" w:hAnsi="宋体" w:cs="宋体"/>
                <w:color w:val="000000"/>
                <w:sz w:val="24"/>
              </w:rPr>
            </w:pPr>
            <w:r>
              <w:rPr>
                <w:rFonts w:hint="eastAsia" w:ascii="宋体" w:hAnsi="宋体" w:cs="宋体"/>
                <w:color w:val="000000"/>
                <w:sz w:val="24"/>
              </w:rPr>
              <w:t xml:space="preserve">① 表土剥离 </w:t>
            </w:r>
          </w:p>
          <w:p w14:paraId="17D88998">
            <w:pPr>
              <w:ind w:firstLine="480"/>
              <w:rPr>
                <w:color w:val="000000"/>
                <w:sz w:val="24"/>
              </w:rPr>
            </w:pPr>
            <w:r>
              <w:rPr>
                <w:rFonts w:hint="eastAsia"/>
                <w:color w:val="000000"/>
                <w:sz w:val="24"/>
              </w:rPr>
              <w:t>基础开挖前，对于土质基础先用推土机将风机基础的表土进行剥离并单独存放，表土剥离厚度</w:t>
            </w:r>
            <w:r>
              <w:rPr>
                <w:color w:val="000000"/>
                <w:sz w:val="24"/>
              </w:rPr>
              <w:t>30cm</w:t>
            </w:r>
            <w:r>
              <w:rPr>
                <w:rFonts w:hint="eastAsia"/>
                <w:color w:val="000000"/>
                <w:sz w:val="24"/>
              </w:rPr>
              <w:t>。</w:t>
            </w:r>
          </w:p>
          <w:p w14:paraId="1BD091AE">
            <w:pPr>
              <w:ind w:firstLine="480"/>
              <w:rPr>
                <w:color w:val="000000"/>
                <w:sz w:val="24"/>
              </w:rPr>
            </w:pPr>
            <w:r>
              <w:rPr>
                <w:rFonts w:hint="eastAsia"/>
                <w:color w:val="000000"/>
                <w:sz w:val="24"/>
              </w:rPr>
              <w:t>②</w:t>
            </w:r>
            <w:r>
              <w:rPr>
                <w:color w:val="000000"/>
                <w:sz w:val="24"/>
              </w:rPr>
              <w:t xml:space="preserve"> </w:t>
            </w:r>
            <w:r>
              <w:rPr>
                <w:rFonts w:hint="eastAsia"/>
                <w:color w:val="000000"/>
                <w:sz w:val="24"/>
              </w:rPr>
              <w:t>基础开挖</w:t>
            </w:r>
          </w:p>
          <w:p w14:paraId="20909535">
            <w:pPr>
              <w:ind w:firstLine="480"/>
              <w:rPr>
                <w:color w:val="000000"/>
                <w:sz w:val="24"/>
              </w:rPr>
            </w:pPr>
            <w:r>
              <w:rPr>
                <w:rFonts w:hint="eastAsia"/>
                <w:color w:val="000000"/>
                <w:sz w:val="24"/>
              </w:rPr>
              <w:t>风机基础开挖，采用机械开挖的方式开挖至离基础设计底标高上方</w:t>
            </w:r>
            <w:r>
              <w:rPr>
                <w:color w:val="000000"/>
                <w:sz w:val="24"/>
              </w:rPr>
              <w:t>500mm</w:t>
            </w:r>
            <w:r>
              <w:rPr>
                <w:rFonts w:hint="eastAsia"/>
                <w:color w:val="000000"/>
                <w:sz w:val="24"/>
              </w:rPr>
              <w:t>，然后采用人工进行基槽清理，为浇筑混凝土垫层做准备。开挖土石方一部分沿坑槽周边堆放，一部分土石方用自卸汽车运输到吊装平台处用于平整场地。根据规范及计算确定挖方的边坡坡度。开挖完之后，清理干净坑内杂物，进行基槽验收。</w:t>
            </w:r>
          </w:p>
          <w:p w14:paraId="40FDDCFC">
            <w:pPr>
              <w:ind w:firstLine="480"/>
              <w:rPr>
                <w:color w:val="000000"/>
                <w:sz w:val="24"/>
              </w:rPr>
            </w:pPr>
            <w:r>
              <w:rPr>
                <w:rFonts w:hint="eastAsia"/>
                <w:color w:val="000000"/>
                <w:sz w:val="24"/>
              </w:rPr>
              <w:t>③</w:t>
            </w:r>
            <w:r>
              <w:rPr>
                <w:color w:val="000000"/>
                <w:sz w:val="24"/>
              </w:rPr>
              <w:t xml:space="preserve"> </w:t>
            </w:r>
            <w:r>
              <w:rPr>
                <w:rFonts w:hint="eastAsia"/>
                <w:color w:val="000000"/>
                <w:sz w:val="24"/>
              </w:rPr>
              <w:t>模板工程、钢筋工程、混凝土工程</w:t>
            </w:r>
          </w:p>
          <w:p w14:paraId="22F570F0">
            <w:pPr>
              <w:ind w:firstLine="480"/>
              <w:rPr>
                <w:color w:val="000000"/>
                <w:sz w:val="24"/>
              </w:rPr>
            </w:pPr>
            <w:r>
              <w:rPr>
                <w:rFonts w:hint="eastAsia"/>
                <w:color w:val="000000"/>
                <w:sz w:val="24"/>
              </w:rPr>
              <w:t>风机基础施工，先浇筑混凝土垫层，待混凝土垫层凝固后，进行基础环安装、钢筋制作和绑扎、接地电阻预埋、模板安装，然后进行</w:t>
            </w:r>
            <w:r>
              <w:rPr>
                <w:color w:val="000000"/>
                <w:sz w:val="24"/>
              </w:rPr>
              <w:t>C40</w:t>
            </w:r>
            <w:r>
              <w:rPr>
                <w:rFonts w:hint="eastAsia"/>
                <w:color w:val="000000"/>
                <w:sz w:val="24"/>
              </w:rPr>
              <w:t>基础混凝土浇筑。</w:t>
            </w:r>
          </w:p>
          <w:p w14:paraId="62787B0B">
            <w:pPr>
              <w:ind w:firstLine="480"/>
              <w:rPr>
                <w:color w:val="000000"/>
                <w:sz w:val="24"/>
              </w:rPr>
            </w:pPr>
            <w:r>
              <w:rPr>
                <w:rFonts w:hint="eastAsia"/>
                <w:color w:val="000000"/>
                <w:sz w:val="24"/>
              </w:rPr>
              <w:t>模板工程的施工程序为：制模→刷隔离剂→水平、垂直运输→立基础承台模板→立基础主柱模板→拆除模板并清理。钢筋工程的施工程序为：钢筋翻样→材料检验→焊接试验→钢筋制作→半成品钢筋检验→钢筋绑扎→成型钢筋验收→隐蔽工程记录。</w:t>
            </w:r>
          </w:p>
          <w:p w14:paraId="79D3076A">
            <w:pPr>
              <w:ind w:firstLine="480"/>
              <w:rPr>
                <w:color w:val="000000"/>
                <w:sz w:val="24"/>
              </w:rPr>
            </w:pPr>
            <w:r>
              <w:rPr>
                <w:rFonts w:hint="eastAsia"/>
                <w:color w:val="000000"/>
                <w:sz w:val="24"/>
              </w:rPr>
              <w:t>④</w:t>
            </w:r>
            <w:r>
              <w:rPr>
                <w:color w:val="000000"/>
                <w:sz w:val="24"/>
              </w:rPr>
              <w:t xml:space="preserve"> </w:t>
            </w:r>
            <w:r>
              <w:rPr>
                <w:rFonts w:hint="eastAsia"/>
                <w:color w:val="000000"/>
                <w:sz w:val="24"/>
              </w:rPr>
              <w:t>基础土方回填</w:t>
            </w:r>
          </w:p>
          <w:p w14:paraId="771EAEA8">
            <w:pPr>
              <w:ind w:firstLine="480"/>
              <w:rPr>
                <w:color w:val="000000"/>
                <w:sz w:val="24"/>
              </w:rPr>
            </w:pPr>
            <w:r>
              <w:rPr>
                <w:rFonts w:hint="eastAsia"/>
                <w:color w:val="000000"/>
                <w:sz w:val="24"/>
              </w:rPr>
              <w:t>土方回填应分层夯实，每层厚</w:t>
            </w:r>
            <w:r>
              <w:rPr>
                <w:color w:val="000000"/>
                <w:sz w:val="24"/>
              </w:rPr>
              <w:t>200</w:t>
            </w:r>
            <w:r>
              <w:rPr>
                <w:rFonts w:hint="eastAsia"/>
                <w:color w:val="000000"/>
                <w:sz w:val="24"/>
              </w:rPr>
              <w:t>～</w:t>
            </w:r>
            <w:r>
              <w:rPr>
                <w:color w:val="000000"/>
                <w:sz w:val="24"/>
              </w:rPr>
              <w:t>300mm</w:t>
            </w:r>
            <w:r>
              <w:rPr>
                <w:rFonts w:hint="eastAsia"/>
                <w:color w:val="000000"/>
                <w:sz w:val="24"/>
              </w:rPr>
              <w:t>，回填土的压实系数不小于</w:t>
            </w:r>
            <w:r>
              <w:rPr>
                <w:color w:val="000000"/>
                <w:sz w:val="24"/>
              </w:rPr>
              <w:t>0.95</w:t>
            </w:r>
            <w:r>
              <w:rPr>
                <w:rFonts w:hint="eastAsia"/>
                <w:color w:val="000000"/>
                <w:sz w:val="24"/>
              </w:rPr>
              <w:t>。</w:t>
            </w:r>
          </w:p>
          <w:p w14:paraId="449242A4">
            <w:pPr>
              <w:ind w:firstLine="480"/>
              <w:rPr>
                <w:color w:val="000000"/>
                <w:sz w:val="24"/>
              </w:rPr>
            </w:pPr>
            <w:r>
              <w:rPr>
                <w:rFonts w:hint="eastAsia"/>
                <w:color w:val="000000"/>
                <w:sz w:val="24"/>
              </w:rPr>
              <w:t>⑤</w:t>
            </w:r>
            <w:r>
              <w:rPr>
                <w:color w:val="000000"/>
                <w:sz w:val="24"/>
              </w:rPr>
              <w:t xml:space="preserve"> </w:t>
            </w:r>
            <w:r>
              <w:rPr>
                <w:rFonts w:hint="eastAsia"/>
                <w:color w:val="000000"/>
                <w:sz w:val="24"/>
              </w:rPr>
              <w:t>风机运输和吊装</w:t>
            </w:r>
          </w:p>
          <w:p w14:paraId="38E9B8F1">
            <w:pPr>
              <w:ind w:firstLine="480"/>
              <w:rPr>
                <w:color w:val="000000"/>
                <w:sz w:val="24"/>
              </w:rPr>
            </w:pPr>
            <w:r>
              <w:rPr>
                <w:rFonts w:hint="eastAsia"/>
                <w:color w:val="000000"/>
                <w:sz w:val="24"/>
              </w:rPr>
              <w:t>机舱、塔架和叶片部件由大型运输车运至现场，风力发电机组塔架的轮毂处高度为</w:t>
            </w:r>
            <w:r>
              <w:rPr>
                <w:color w:val="000000"/>
                <w:sz w:val="24"/>
              </w:rPr>
              <w:t>85m</w:t>
            </w:r>
            <w:r>
              <w:rPr>
                <w:rFonts w:hint="eastAsia"/>
                <w:color w:val="000000"/>
                <w:sz w:val="24"/>
              </w:rPr>
              <w:t>，选择吊车为主吊，起吊高度为</w:t>
            </w:r>
            <w:r>
              <w:rPr>
                <w:color w:val="000000"/>
                <w:sz w:val="24"/>
              </w:rPr>
              <w:t>92m</w:t>
            </w:r>
            <w:r>
              <w:rPr>
                <w:rFonts w:hint="eastAsia"/>
                <w:color w:val="000000"/>
                <w:sz w:val="24"/>
              </w:rPr>
              <w:t>，并配置一台起吊重量不小于</w:t>
            </w:r>
            <w:r>
              <w:rPr>
                <w:color w:val="000000"/>
                <w:sz w:val="24"/>
              </w:rPr>
              <w:t>80t</w:t>
            </w:r>
            <w:r>
              <w:rPr>
                <w:rFonts w:hint="eastAsia"/>
                <w:color w:val="000000"/>
                <w:sz w:val="24"/>
              </w:rPr>
              <w:t>的辅助吊车，进行风机、塔架的安装，可以满足本工程最大件设备的安装要求。</w:t>
            </w:r>
          </w:p>
          <w:p w14:paraId="2C524EB1">
            <w:pPr>
              <w:ind w:firstLine="480"/>
              <w:rPr>
                <w:color w:val="000000"/>
                <w:sz w:val="24"/>
              </w:rPr>
            </w:pPr>
            <w:r>
              <w:rPr>
                <w:rFonts w:hint="eastAsia"/>
                <w:color w:val="000000"/>
                <w:sz w:val="24"/>
              </w:rPr>
              <w:t>本工程的风机塔架为钢管塔架，总共分为四节，每节之间由法兰连接。机组采用分件吊装的形式进行安装。机组吊装分三个工段：第一工段吊装塔架下部；第二工段吊装塔架中部；第三工段吊装塔架上部和机舱、轮毂及叶片。各工段均使用一辆</w:t>
            </w:r>
            <w:r>
              <w:rPr>
                <w:color w:val="000000"/>
                <w:sz w:val="24"/>
              </w:rPr>
              <w:t>400t</w:t>
            </w:r>
            <w:r>
              <w:rPr>
                <w:rFonts w:hint="eastAsia"/>
                <w:color w:val="000000"/>
                <w:sz w:val="24"/>
              </w:rPr>
              <w:t>履带吊为主吊，</w:t>
            </w:r>
            <w:r>
              <w:rPr>
                <w:color w:val="000000"/>
                <w:sz w:val="24"/>
              </w:rPr>
              <w:t>80t</w:t>
            </w:r>
            <w:r>
              <w:rPr>
                <w:rFonts w:hint="eastAsia"/>
                <w:color w:val="000000"/>
                <w:sz w:val="24"/>
              </w:rPr>
              <w:t>汽车吊为辅吊配合完成。</w:t>
            </w:r>
          </w:p>
          <w:p w14:paraId="06E9D8A1">
            <w:pPr>
              <w:ind w:firstLine="480"/>
              <w:rPr>
                <w:rFonts w:ascii="宋体" w:hAnsi="宋体" w:cs="宋体"/>
                <w:color w:val="000000"/>
                <w:sz w:val="24"/>
              </w:rPr>
            </w:pPr>
            <w:r>
              <w:rPr>
                <w:rFonts w:hint="eastAsia" w:ascii="宋体" w:hAnsi="宋体" w:cs="宋体"/>
                <w:color w:val="000000"/>
                <w:sz w:val="24"/>
              </w:rPr>
              <w:t>⑥ 机组、箱变安装</w:t>
            </w:r>
          </w:p>
          <w:p w14:paraId="2A03BB69">
            <w:pPr>
              <w:ind w:firstLine="480"/>
              <w:rPr>
                <w:color w:val="000000"/>
                <w:sz w:val="24"/>
              </w:rPr>
            </w:pPr>
            <w:r>
              <w:rPr>
                <w:rFonts w:hint="eastAsia"/>
                <w:color w:val="000000"/>
                <w:sz w:val="24"/>
              </w:rPr>
              <w:t>风机机组安装：塔架安装（分四节吊装）→机舱安装→风轮安装→控制柜就位→放电缆→电气接线。风机箱式变安装：采用汽车吊吊装就位。</w:t>
            </w:r>
          </w:p>
          <w:p w14:paraId="1B9076A2">
            <w:pPr>
              <w:ind w:firstLine="480"/>
              <w:rPr>
                <w:sz w:val="24"/>
              </w:rPr>
            </w:pPr>
            <w:r>
              <w:rPr>
                <w:rFonts w:hint="eastAsia"/>
                <w:sz w:val="24"/>
              </w:rPr>
              <w:t>（</w:t>
            </w:r>
            <w:r>
              <w:rPr>
                <w:sz w:val="24"/>
              </w:rPr>
              <w:t>2</w:t>
            </w:r>
            <w:r>
              <w:rPr>
                <w:rFonts w:hint="eastAsia"/>
                <w:sz w:val="24"/>
              </w:rPr>
              <w:t>）施工及检修道路施工</w:t>
            </w:r>
          </w:p>
          <w:p w14:paraId="1F3174B2">
            <w:pPr>
              <w:ind w:firstLine="480"/>
              <w:rPr>
                <w:color w:val="000000"/>
                <w:sz w:val="24"/>
              </w:rPr>
            </w:pPr>
            <w:r>
              <w:rPr>
                <w:rFonts w:hint="eastAsia"/>
                <w:sz w:val="24"/>
              </w:rPr>
              <w:t>风电场检修道路采取分段施工，分段推进，定好基线后清理表层土，剥离表土厚度</w:t>
            </w:r>
            <w:r>
              <w:rPr>
                <w:sz w:val="24"/>
              </w:rPr>
              <w:t>30cm</w:t>
            </w:r>
            <w:r>
              <w:rPr>
                <w:rFonts w:hint="eastAsia"/>
                <w:sz w:val="24"/>
              </w:rPr>
              <w:t>左右，堆放至道路一侧边缘的临时占地内。施工道路路基宽</w:t>
            </w:r>
            <w:r>
              <w:rPr>
                <w:sz w:val="24"/>
              </w:rPr>
              <w:t>9m</w:t>
            </w:r>
            <w:r>
              <w:rPr>
                <w:rFonts w:hint="eastAsia"/>
                <w:sz w:val="24"/>
              </w:rPr>
              <w:t>，施工完毕后，保留路基宽度</w:t>
            </w:r>
            <w:r>
              <w:rPr>
                <w:sz w:val="24"/>
              </w:rPr>
              <w:t>4.5m</w:t>
            </w:r>
            <w:r>
              <w:rPr>
                <w:rFonts w:hint="eastAsia"/>
                <w:sz w:val="24"/>
              </w:rPr>
              <w:t>，路面</w:t>
            </w:r>
            <w:r>
              <w:rPr>
                <w:sz w:val="24"/>
              </w:rPr>
              <w:t>3.5m</w:t>
            </w:r>
            <w:r>
              <w:rPr>
                <w:rFonts w:hint="eastAsia"/>
                <w:sz w:val="24"/>
              </w:rPr>
              <w:t>作为检修道路，其余恢复植被。所有路面均采用泥结碎砾石路面，路基、路面压实采用机械碾压。</w:t>
            </w:r>
          </w:p>
          <w:p w14:paraId="3A0CA088">
            <w:pPr>
              <w:ind w:firstLine="480"/>
              <w:rPr>
                <w:color w:val="000000"/>
                <w:sz w:val="24"/>
              </w:rPr>
            </w:pPr>
            <w:r>
              <w:rPr>
                <w:rFonts w:hint="eastAsia"/>
                <w:color w:val="000000"/>
                <w:sz w:val="24"/>
              </w:rPr>
              <w:t>（</w:t>
            </w:r>
            <w:r>
              <w:rPr>
                <w:color w:val="000000"/>
                <w:sz w:val="24"/>
              </w:rPr>
              <w:t>3</w:t>
            </w:r>
            <w:r>
              <w:rPr>
                <w:rFonts w:hint="eastAsia"/>
                <w:color w:val="000000"/>
                <w:sz w:val="24"/>
              </w:rPr>
              <w:t>）集输电线路施工</w:t>
            </w:r>
          </w:p>
          <w:p w14:paraId="6BB7517F">
            <w:pPr>
              <w:ind w:firstLine="480"/>
              <w:rPr>
                <w:color w:val="000000"/>
                <w:sz w:val="24"/>
              </w:rPr>
            </w:pPr>
            <w:r>
              <w:rPr>
                <w:rFonts w:hint="eastAsia"/>
                <w:color w:val="000000"/>
                <w:sz w:val="24"/>
              </w:rPr>
              <w:t>架空集电（供电、通讯）线路施工首先是塔架及电杆土建施工，即开挖基坑、临时堆土、塔基浇筑、立杆、回填土、碾压等。基坑主要采用人工开挖、回填，表土置于堆土底层。在塔架及电杆土建施工结束后，即可分区安装线缆。</w:t>
            </w:r>
          </w:p>
          <w:p w14:paraId="0FAF873A">
            <w:pPr>
              <w:ind w:firstLine="480"/>
              <w:rPr>
                <w:color w:val="000000"/>
                <w:sz w:val="24"/>
              </w:rPr>
            </w:pPr>
            <w:r>
              <w:rPr>
                <w:rFonts w:hint="eastAsia"/>
                <w:color w:val="000000"/>
                <w:sz w:val="24"/>
              </w:rPr>
              <w:t>（</w:t>
            </w:r>
            <w:r>
              <w:rPr>
                <w:color w:val="000000"/>
                <w:sz w:val="24"/>
              </w:rPr>
              <w:t>4</w:t>
            </w:r>
            <w:r>
              <w:rPr>
                <w:rFonts w:hint="eastAsia"/>
                <w:color w:val="000000"/>
                <w:sz w:val="24"/>
              </w:rPr>
              <w:t>）升压站施工</w:t>
            </w:r>
          </w:p>
          <w:p w14:paraId="499A5A22">
            <w:pPr>
              <w:ind w:firstLine="480"/>
              <w:rPr>
                <w:color w:val="000000"/>
                <w:sz w:val="24"/>
              </w:rPr>
            </w:pPr>
            <w:r>
              <w:rPr>
                <w:rFonts w:hint="eastAsia"/>
                <w:color w:val="000000"/>
                <w:sz w:val="24"/>
              </w:rPr>
              <w:t>采用常规建筑施工方法施工：施工准备→场地清理→基础开挖→地基处理→基础混凝土浇筑→墙体砌筑→混凝土构造柱、梁浇筑→楼板浇筑→室内外装修及给排水系统施工→电气设备就位安装调试。</w:t>
            </w:r>
          </w:p>
          <w:p w14:paraId="395936AE">
            <w:pPr>
              <w:ind w:firstLine="480"/>
              <w:rPr>
                <w:color w:val="000000"/>
                <w:sz w:val="24"/>
              </w:rPr>
            </w:pPr>
            <w:r>
              <w:rPr>
                <w:rFonts w:hint="eastAsia"/>
                <w:color w:val="000000"/>
                <w:sz w:val="24"/>
              </w:rPr>
              <w:t>升压站场地清理，采用推土机配合人工清理，表土单独堆存。然后用</w:t>
            </w:r>
            <w:r>
              <w:rPr>
                <w:color w:val="000000"/>
                <w:sz w:val="24"/>
              </w:rPr>
              <w:t>10t</w:t>
            </w:r>
            <w:r>
              <w:rPr>
                <w:rFonts w:hint="eastAsia"/>
                <w:color w:val="000000"/>
                <w:sz w:val="24"/>
              </w:rPr>
              <w:t>振动碾，将场地碾平，达到设计要求。升压站内所有建筑物的基础开挖，均采用小型挖掘机配人工开挖清理（包括基础之间的地下电缆沟）。人工清槽后，经验槽合格，方可进行后序施工。当升压站内所有建筑物封顶、大型设备就位后，进行围墙施工。围墙为</w:t>
            </w:r>
            <w:r>
              <w:rPr>
                <w:color w:val="000000"/>
                <w:sz w:val="24"/>
              </w:rPr>
              <w:t>240mm</w:t>
            </w:r>
            <w:r>
              <w:rPr>
                <w:rFonts w:hint="eastAsia"/>
                <w:color w:val="000000"/>
                <w:sz w:val="24"/>
              </w:rPr>
              <w:t>厚的清水砖墙。</w:t>
            </w:r>
          </w:p>
          <w:p w14:paraId="251DCD7E">
            <w:pPr>
              <w:ind w:firstLine="480"/>
              <w:rPr>
                <w:color w:val="000000"/>
                <w:sz w:val="24"/>
              </w:rPr>
            </w:pPr>
            <w:r>
              <w:rPr>
                <w:rFonts w:hint="eastAsia"/>
                <w:color w:val="000000"/>
                <w:sz w:val="24"/>
              </w:rPr>
              <w:t>（</w:t>
            </w:r>
            <w:r>
              <w:rPr>
                <w:color w:val="000000"/>
                <w:sz w:val="24"/>
              </w:rPr>
              <w:t>5</w:t>
            </w:r>
            <w:r>
              <w:rPr>
                <w:rFonts w:hint="eastAsia"/>
                <w:color w:val="000000"/>
                <w:sz w:val="24"/>
              </w:rPr>
              <w:t>）施工生产、生活区场地平整</w:t>
            </w:r>
          </w:p>
          <w:p w14:paraId="62A1D2EA">
            <w:pPr>
              <w:ind w:firstLine="480"/>
              <w:rPr>
                <w:color w:val="000000"/>
                <w:sz w:val="24"/>
              </w:rPr>
            </w:pPr>
            <w:r>
              <w:rPr>
                <w:rFonts w:hint="eastAsia"/>
                <w:color w:val="000000"/>
                <w:sz w:val="24"/>
              </w:rPr>
              <w:t>施工生产生活区在施工准备期进行场地平整，表土剥离后单独堆存。</w:t>
            </w:r>
          </w:p>
          <w:p w14:paraId="50105F74">
            <w:pPr>
              <w:ind w:firstLine="480"/>
              <w:rPr>
                <w:color w:val="000000"/>
                <w:sz w:val="24"/>
              </w:rPr>
            </w:pPr>
            <w:r>
              <w:rPr>
                <w:rFonts w:hint="eastAsia"/>
                <w:color w:val="000000"/>
                <w:sz w:val="24"/>
              </w:rPr>
              <w:t>施工期主要工序工艺流程及主要产污环节见图</w:t>
            </w:r>
            <w:r>
              <w:rPr>
                <w:color w:val="000000"/>
                <w:sz w:val="24"/>
              </w:rPr>
              <w:t>15</w:t>
            </w:r>
            <w:r>
              <w:rPr>
                <w:rFonts w:hint="eastAsia"/>
                <w:color w:val="000000"/>
                <w:sz w:val="24"/>
              </w:rPr>
              <w:t>。</w:t>
            </w:r>
          </w:p>
          <w:p w14:paraId="2A32D476">
            <w:pPr>
              <w:jc w:val="center"/>
              <w:rPr>
                <w:color w:val="000000"/>
                <w:sz w:val="24"/>
              </w:rPr>
            </w:pPr>
            <w:r>
              <w:object>
                <v:shape id="_x0000_i1025" o:spt="75" type="#_x0000_t75" style="height:269.25pt;width:363pt;" o:ole="t" filled="f" o:preferrelative="t" stroked="f" coordsize="21600,21600">
                  <v:path/>
                  <v:fill on="f" focussize="0,0"/>
                  <v:stroke on="f" joinstyle="miter"/>
                  <v:imagedata r:id="rId18" o:title=""/>
                  <o:lock v:ext="edit" aspectratio="t"/>
                  <w10:wrap type="none"/>
                  <w10:anchorlock/>
                </v:shape>
                <o:OLEObject Type="Embed" ProgID="Visio.Drawing.11" ShapeID="_x0000_i1025" DrawAspect="Content" ObjectID="_1468075725" r:id="rId17">
                  <o:LockedField>false</o:LockedField>
                </o:OLEObject>
              </w:object>
            </w:r>
          </w:p>
          <w:p w14:paraId="3ADEE751">
            <w:pPr>
              <w:jc w:val="center"/>
              <w:rPr>
                <w:rFonts w:ascii="黑体" w:hAnsi="黑体" w:eastAsia="黑体"/>
                <w:color w:val="000000"/>
                <w:sz w:val="24"/>
              </w:rPr>
            </w:pPr>
            <w:r>
              <w:rPr>
                <w:rFonts w:hint="eastAsia" w:ascii="黑体" w:hAnsi="黑体" w:eastAsia="黑体"/>
                <w:color w:val="000000"/>
                <w:sz w:val="24"/>
              </w:rPr>
              <w:t>图15    施工期主要工艺流程及产污环节</w:t>
            </w:r>
          </w:p>
          <w:p w14:paraId="76C4EDB5">
            <w:pPr>
              <w:ind w:firstLine="480"/>
              <w:rPr>
                <w:color w:val="000000"/>
                <w:sz w:val="24"/>
              </w:rPr>
            </w:pPr>
            <w:r>
              <w:rPr>
                <w:color w:val="000000"/>
                <w:sz w:val="24"/>
              </w:rPr>
              <w:t>2</w:t>
            </w:r>
            <w:r>
              <w:rPr>
                <w:rFonts w:hint="eastAsia"/>
                <w:color w:val="000000"/>
                <w:sz w:val="24"/>
              </w:rPr>
              <w:t>、营运期</w:t>
            </w:r>
          </w:p>
          <w:p w14:paraId="1CB33CB3">
            <w:pPr>
              <w:ind w:firstLine="480"/>
              <w:rPr>
                <w:color w:val="000000"/>
                <w:sz w:val="24"/>
              </w:rPr>
            </w:pPr>
            <w:r>
              <w:rPr>
                <w:rFonts w:hint="eastAsia"/>
                <w:color w:val="000000"/>
                <w:sz w:val="24"/>
              </w:rPr>
              <w:t>风电场的生产工艺系统主要是围绕电能的产生和输送过程而设置，产生电能的主要设备为风力发电机组。发电原理是：在有风源的地方，叶片在气流外力作用下产生力矩驱动风轮转动，将风能转化为机械能，通过轮豰将扭矩输入到传动系统（高速齿轮机电机），通过齿轮增速，经高速轴、联轴节驱动发电机旋转，达到与发电机同步转速时，将机械能转化为电能，并通过变压器及输电设施将电能输送到电网。</w:t>
            </w:r>
          </w:p>
          <w:p w14:paraId="2AAECC24">
            <w:pPr>
              <w:ind w:firstLine="480"/>
              <w:rPr>
                <w:color w:val="000000"/>
                <w:sz w:val="24"/>
              </w:rPr>
            </w:pPr>
            <w:r>
              <w:pict>
                <v:group id="组合 724" o:spid="_x0000_s1027" o:spt="203" style="position:absolute;left:0pt;margin-left:16.45pt;margin-top:13.55pt;height:204.75pt;width:408.75pt;z-index:251659264;mso-width-relative:page;mso-height-relative:page;" coordorigin="1848,1728" coordsize="8175,4095">
                  <o:lock v:ext="edit"/>
                  <v:shape id="图片 716" o:spid="_x0000_s1028" o:spt="75" type="#_x0000_t75" style="position:absolute;left:1848;top:1728;height:4095;width:8175;" filled="f" o:preferrelative="t" stroked="f" coordsize="21600,21600">
                    <v:path/>
                    <v:fill on="f" focussize="0,0"/>
                    <v:stroke on="f" joinstyle="miter"/>
                    <v:imagedata r:id="rId19" cropleft="8865f" croptop="6443f" cropright="6218f" cropbottom="19945f" o:title=""/>
                    <o:lock v:ext="edit" aspectratio="t"/>
                  </v:shape>
                  <v:line id="直线 719" o:spid="_x0000_s1029" o:spt="20" style="position:absolute;left:2760;top:3105;height:0;width:915;" coordsize="21600,21600">
                    <v:path arrowok="t"/>
                    <v:fill focussize="0,0"/>
                    <v:stroke dashstyle="dash" endarrow="classic" endarrowwidth="narrow" endarrowlength="short"/>
                    <v:imagedata o:title=""/>
                    <o:lock v:ext="edit"/>
                  </v:line>
                  <v:rect id="矩形 700" o:spid="_x0000_s1030" o:spt="1" style="position:absolute;left:7764;top:2268;height:990;width:1710;" fillcolor="#FFFFFF" filled="f" coordsize="21600,21600">
                    <v:path/>
                    <v:fill on="f" color2="#BBD5F0" opacity="0f" focussize="0,0"/>
                    <v:stroke weight="2pt" linestyle="thinThin"/>
                    <v:imagedata o:title=""/>
                    <o:lock v:ext="edit"/>
                    <v:textbox>
                      <w:txbxContent>
                        <w:p w14:paraId="18133071">
                          <w:pPr>
                            <w:spacing w:beforeLines="20" w:afterLines="20" w:line="200" w:lineRule="exact"/>
                            <w:jc w:val="center"/>
                            <w:rPr>
                              <w:rFonts w:ascii="黑体" w:hAnsi="黑体" w:eastAsia="黑体"/>
                              <w:sz w:val="18"/>
                              <w:szCs w:val="18"/>
                            </w:rPr>
                          </w:pPr>
                          <w:r>
                            <w:rPr>
                              <w:rFonts w:hint="eastAsia" w:ascii="黑体" w:hAnsi="黑体" w:eastAsia="黑体"/>
                              <w:sz w:val="18"/>
                              <w:szCs w:val="18"/>
                            </w:rPr>
                            <w:t>图 例</w:t>
                          </w:r>
                        </w:p>
                        <w:p w14:paraId="520BC78B">
                          <w:pPr>
                            <w:spacing w:line="240" w:lineRule="exact"/>
                            <w:rPr>
                              <w:rFonts w:ascii="宋体" w:hAnsi="宋体"/>
                              <w:sz w:val="18"/>
                              <w:szCs w:val="18"/>
                            </w:rPr>
                          </w:pPr>
                          <w:r>
                            <w:rPr>
                              <w:rFonts w:hint="eastAsia" w:ascii="宋体" w:hAnsi="宋体"/>
                              <w:sz w:val="18"/>
                              <w:szCs w:val="18"/>
                            </w:rPr>
                            <w:t>G 废气   W 废水</w:t>
                          </w:r>
                        </w:p>
                        <w:p w14:paraId="7FAF886A">
                          <w:pPr>
                            <w:spacing w:line="240" w:lineRule="exact"/>
                            <w:rPr>
                              <w:rFonts w:ascii="宋体" w:hAnsi="宋体"/>
                              <w:sz w:val="18"/>
                              <w:szCs w:val="18"/>
                            </w:rPr>
                          </w:pPr>
                          <w:r>
                            <w:rPr>
                              <w:rFonts w:hint="eastAsia" w:ascii="宋体" w:hAnsi="宋体"/>
                              <w:sz w:val="18"/>
                              <w:szCs w:val="18"/>
                            </w:rPr>
                            <w:t>N 噪声   S 固废</w:t>
                          </w:r>
                        </w:p>
                      </w:txbxContent>
                    </v:textbox>
                  </v:rect>
                  <v:rect id="矩形 698" o:spid="_x0000_s1031" o:spt="1" style="position:absolute;left:3583;top:2892;height:405;width:675;" fillcolor="#FFFFFF" filled="f" stroked="f" coordsize="21600,21600">
                    <v:path/>
                    <v:fill on="f" color2="#BBD5F0" opacity="0f" focussize="0,0"/>
                    <v:stroke on="f"/>
                    <v:imagedata o:title=""/>
                    <o:lock v:ext="edit"/>
                    <v:textbox>
                      <w:txbxContent>
                        <w:p w14:paraId="0215FDCC">
                          <w:pPr>
                            <w:spacing w:line="260" w:lineRule="exact"/>
                            <w:jc w:val="center"/>
                          </w:pPr>
                          <w:r>
                            <w:t>N</w:t>
                          </w:r>
                          <w:r>
                            <w:rPr>
                              <w:vertAlign w:val="subscript"/>
                            </w:rPr>
                            <w:t>1</w:t>
                          </w:r>
                        </w:p>
                      </w:txbxContent>
                    </v:textbox>
                  </v:rect>
                  <v:line id="直线 722" o:spid="_x0000_s1032" o:spt="20" style="position:absolute;left:6024;top:3882;flip:y;height:705;width:0;" coordsize="21600,21600">
                    <v:path arrowok="t"/>
                    <v:fill focussize="0,0"/>
                    <v:stroke dashstyle="dash" endarrow="classic" endarrowwidth="narrow" endarrowlength="short"/>
                    <v:imagedata o:title=""/>
                    <o:lock v:ext="edit"/>
                  </v:line>
                  <v:rect id="矩形 698" o:spid="_x0000_s1033" o:spt="1" style="position:absolute;left:5020;top:3483;height:405;width:2010;" fillcolor="#FFFFFF" filled="f" stroked="f" coordsize="21600,21600">
                    <v:path/>
                    <v:fill on="f" color2="#BBD5F0" opacity="0f" focussize="0,0"/>
                    <v:stroke on="f"/>
                    <v:imagedata o:title=""/>
                    <o:lock v:ext="edit"/>
                    <v:textbox>
                      <w:txbxContent>
                        <w:p w14:paraId="668FE03B">
                          <w:pPr>
                            <w:spacing w:line="260" w:lineRule="exact"/>
                            <w:jc w:val="center"/>
                          </w:pPr>
                          <w:r>
                            <w:t>G</w:t>
                          </w:r>
                          <w:r>
                            <w:rPr>
                              <w:vertAlign w:val="subscript"/>
                            </w:rPr>
                            <w:t>1</w:t>
                          </w:r>
                          <w:r>
                            <w:t>N</w:t>
                          </w:r>
                          <w:r>
                            <w:rPr>
                              <w:vertAlign w:val="subscript"/>
                            </w:rPr>
                            <w:t>2</w:t>
                          </w:r>
                          <w:r>
                            <w:t>W</w:t>
                          </w:r>
                          <w:r>
                            <w:rPr>
                              <w:vertAlign w:val="subscript"/>
                            </w:rPr>
                            <w:t>1</w:t>
                          </w:r>
                          <w:r>
                            <w:t>S</w:t>
                          </w:r>
                          <w:r>
                            <w:rPr>
                              <w:vertAlign w:val="subscript"/>
                            </w:rPr>
                            <w:t>1</w:t>
                          </w:r>
                          <w:r>
                            <w:t>S</w:t>
                          </w:r>
                          <w:r>
                            <w:rPr>
                              <w:vertAlign w:val="subscript"/>
                            </w:rPr>
                            <w:t>2</w:t>
                          </w:r>
                          <w:r>
                            <w:t>S</w:t>
                          </w:r>
                          <w:r>
                            <w:rPr>
                              <w:vertAlign w:val="subscript"/>
                            </w:rPr>
                            <w:t>3</w:t>
                          </w:r>
                        </w:p>
                      </w:txbxContent>
                    </v:textbox>
                  </v:rect>
                </v:group>
              </w:pict>
            </w:r>
            <w:r>
              <w:rPr>
                <w:rFonts w:hint="eastAsia"/>
                <w:color w:val="000000"/>
                <w:sz w:val="24"/>
              </w:rPr>
              <w:t>营运期工艺流程及主要产污环节见图</w:t>
            </w:r>
            <w:r>
              <w:rPr>
                <w:color w:val="000000"/>
                <w:sz w:val="24"/>
              </w:rPr>
              <w:t>16</w:t>
            </w:r>
            <w:r>
              <w:rPr>
                <w:rFonts w:hint="eastAsia"/>
                <w:color w:val="000000"/>
                <w:sz w:val="24"/>
              </w:rPr>
              <w:t>。</w:t>
            </w:r>
          </w:p>
          <w:p w14:paraId="0B99FF6C">
            <w:pPr>
              <w:jc w:val="center"/>
              <w:rPr>
                <w:color w:val="000000"/>
                <w:sz w:val="24"/>
              </w:rPr>
            </w:pPr>
          </w:p>
          <w:p w14:paraId="08ECA989">
            <w:pPr>
              <w:ind w:firstLine="480"/>
              <w:rPr>
                <w:color w:val="000000"/>
                <w:sz w:val="24"/>
              </w:rPr>
            </w:pPr>
          </w:p>
          <w:p w14:paraId="4AE1BA14">
            <w:pPr>
              <w:ind w:firstLine="480"/>
              <w:rPr>
                <w:color w:val="000000"/>
                <w:sz w:val="24"/>
              </w:rPr>
            </w:pPr>
          </w:p>
          <w:p w14:paraId="00152F13">
            <w:pPr>
              <w:ind w:firstLine="480"/>
              <w:rPr>
                <w:color w:val="000000"/>
                <w:sz w:val="24"/>
              </w:rPr>
            </w:pPr>
          </w:p>
          <w:p w14:paraId="56AFE28E">
            <w:pPr>
              <w:ind w:firstLine="480"/>
              <w:rPr>
                <w:color w:val="000000"/>
                <w:sz w:val="24"/>
              </w:rPr>
            </w:pPr>
          </w:p>
          <w:p w14:paraId="4F3A8847">
            <w:pPr>
              <w:ind w:firstLine="480"/>
              <w:rPr>
                <w:color w:val="000000"/>
                <w:sz w:val="24"/>
              </w:rPr>
            </w:pPr>
          </w:p>
          <w:p w14:paraId="6E2118D2">
            <w:pPr>
              <w:ind w:firstLine="480"/>
              <w:rPr>
                <w:color w:val="000000"/>
                <w:sz w:val="24"/>
              </w:rPr>
            </w:pPr>
          </w:p>
          <w:p w14:paraId="3274BC05">
            <w:pPr>
              <w:ind w:firstLine="480"/>
              <w:rPr>
                <w:color w:val="000000"/>
                <w:sz w:val="24"/>
              </w:rPr>
            </w:pPr>
          </w:p>
          <w:p w14:paraId="13F2AEB9">
            <w:pPr>
              <w:jc w:val="center"/>
              <w:rPr>
                <w:color w:val="000000"/>
                <w:sz w:val="24"/>
              </w:rPr>
            </w:pPr>
            <w:r>
              <w:rPr>
                <w:rFonts w:hint="eastAsia" w:ascii="黑体" w:hAnsi="黑体" w:eastAsia="黑体"/>
                <w:color w:val="000000"/>
                <w:sz w:val="24"/>
              </w:rPr>
              <w:t>图16    营运期主要工艺流程及产污环节</w:t>
            </w:r>
          </w:p>
        </w:tc>
      </w:tr>
      <w:tr w14:paraId="6249DD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39" w:hRule="atLeast"/>
          <w:jc w:val="center"/>
        </w:trPr>
        <w:tc>
          <w:tcPr>
            <w:tcW w:w="9072" w:type="dxa"/>
            <w:tcBorders>
              <w:top w:val="single" w:color="auto" w:sz="4" w:space="0"/>
              <w:left w:val="single" w:color="auto" w:sz="4" w:space="0"/>
              <w:bottom w:val="single" w:color="auto" w:sz="4" w:space="0"/>
              <w:right w:val="single" w:color="auto" w:sz="4" w:space="0"/>
            </w:tcBorders>
          </w:tcPr>
          <w:p w14:paraId="71D76687">
            <w:pPr>
              <w:rPr>
                <w:b/>
                <w:color w:val="000000"/>
                <w:sz w:val="24"/>
              </w:rPr>
            </w:pPr>
            <w:r>
              <w:rPr>
                <w:rFonts w:hint="eastAsia"/>
                <w:b/>
                <w:color w:val="000000"/>
                <w:sz w:val="24"/>
              </w:rPr>
              <w:t>主要污染工序：</w:t>
            </w:r>
          </w:p>
          <w:p w14:paraId="18EE33D0">
            <w:pPr>
              <w:spacing w:beforeLines="50"/>
              <w:ind w:firstLine="482"/>
              <w:rPr>
                <w:rFonts w:hAnsi="宋体"/>
                <w:color w:val="000000"/>
                <w:sz w:val="24"/>
              </w:rPr>
            </w:pPr>
            <w:r>
              <w:rPr>
                <w:color w:val="000000"/>
                <w:sz w:val="24"/>
              </w:rPr>
              <w:t>1</w:t>
            </w:r>
            <w:r>
              <w:rPr>
                <w:rFonts w:hint="eastAsia"/>
                <w:color w:val="000000"/>
                <w:sz w:val="24"/>
              </w:rPr>
              <w:t>、施</w:t>
            </w:r>
            <w:r>
              <w:rPr>
                <w:rFonts w:hint="eastAsia" w:hAnsi="宋体"/>
                <w:color w:val="000000"/>
                <w:sz w:val="24"/>
              </w:rPr>
              <w:t>工期</w:t>
            </w:r>
          </w:p>
          <w:p w14:paraId="4E688453">
            <w:pPr>
              <w:ind w:firstLine="480" w:firstLineChars="200"/>
              <w:rPr>
                <w:rFonts w:hAnsi="宋体"/>
                <w:color w:val="000000"/>
                <w:sz w:val="24"/>
              </w:rPr>
            </w:pPr>
            <w:r>
              <w:rPr>
                <w:rFonts w:hint="eastAsia" w:hAnsi="宋体"/>
                <w:color w:val="000000"/>
                <w:sz w:val="24"/>
              </w:rPr>
              <w:t>本工程施工期约</w:t>
            </w:r>
            <w:r>
              <w:rPr>
                <w:rFonts w:hAnsi="宋体"/>
                <w:sz w:val="24"/>
              </w:rPr>
              <w:t>18</w:t>
            </w:r>
            <w:r>
              <w:rPr>
                <w:rFonts w:hint="eastAsia" w:hAnsi="宋体"/>
                <w:sz w:val="24"/>
              </w:rPr>
              <w:t>个</w:t>
            </w:r>
            <w:r>
              <w:rPr>
                <w:rFonts w:hint="eastAsia" w:hAnsi="宋体"/>
                <w:color w:val="000000"/>
                <w:sz w:val="24"/>
              </w:rPr>
              <w:t>月，施工过程产生污染工序如下：</w:t>
            </w:r>
          </w:p>
          <w:p w14:paraId="298595BD">
            <w:pPr>
              <w:ind w:firstLine="480" w:firstLineChars="200"/>
              <w:rPr>
                <w:color w:val="000000"/>
                <w:sz w:val="24"/>
              </w:rPr>
            </w:pPr>
            <w:r>
              <w:rPr>
                <w:rFonts w:hint="eastAsia" w:hAnsi="宋体"/>
                <w:color w:val="000000"/>
                <w:sz w:val="24"/>
              </w:rPr>
              <w:t>（</w:t>
            </w:r>
            <w:r>
              <w:rPr>
                <w:rFonts w:hAnsi="宋体"/>
                <w:color w:val="000000"/>
                <w:sz w:val="24"/>
              </w:rPr>
              <w:t>1</w:t>
            </w:r>
            <w:r>
              <w:rPr>
                <w:rFonts w:hint="eastAsia" w:hAnsi="宋体"/>
                <w:color w:val="000000"/>
                <w:sz w:val="24"/>
              </w:rPr>
              <w:t>）废气：土建施工中基础开挖、土石方堆放、回填、清运及建筑材料运输、装卸、堆放过程，可能造成扬尘影响，污染因</w:t>
            </w:r>
            <w:r>
              <w:rPr>
                <w:rFonts w:hint="eastAsia"/>
                <w:color w:val="000000"/>
                <w:sz w:val="24"/>
              </w:rPr>
              <w:t>子为</w:t>
            </w:r>
            <w:r>
              <w:rPr>
                <w:color w:val="000000"/>
                <w:sz w:val="24"/>
              </w:rPr>
              <w:t>TSP</w:t>
            </w:r>
            <w:r>
              <w:rPr>
                <w:rFonts w:hint="eastAsia"/>
                <w:color w:val="000000"/>
                <w:sz w:val="24"/>
              </w:rPr>
              <w:t>；各类施工机械和运输车辆产生的燃油废气，主要污染因子为</w:t>
            </w:r>
            <w:r>
              <w:rPr>
                <w:color w:val="000000"/>
                <w:sz w:val="24"/>
              </w:rPr>
              <w:t>CO</w:t>
            </w:r>
            <w:r>
              <w:rPr>
                <w:rFonts w:hint="eastAsia"/>
                <w:color w:val="000000"/>
                <w:sz w:val="24"/>
              </w:rPr>
              <w:t>、</w:t>
            </w:r>
            <w:r>
              <w:rPr>
                <w:color w:val="000000"/>
                <w:sz w:val="24"/>
              </w:rPr>
              <w:t>NO</w:t>
            </w:r>
            <w:r>
              <w:rPr>
                <w:color w:val="000000"/>
                <w:sz w:val="24"/>
                <w:vertAlign w:val="subscript"/>
              </w:rPr>
              <w:t>x</w:t>
            </w:r>
            <w:r>
              <w:rPr>
                <w:rFonts w:hint="eastAsia"/>
                <w:color w:val="000000"/>
                <w:sz w:val="24"/>
              </w:rPr>
              <w:t>、</w:t>
            </w:r>
            <w:r>
              <w:rPr>
                <w:color w:val="000000"/>
                <w:sz w:val="24"/>
              </w:rPr>
              <w:t>PM</w:t>
            </w:r>
            <w:r>
              <w:rPr>
                <w:color w:val="000000"/>
                <w:sz w:val="24"/>
                <w:vertAlign w:val="subscript"/>
              </w:rPr>
              <w:t>10</w:t>
            </w:r>
            <w:r>
              <w:rPr>
                <w:rFonts w:hint="eastAsia"/>
                <w:color w:val="000000"/>
                <w:sz w:val="24"/>
              </w:rPr>
              <w:t>、</w:t>
            </w:r>
            <w:r>
              <w:rPr>
                <w:bCs/>
                <w:sz w:val="24"/>
              </w:rPr>
              <w:t>HC</w:t>
            </w:r>
            <w:r>
              <w:rPr>
                <w:rFonts w:hint="eastAsia"/>
                <w:bCs/>
                <w:sz w:val="24"/>
              </w:rPr>
              <w:t>、</w:t>
            </w:r>
            <w:r>
              <w:rPr>
                <w:bCs/>
                <w:sz w:val="24"/>
              </w:rPr>
              <w:t>Pb</w:t>
            </w:r>
            <w:r>
              <w:rPr>
                <w:rFonts w:hint="eastAsia"/>
                <w:bCs/>
                <w:sz w:val="24"/>
              </w:rPr>
              <w:t>等；</w:t>
            </w:r>
          </w:p>
          <w:p w14:paraId="522A8788">
            <w:pPr>
              <w:ind w:firstLine="480" w:firstLineChars="200"/>
              <w:rPr>
                <w:color w:val="000000"/>
                <w:sz w:val="24"/>
              </w:rPr>
            </w:pPr>
            <w:r>
              <w:rPr>
                <w:rFonts w:hint="eastAsia"/>
                <w:color w:val="000000"/>
                <w:sz w:val="24"/>
              </w:rPr>
              <w:t>（</w:t>
            </w:r>
            <w:r>
              <w:rPr>
                <w:color w:val="000000"/>
                <w:sz w:val="24"/>
              </w:rPr>
              <w:t>2</w:t>
            </w:r>
            <w:r>
              <w:rPr>
                <w:rFonts w:hint="eastAsia"/>
                <w:color w:val="000000"/>
                <w:sz w:val="24"/>
              </w:rPr>
              <w:t>）废水：主要为施工废水及施工人员生活污水；</w:t>
            </w:r>
          </w:p>
          <w:p w14:paraId="4965DBF6">
            <w:pPr>
              <w:ind w:firstLine="480" w:firstLineChars="200"/>
              <w:rPr>
                <w:color w:val="000000"/>
                <w:sz w:val="24"/>
              </w:rPr>
            </w:pPr>
            <w:r>
              <w:rPr>
                <w:rFonts w:hint="eastAsia"/>
                <w:color w:val="000000"/>
                <w:sz w:val="24"/>
              </w:rPr>
              <w:t>（</w:t>
            </w:r>
            <w:r>
              <w:rPr>
                <w:color w:val="000000"/>
                <w:sz w:val="24"/>
              </w:rPr>
              <w:t>3</w:t>
            </w:r>
            <w:r>
              <w:rPr>
                <w:rFonts w:hint="eastAsia"/>
                <w:color w:val="000000"/>
                <w:sz w:val="24"/>
              </w:rPr>
              <w:t>）噪声：包括建筑物基础挖掘、混凝土浇筑等施工过程中，装载机、挖掘机、推土机等施工机械产生的噪声，建筑材料、设备运输车辆产生的交通噪声，以及设备吊运、安装产生的安装噪声；</w:t>
            </w:r>
          </w:p>
          <w:p w14:paraId="26C3E68F">
            <w:pPr>
              <w:ind w:firstLine="480" w:firstLineChars="200"/>
              <w:rPr>
                <w:color w:val="000000"/>
                <w:sz w:val="24"/>
              </w:rPr>
            </w:pPr>
            <w:r>
              <w:rPr>
                <w:rFonts w:hint="eastAsia"/>
                <w:color w:val="000000"/>
                <w:sz w:val="24"/>
              </w:rPr>
              <w:t>（</w:t>
            </w:r>
            <w:r>
              <w:rPr>
                <w:color w:val="000000"/>
                <w:sz w:val="24"/>
              </w:rPr>
              <w:t>4</w:t>
            </w:r>
            <w:r>
              <w:rPr>
                <w:rFonts w:hint="eastAsia"/>
                <w:color w:val="000000"/>
                <w:sz w:val="24"/>
              </w:rPr>
              <w:t>）固体废物：包括建筑施工产生的建筑垃圾、土方施工产生的弃土和施工人员少量生活垃圾。</w:t>
            </w:r>
          </w:p>
          <w:p w14:paraId="2907FE32">
            <w:pPr>
              <w:ind w:firstLine="480" w:firstLineChars="200"/>
              <w:rPr>
                <w:color w:val="000000"/>
                <w:sz w:val="24"/>
              </w:rPr>
            </w:pPr>
            <w:r>
              <w:rPr>
                <w:rFonts w:hint="eastAsia"/>
                <w:color w:val="000000"/>
                <w:sz w:val="24"/>
              </w:rPr>
              <w:t>（</w:t>
            </w:r>
            <w:r>
              <w:rPr>
                <w:color w:val="000000"/>
                <w:sz w:val="24"/>
              </w:rPr>
              <w:t>5</w:t>
            </w:r>
            <w:r>
              <w:rPr>
                <w:rFonts w:hint="eastAsia"/>
                <w:color w:val="000000"/>
                <w:sz w:val="24"/>
              </w:rPr>
              <w:t>）生态影响：施工噪声、施工占地、水土流失等各项环境影响因素均可能对生态环境产生影响。</w:t>
            </w:r>
          </w:p>
          <w:p w14:paraId="6F0297D7">
            <w:pPr>
              <w:ind w:firstLine="480" w:firstLineChars="200"/>
              <w:rPr>
                <w:sz w:val="24"/>
              </w:rPr>
            </w:pPr>
            <w:r>
              <w:rPr>
                <w:sz w:val="24"/>
              </w:rPr>
              <w:t>2</w:t>
            </w:r>
            <w:r>
              <w:rPr>
                <w:rFonts w:hint="eastAsia"/>
                <w:sz w:val="24"/>
              </w:rPr>
              <w:t>、营运期</w:t>
            </w:r>
          </w:p>
          <w:p w14:paraId="1717EF1A">
            <w:pPr>
              <w:ind w:firstLine="480" w:firstLineChars="200"/>
              <w:rPr>
                <w:color w:val="000000"/>
                <w:sz w:val="24"/>
              </w:rPr>
            </w:pPr>
            <w:r>
              <w:rPr>
                <w:rFonts w:hint="eastAsia"/>
                <w:color w:val="000000"/>
                <w:sz w:val="24"/>
              </w:rPr>
              <w:t>（</w:t>
            </w:r>
            <w:r>
              <w:rPr>
                <w:color w:val="000000"/>
                <w:sz w:val="24"/>
              </w:rPr>
              <w:t>1</w:t>
            </w:r>
            <w:r>
              <w:rPr>
                <w:rFonts w:hint="eastAsia"/>
                <w:color w:val="000000"/>
                <w:sz w:val="24"/>
              </w:rPr>
              <w:t>）废气</w:t>
            </w:r>
          </w:p>
          <w:p w14:paraId="513210B8">
            <w:pPr>
              <w:ind w:firstLine="480" w:firstLineChars="200"/>
              <w:rPr>
                <w:color w:val="000000"/>
                <w:sz w:val="24"/>
              </w:rPr>
            </w:pPr>
            <w:r>
              <w:rPr>
                <w:rFonts w:hint="eastAsia"/>
                <w:color w:val="000000"/>
                <w:sz w:val="24"/>
              </w:rPr>
              <w:t>本项目运营期产生的大气污染物为升压站食堂油烟和道路扬尘。</w:t>
            </w:r>
          </w:p>
          <w:p w14:paraId="5E245F0E">
            <w:pPr>
              <w:ind w:firstLine="480" w:firstLineChars="200"/>
              <w:rPr>
                <w:color w:val="000000"/>
                <w:sz w:val="24"/>
              </w:rPr>
            </w:pPr>
            <w:r>
              <w:rPr>
                <w:rFonts w:hint="eastAsia"/>
                <w:color w:val="000000"/>
                <w:sz w:val="24"/>
              </w:rPr>
              <w:t>①</w:t>
            </w:r>
            <w:r>
              <w:rPr>
                <w:color w:val="000000"/>
                <w:sz w:val="24"/>
              </w:rPr>
              <w:t xml:space="preserve"> </w:t>
            </w:r>
            <w:r>
              <w:rPr>
                <w:rFonts w:hint="eastAsia"/>
                <w:color w:val="000000"/>
                <w:sz w:val="24"/>
              </w:rPr>
              <w:t>升压站食堂油烟</w:t>
            </w:r>
          </w:p>
          <w:p w14:paraId="24F48341">
            <w:pPr>
              <w:ind w:firstLine="480" w:firstLineChars="200"/>
              <w:rPr>
                <w:color w:val="000000"/>
                <w:sz w:val="24"/>
              </w:rPr>
            </w:pPr>
            <w:r>
              <w:rPr>
                <w:rFonts w:hint="eastAsia"/>
                <w:color w:val="000000"/>
                <w:sz w:val="24"/>
              </w:rPr>
              <w:t>本项目升压站食堂最大就餐人数按</w:t>
            </w:r>
            <w:r>
              <w:rPr>
                <w:color w:val="000000"/>
                <w:sz w:val="24"/>
              </w:rPr>
              <w:t>30</w:t>
            </w:r>
            <w:r>
              <w:rPr>
                <w:rFonts w:hint="eastAsia"/>
                <w:color w:val="000000"/>
                <w:sz w:val="24"/>
              </w:rPr>
              <w:t>人次</w:t>
            </w:r>
            <w:r>
              <w:rPr>
                <w:color w:val="000000"/>
                <w:sz w:val="24"/>
              </w:rPr>
              <w:t>/</w:t>
            </w:r>
            <w:r>
              <w:rPr>
                <w:rFonts w:hint="eastAsia"/>
                <w:color w:val="000000"/>
                <w:sz w:val="24"/>
              </w:rPr>
              <w:t>日计，灶头数</w:t>
            </w:r>
            <w:r>
              <w:rPr>
                <w:color w:val="000000"/>
                <w:sz w:val="24"/>
              </w:rPr>
              <w:t>1</w:t>
            </w:r>
            <w:r>
              <w:rPr>
                <w:rFonts w:hint="eastAsia"/>
                <w:color w:val="000000"/>
                <w:sz w:val="24"/>
              </w:rPr>
              <w:t>个，规模属于小型食堂，经类比调查，居民每人每日耗食油约</w:t>
            </w:r>
            <w:r>
              <w:rPr>
                <w:color w:val="000000"/>
                <w:sz w:val="24"/>
              </w:rPr>
              <w:t>20</w:t>
            </w:r>
            <w:r>
              <w:rPr>
                <w:rFonts w:hint="eastAsia"/>
                <w:color w:val="000000"/>
                <w:sz w:val="24"/>
              </w:rPr>
              <w:t>～</w:t>
            </w:r>
            <w:r>
              <w:rPr>
                <w:color w:val="000000"/>
                <w:sz w:val="24"/>
              </w:rPr>
              <w:t>40g</w:t>
            </w:r>
            <w:r>
              <w:rPr>
                <w:rFonts w:hint="eastAsia"/>
                <w:color w:val="000000"/>
                <w:sz w:val="24"/>
              </w:rPr>
              <w:t>，取</w:t>
            </w:r>
            <w:r>
              <w:rPr>
                <w:color w:val="000000"/>
                <w:sz w:val="24"/>
              </w:rPr>
              <w:t>30g/d</w:t>
            </w:r>
            <w:r>
              <w:rPr>
                <w:rFonts w:hint="eastAsia"/>
                <w:color w:val="000000"/>
                <w:sz w:val="24"/>
              </w:rPr>
              <w:t>，本项目耗食油量为</w:t>
            </w:r>
            <w:r>
              <w:rPr>
                <w:color w:val="000000"/>
                <w:sz w:val="24"/>
              </w:rPr>
              <w:t>0.9kg/d</w:t>
            </w:r>
            <w:r>
              <w:rPr>
                <w:rFonts w:hint="eastAsia"/>
                <w:color w:val="000000"/>
                <w:sz w:val="24"/>
              </w:rPr>
              <w:t>。油烟和油的挥发量占总耗油量的</w:t>
            </w:r>
            <w:r>
              <w:rPr>
                <w:color w:val="000000"/>
                <w:sz w:val="24"/>
              </w:rPr>
              <w:t>2%</w:t>
            </w:r>
            <w:r>
              <w:rPr>
                <w:rFonts w:hint="eastAsia"/>
                <w:color w:val="000000"/>
                <w:sz w:val="24"/>
              </w:rPr>
              <w:t>～</w:t>
            </w:r>
            <w:r>
              <w:rPr>
                <w:color w:val="000000"/>
                <w:sz w:val="24"/>
              </w:rPr>
              <w:t>4%</w:t>
            </w:r>
            <w:r>
              <w:rPr>
                <w:rFonts w:hint="eastAsia"/>
                <w:color w:val="000000"/>
                <w:sz w:val="24"/>
              </w:rPr>
              <w:t>之间，取其均值</w:t>
            </w:r>
            <w:r>
              <w:rPr>
                <w:color w:val="000000"/>
                <w:sz w:val="24"/>
              </w:rPr>
              <w:t>3%</w:t>
            </w:r>
            <w:r>
              <w:rPr>
                <w:rFonts w:hint="eastAsia"/>
                <w:color w:val="000000"/>
                <w:sz w:val="24"/>
              </w:rPr>
              <w:t>，则项目产生的油烟量为</w:t>
            </w:r>
            <w:r>
              <w:rPr>
                <w:color w:val="000000"/>
                <w:sz w:val="24"/>
              </w:rPr>
              <w:t>0.027kg/d</w:t>
            </w:r>
            <w:r>
              <w:rPr>
                <w:rFonts w:hint="eastAsia"/>
                <w:color w:val="000000"/>
                <w:sz w:val="24"/>
              </w:rPr>
              <w:t>，本项目设</w:t>
            </w:r>
            <w:r>
              <w:rPr>
                <w:color w:val="000000"/>
                <w:sz w:val="24"/>
              </w:rPr>
              <w:t>1</w:t>
            </w:r>
            <w:r>
              <w:rPr>
                <w:rFonts w:hint="eastAsia"/>
                <w:color w:val="000000"/>
                <w:sz w:val="24"/>
              </w:rPr>
              <w:t>台油烟净化器，油烟排风量为</w:t>
            </w:r>
            <w:r>
              <w:rPr>
                <w:color w:val="000000"/>
                <w:sz w:val="24"/>
              </w:rPr>
              <w:t>2000m</w:t>
            </w:r>
            <w:r>
              <w:rPr>
                <w:color w:val="000000"/>
                <w:sz w:val="24"/>
                <w:vertAlign w:val="superscript"/>
              </w:rPr>
              <w:t>3</w:t>
            </w:r>
            <w:r>
              <w:rPr>
                <w:color w:val="000000"/>
                <w:sz w:val="24"/>
              </w:rPr>
              <w:t>/h</w:t>
            </w:r>
            <w:r>
              <w:rPr>
                <w:rFonts w:hint="eastAsia"/>
                <w:color w:val="000000"/>
                <w:sz w:val="24"/>
              </w:rPr>
              <w:t>，每天早、中、晚做饭总时间按</w:t>
            </w:r>
            <w:r>
              <w:rPr>
                <w:color w:val="000000"/>
                <w:sz w:val="24"/>
              </w:rPr>
              <w:t>3h</w:t>
            </w:r>
            <w:r>
              <w:rPr>
                <w:rFonts w:hint="eastAsia"/>
                <w:color w:val="000000"/>
                <w:sz w:val="24"/>
              </w:rPr>
              <w:t>计算，油烟产生速率为</w:t>
            </w:r>
            <w:r>
              <w:rPr>
                <w:color w:val="000000"/>
                <w:sz w:val="24"/>
              </w:rPr>
              <w:t>0.009kg/h</w:t>
            </w:r>
            <w:r>
              <w:rPr>
                <w:rFonts w:hint="eastAsia"/>
                <w:color w:val="000000"/>
                <w:sz w:val="24"/>
              </w:rPr>
              <w:t>，则油烟的初始浓度约为</w:t>
            </w:r>
            <w:r>
              <w:rPr>
                <w:color w:val="000000"/>
                <w:sz w:val="24"/>
              </w:rPr>
              <w:t>4.5mg/m</w:t>
            </w:r>
            <w:r>
              <w:rPr>
                <w:color w:val="000000"/>
                <w:sz w:val="24"/>
                <w:vertAlign w:val="superscript"/>
              </w:rPr>
              <w:t>3</w:t>
            </w:r>
            <w:r>
              <w:rPr>
                <w:rFonts w:hint="eastAsia"/>
                <w:color w:val="000000"/>
                <w:sz w:val="24"/>
              </w:rPr>
              <w:t>，油烟经油烟净化器处理，去除率为</w:t>
            </w:r>
            <w:r>
              <w:rPr>
                <w:color w:val="000000"/>
                <w:sz w:val="24"/>
              </w:rPr>
              <w:t>60%</w:t>
            </w:r>
            <w:r>
              <w:rPr>
                <w:rFonts w:hint="eastAsia"/>
                <w:color w:val="000000"/>
                <w:sz w:val="24"/>
              </w:rPr>
              <w:t>，净化后油烟的排放浓度为</w:t>
            </w:r>
            <w:r>
              <w:rPr>
                <w:color w:val="000000"/>
                <w:sz w:val="24"/>
              </w:rPr>
              <w:t>1.8mg/m</w:t>
            </w:r>
            <w:r>
              <w:rPr>
                <w:color w:val="000000"/>
                <w:sz w:val="24"/>
                <w:vertAlign w:val="superscript"/>
              </w:rPr>
              <w:t>3</w:t>
            </w:r>
            <w:r>
              <w:rPr>
                <w:rFonts w:hint="eastAsia"/>
                <w:color w:val="000000"/>
                <w:sz w:val="24"/>
              </w:rPr>
              <w:t>，烟气引至房顶排放，满足《饮食业油烟排放标准（试行）》（</w:t>
            </w:r>
            <w:r>
              <w:rPr>
                <w:color w:val="000000"/>
                <w:sz w:val="24"/>
              </w:rPr>
              <w:t>GB18483-2001</w:t>
            </w:r>
            <w:r>
              <w:rPr>
                <w:rFonts w:hint="eastAsia"/>
                <w:color w:val="000000"/>
                <w:sz w:val="24"/>
              </w:rPr>
              <w:t>）中表</w:t>
            </w:r>
            <w:r>
              <w:rPr>
                <w:color w:val="000000"/>
                <w:sz w:val="24"/>
              </w:rPr>
              <w:t>2</w:t>
            </w:r>
            <w:r>
              <w:rPr>
                <w:rFonts w:hint="eastAsia"/>
                <w:color w:val="000000"/>
                <w:sz w:val="24"/>
              </w:rPr>
              <w:t>中规定最高允许排放浓度（</w:t>
            </w:r>
            <w:r>
              <w:rPr>
                <w:color w:val="000000"/>
                <w:sz w:val="24"/>
              </w:rPr>
              <w:t>2.0mg/m</w:t>
            </w:r>
            <w:r>
              <w:rPr>
                <w:color w:val="000000"/>
                <w:sz w:val="24"/>
                <w:vertAlign w:val="superscript"/>
              </w:rPr>
              <w:t>3</w:t>
            </w:r>
            <w:r>
              <w:rPr>
                <w:rFonts w:hint="eastAsia"/>
                <w:color w:val="000000"/>
                <w:sz w:val="24"/>
              </w:rPr>
              <w:t>）标准要求，和对最低去除效率</w:t>
            </w:r>
            <w:r>
              <w:rPr>
                <w:color w:val="000000"/>
                <w:sz w:val="24"/>
              </w:rPr>
              <w:t>60%</w:t>
            </w:r>
            <w:r>
              <w:rPr>
                <w:rFonts w:hint="eastAsia"/>
                <w:color w:val="000000"/>
                <w:sz w:val="24"/>
              </w:rPr>
              <w:t>的要求。</w:t>
            </w:r>
          </w:p>
          <w:p w14:paraId="447E5D6C">
            <w:pPr>
              <w:ind w:firstLine="480" w:firstLineChars="200"/>
              <w:rPr>
                <w:color w:val="000000"/>
                <w:sz w:val="24"/>
              </w:rPr>
            </w:pPr>
            <w:r>
              <w:rPr>
                <w:rFonts w:hint="eastAsia"/>
                <w:color w:val="000000"/>
                <w:sz w:val="24"/>
              </w:rPr>
              <w:t>②</w:t>
            </w:r>
            <w:r>
              <w:rPr>
                <w:color w:val="000000"/>
                <w:sz w:val="24"/>
              </w:rPr>
              <w:t xml:space="preserve"> </w:t>
            </w:r>
            <w:r>
              <w:rPr>
                <w:rFonts w:hint="eastAsia"/>
                <w:sz w:val="24"/>
              </w:rPr>
              <w:t>道路扬尘</w:t>
            </w:r>
          </w:p>
          <w:p w14:paraId="53F99566">
            <w:pPr>
              <w:ind w:firstLine="480" w:firstLineChars="200"/>
              <w:rPr>
                <w:color w:val="000000"/>
                <w:sz w:val="24"/>
              </w:rPr>
            </w:pPr>
            <w:r>
              <w:rPr>
                <w:rFonts w:hint="eastAsia"/>
                <w:color w:val="000000"/>
                <w:sz w:val="24"/>
              </w:rPr>
              <w:t>厂区内检修道路为碎石路面，车辆通过时产生少量扬尘，主要污染物为颗粒物。而起尘量与车速、风速等因素有关，不易估算。根据已运行风电站的经验，为减少道路扬尘对周围环境空气的影响，采取以下措施：在大风等不利气象条件下禁止车辆在易起尘路段行驶；常规气象条件下应限制车速并加强日常管理以减少扬尘，同时在巡视检修车辆进场前利用洒水车对站区道路进行洒水抑尘。</w:t>
            </w:r>
          </w:p>
          <w:p w14:paraId="4D53A305">
            <w:pPr>
              <w:ind w:firstLine="480" w:firstLineChars="200"/>
              <w:rPr>
                <w:color w:val="000000"/>
                <w:sz w:val="24"/>
              </w:rPr>
            </w:pPr>
            <w:r>
              <w:rPr>
                <w:rFonts w:hint="eastAsia"/>
                <w:color w:val="000000"/>
                <w:sz w:val="24"/>
              </w:rPr>
              <w:t>（</w:t>
            </w:r>
            <w:r>
              <w:rPr>
                <w:color w:val="000000"/>
                <w:sz w:val="24"/>
              </w:rPr>
              <w:t>2</w:t>
            </w:r>
            <w:r>
              <w:rPr>
                <w:rFonts w:hint="eastAsia"/>
                <w:color w:val="000000"/>
                <w:sz w:val="24"/>
              </w:rPr>
              <w:t>）噪声</w:t>
            </w:r>
          </w:p>
          <w:p w14:paraId="6E89BCC7">
            <w:pPr>
              <w:ind w:firstLine="480" w:firstLineChars="200"/>
              <w:rPr>
                <w:color w:val="000000"/>
                <w:sz w:val="24"/>
              </w:rPr>
            </w:pPr>
            <w:r>
              <w:rPr>
                <w:rFonts w:hint="eastAsia"/>
                <w:color w:val="000000"/>
                <w:sz w:val="24"/>
              </w:rPr>
              <w:t>本项目运营期噪声主要来源于风电场风力机组的噪声和升压站内的电气设备噪声。风力发电机组运行过程产生的噪声主要来自机组内部机械噪声及结构噪声、空气动力噪声，机械及结构噪声主要包括齿轮噪声、轴承噪声、周期作用力激发的噪声、电机噪声等；空气动力噪声是由叶片与空气之间作用产生，来源于经过叶片的气流和风轮产生的尾流所形成，其强度依赖于叶尖线速度和叶片的空气动力负荷，且与风速有关，随风速增大而增强，它是风力发电机组的主要噪声源。单台</w:t>
            </w:r>
            <w:r>
              <w:rPr>
                <w:color w:val="000000"/>
                <w:sz w:val="24"/>
              </w:rPr>
              <w:t>2.5MW</w:t>
            </w:r>
            <w:r>
              <w:rPr>
                <w:rFonts w:hint="eastAsia"/>
                <w:color w:val="000000"/>
                <w:sz w:val="24"/>
              </w:rPr>
              <w:t>风机设备正常运转时，轮毂处产生的噪声功率级在</w:t>
            </w:r>
            <w:r>
              <w:rPr>
                <w:color w:val="000000"/>
                <w:sz w:val="24"/>
              </w:rPr>
              <w:t>102dB</w:t>
            </w:r>
            <w:r>
              <w:rPr>
                <w:rFonts w:hint="eastAsia"/>
                <w:color w:val="000000"/>
                <w:sz w:val="24"/>
              </w:rPr>
              <w:t>（</w:t>
            </w:r>
            <w:r>
              <w:rPr>
                <w:color w:val="000000"/>
                <w:sz w:val="24"/>
              </w:rPr>
              <w:t>A</w:t>
            </w:r>
            <w:r>
              <w:rPr>
                <w:rFonts w:hint="eastAsia"/>
                <w:color w:val="000000"/>
                <w:sz w:val="24"/>
              </w:rPr>
              <w:t>）左右，风机配备的变压器产生的噪声值在</w:t>
            </w:r>
            <w:r>
              <w:rPr>
                <w:color w:val="000000"/>
                <w:sz w:val="24"/>
              </w:rPr>
              <w:t>60dB</w:t>
            </w:r>
            <w:r>
              <w:rPr>
                <w:rFonts w:hint="eastAsia"/>
                <w:color w:val="000000"/>
                <w:sz w:val="24"/>
              </w:rPr>
              <w:t>（</w:t>
            </w:r>
            <w:r>
              <w:rPr>
                <w:color w:val="000000"/>
                <w:sz w:val="24"/>
              </w:rPr>
              <w:t>A</w:t>
            </w:r>
            <w:r>
              <w:rPr>
                <w:rFonts w:hint="eastAsia"/>
                <w:color w:val="000000"/>
                <w:sz w:val="24"/>
              </w:rPr>
              <w:t>）左右。</w:t>
            </w:r>
          </w:p>
          <w:p w14:paraId="77AFE00D">
            <w:pPr>
              <w:ind w:firstLine="480" w:firstLineChars="200"/>
              <w:rPr>
                <w:color w:val="000000"/>
                <w:sz w:val="24"/>
              </w:rPr>
            </w:pPr>
            <w:r>
              <w:rPr>
                <w:rFonts w:hint="eastAsia"/>
                <w:color w:val="000000"/>
                <w:sz w:val="24"/>
              </w:rPr>
              <w:t>升压站运行期间产生的噪声主要来自主变压器、室外配电装置等电气设备所产生的电磁噪声，主要噪声源为主变压器运行噪声。本项目升压站建设</w:t>
            </w:r>
            <w:r>
              <w:rPr>
                <w:color w:val="000000"/>
                <w:sz w:val="24"/>
              </w:rPr>
              <w:t>1</w:t>
            </w:r>
            <w:r>
              <w:rPr>
                <w:rFonts w:hint="eastAsia"/>
                <w:color w:val="000000"/>
                <w:sz w:val="24"/>
              </w:rPr>
              <w:t>座</w:t>
            </w:r>
            <w:r>
              <w:rPr>
                <w:color w:val="000000"/>
                <w:sz w:val="24"/>
              </w:rPr>
              <w:t>220kV</w:t>
            </w:r>
            <w:r>
              <w:rPr>
                <w:rFonts w:hint="eastAsia"/>
                <w:color w:val="000000"/>
                <w:sz w:val="24"/>
              </w:rPr>
              <w:t>主变压器，其最大噪声级在</w:t>
            </w:r>
            <w:r>
              <w:rPr>
                <w:color w:val="000000"/>
                <w:sz w:val="24"/>
              </w:rPr>
              <w:t>70dB</w:t>
            </w:r>
            <w:r>
              <w:rPr>
                <w:rFonts w:hint="eastAsia"/>
                <w:color w:val="000000"/>
                <w:sz w:val="24"/>
              </w:rPr>
              <w:t>（</w:t>
            </w:r>
            <w:r>
              <w:rPr>
                <w:color w:val="000000"/>
                <w:sz w:val="24"/>
              </w:rPr>
              <w:t>A</w:t>
            </w:r>
            <w:r>
              <w:rPr>
                <w:rFonts w:hint="eastAsia"/>
                <w:color w:val="000000"/>
                <w:sz w:val="24"/>
              </w:rPr>
              <w:t>）左右。</w:t>
            </w:r>
          </w:p>
          <w:p w14:paraId="519BF428">
            <w:pPr>
              <w:ind w:firstLine="480" w:firstLineChars="200"/>
              <w:rPr>
                <w:color w:val="000000"/>
                <w:sz w:val="24"/>
              </w:rPr>
            </w:pPr>
            <w:r>
              <w:rPr>
                <w:rFonts w:hint="eastAsia"/>
                <w:color w:val="000000"/>
                <w:sz w:val="24"/>
              </w:rPr>
              <w:t>（</w:t>
            </w:r>
            <w:r>
              <w:rPr>
                <w:color w:val="000000"/>
                <w:sz w:val="24"/>
              </w:rPr>
              <w:t>3</w:t>
            </w:r>
            <w:r>
              <w:rPr>
                <w:rFonts w:hint="eastAsia"/>
                <w:color w:val="000000"/>
                <w:sz w:val="24"/>
              </w:rPr>
              <w:t>）废水</w:t>
            </w:r>
          </w:p>
          <w:p w14:paraId="4ABEB73E">
            <w:pPr>
              <w:ind w:firstLine="480" w:firstLineChars="200"/>
              <w:rPr>
                <w:sz w:val="24"/>
              </w:rPr>
            </w:pPr>
            <w:r>
              <w:rPr>
                <w:rFonts w:hint="eastAsia"/>
                <w:sz w:val="24"/>
              </w:rPr>
              <w:t>本项目产生的废水为升压站产生的生活污水，生活污水采用收集后集中处理的排放方式。项目生活污水经</w:t>
            </w:r>
            <w:r>
              <w:rPr>
                <w:sz w:val="24"/>
              </w:rPr>
              <w:t>1</w:t>
            </w:r>
            <w:r>
              <w:rPr>
                <w:rFonts w:hint="eastAsia"/>
                <w:sz w:val="24"/>
              </w:rPr>
              <w:t>套地埋式一体化污水处理设备处理后回用于厂区绿化等，不外排。经水量核算，生活污水产生量为</w:t>
            </w:r>
            <w:r>
              <w:rPr>
                <w:color w:val="FF0000"/>
                <w:sz w:val="24"/>
              </w:rPr>
              <w:t>0.4m</w:t>
            </w:r>
            <w:r>
              <w:rPr>
                <w:color w:val="FF0000"/>
                <w:sz w:val="24"/>
                <w:vertAlign w:val="superscript"/>
              </w:rPr>
              <w:t>3</w:t>
            </w:r>
            <w:r>
              <w:rPr>
                <w:color w:val="FF0000"/>
                <w:sz w:val="24"/>
              </w:rPr>
              <w:t>/d</w:t>
            </w:r>
            <w:r>
              <w:rPr>
                <w:rFonts w:hint="eastAsia"/>
                <w:sz w:val="24"/>
              </w:rPr>
              <w:t>，处理工艺采用隔油沉淀—厌氧—接触氧化—沉淀消毒组合工艺。经废水处理设施处理后其出水水质可达《城市污水再生利用</w:t>
            </w:r>
            <w:r>
              <w:rPr>
                <w:sz w:val="24"/>
              </w:rPr>
              <w:t xml:space="preserve"> </w:t>
            </w:r>
            <w:r>
              <w:rPr>
                <w:rFonts w:hint="eastAsia"/>
                <w:sz w:val="24"/>
              </w:rPr>
              <w:t>城市杂用水水质标准》（</w:t>
            </w:r>
            <w:r>
              <w:rPr>
                <w:sz w:val="24"/>
              </w:rPr>
              <w:t>GB/T18920-2002</w:t>
            </w:r>
            <w:r>
              <w:rPr>
                <w:rFonts w:hint="eastAsia"/>
                <w:sz w:val="24"/>
              </w:rPr>
              <w:t>）标准后，处理后夏季直接回用于场区绿化，冬季储存于</w:t>
            </w:r>
            <w:r>
              <w:rPr>
                <w:color w:val="FF0000"/>
                <w:sz w:val="24"/>
              </w:rPr>
              <w:t>72m</w:t>
            </w:r>
            <w:r>
              <w:rPr>
                <w:color w:val="FF0000"/>
                <w:sz w:val="24"/>
                <w:vertAlign w:val="superscript"/>
              </w:rPr>
              <w:t>3</w:t>
            </w:r>
            <w:r>
              <w:rPr>
                <w:rFonts w:hint="eastAsia"/>
                <w:color w:val="FF0000"/>
                <w:sz w:val="24"/>
              </w:rPr>
              <w:t>的冬储夏灌池内</w:t>
            </w:r>
            <w:r>
              <w:rPr>
                <w:rFonts w:hint="eastAsia"/>
                <w:sz w:val="24"/>
              </w:rPr>
              <w:t>，不外排。</w:t>
            </w:r>
          </w:p>
          <w:p w14:paraId="5DEB238D">
            <w:pPr>
              <w:ind w:firstLine="480" w:firstLineChars="200"/>
              <w:rPr>
                <w:color w:val="000000"/>
                <w:sz w:val="24"/>
              </w:rPr>
            </w:pPr>
            <w:r>
              <w:rPr>
                <w:rFonts w:hint="eastAsia"/>
                <w:sz w:val="24"/>
              </w:rPr>
              <w:t>（</w:t>
            </w:r>
            <w:r>
              <w:rPr>
                <w:sz w:val="24"/>
              </w:rPr>
              <w:t>4</w:t>
            </w:r>
            <w:r>
              <w:rPr>
                <w:rFonts w:hint="eastAsia"/>
                <w:sz w:val="24"/>
              </w:rPr>
              <w:t>）</w:t>
            </w:r>
            <w:r>
              <w:rPr>
                <w:rFonts w:hint="eastAsia"/>
                <w:color w:val="000000"/>
                <w:sz w:val="24"/>
              </w:rPr>
              <w:t>固体废物</w:t>
            </w:r>
          </w:p>
          <w:p w14:paraId="6A84F715">
            <w:pPr>
              <w:ind w:firstLine="480" w:firstLineChars="200"/>
              <w:rPr>
                <w:color w:val="000000"/>
                <w:sz w:val="24"/>
              </w:rPr>
            </w:pPr>
            <w:r>
              <w:rPr>
                <w:rFonts w:hint="eastAsia"/>
                <w:color w:val="000000"/>
                <w:sz w:val="24"/>
              </w:rPr>
              <w:t>①</w:t>
            </w:r>
            <w:r>
              <w:rPr>
                <w:color w:val="000000"/>
                <w:sz w:val="24"/>
              </w:rPr>
              <w:t xml:space="preserve"> </w:t>
            </w:r>
            <w:r>
              <w:rPr>
                <w:rFonts w:hint="eastAsia"/>
                <w:color w:val="000000"/>
                <w:sz w:val="24"/>
              </w:rPr>
              <w:t>生活垃圾</w:t>
            </w:r>
          </w:p>
          <w:p w14:paraId="11C433C4">
            <w:pPr>
              <w:ind w:firstLine="480" w:firstLineChars="200"/>
              <w:rPr>
                <w:color w:val="000000"/>
                <w:sz w:val="24"/>
              </w:rPr>
            </w:pPr>
            <w:r>
              <w:rPr>
                <w:rFonts w:hint="eastAsia"/>
                <w:color w:val="000000"/>
                <w:sz w:val="24"/>
              </w:rPr>
              <w:t>本项目劳动定员</w:t>
            </w:r>
            <w:r>
              <w:rPr>
                <w:color w:val="000000"/>
                <w:sz w:val="24"/>
              </w:rPr>
              <w:t>30</w:t>
            </w:r>
            <w:r>
              <w:rPr>
                <w:rFonts w:hint="eastAsia"/>
                <w:color w:val="000000"/>
                <w:sz w:val="24"/>
              </w:rPr>
              <w:t>人，按人均垃圾产生量</w:t>
            </w:r>
            <w:r>
              <w:rPr>
                <w:color w:val="000000"/>
                <w:sz w:val="24"/>
              </w:rPr>
              <w:t>0.8kg/</w:t>
            </w:r>
            <w:r>
              <w:rPr>
                <w:rFonts w:hint="eastAsia"/>
                <w:color w:val="000000"/>
                <w:sz w:val="24"/>
              </w:rPr>
              <w:t>（人</w:t>
            </w:r>
            <w:r>
              <w:rPr>
                <w:color w:val="000000"/>
                <w:sz w:val="24"/>
              </w:rPr>
              <w:t>·d</w:t>
            </w:r>
            <w:r>
              <w:rPr>
                <w:rFonts w:hint="eastAsia"/>
                <w:color w:val="000000"/>
                <w:sz w:val="24"/>
              </w:rPr>
              <w:t>）计，日生活垃圾产生量为</w:t>
            </w:r>
            <w:r>
              <w:rPr>
                <w:color w:val="000000"/>
                <w:sz w:val="24"/>
              </w:rPr>
              <w:t>24kg</w:t>
            </w:r>
            <w:r>
              <w:rPr>
                <w:rFonts w:hint="eastAsia"/>
                <w:color w:val="000000"/>
                <w:sz w:val="24"/>
              </w:rPr>
              <w:t>，则生活垃圾年产生量为</w:t>
            </w:r>
            <w:r>
              <w:rPr>
                <w:color w:val="000000"/>
                <w:sz w:val="24"/>
              </w:rPr>
              <w:t>8.76t/a</w:t>
            </w:r>
            <w:r>
              <w:rPr>
                <w:rFonts w:hint="eastAsia"/>
                <w:color w:val="000000"/>
                <w:sz w:val="24"/>
              </w:rPr>
              <w:t>，</w:t>
            </w:r>
            <w:r>
              <w:rPr>
                <w:rFonts w:hint="eastAsia"/>
                <w:color w:val="FF0000"/>
                <w:sz w:val="24"/>
              </w:rPr>
              <w:t>本项目在升压站内设置垃圾箱</w:t>
            </w:r>
            <w:r>
              <w:rPr>
                <w:color w:val="FF0000"/>
                <w:sz w:val="24"/>
              </w:rPr>
              <w:t>1</w:t>
            </w:r>
            <w:r>
              <w:rPr>
                <w:rFonts w:hint="eastAsia"/>
                <w:color w:val="FF0000"/>
                <w:sz w:val="24"/>
              </w:rPr>
              <w:t>座，用于生活垃圾暂存。</w:t>
            </w:r>
            <w:r>
              <w:rPr>
                <w:rFonts w:hint="eastAsia"/>
                <w:color w:val="000000"/>
                <w:sz w:val="24"/>
              </w:rPr>
              <w:t>生活污水处理污泥年产生量约为</w:t>
            </w:r>
            <w:r>
              <w:rPr>
                <w:color w:val="000000"/>
                <w:sz w:val="24"/>
              </w:rPr>
              <w:t>0.19t/a</w:t>
            </w:r>
            <w:r>
              <w:rPr>
                <w:rFonts w:hint="eastAsia"/>
                <w:color w:val="000000"/>
                <w:sz w:val="24"/>
              </w:rPr>
              <w:t>。生活垃圾和污泥全部交由环卫部门统一处理，不外排。</w:t>
            </w:r>
          </w:p>
          <w:p w14:paraId="5185852C">
            <w:pPr>
              <w:ind w:firstLine="480" w:firstLineChars="200"/>
              <w:rPr>
                <w:color w:val="000000"/>
                <w:sz w:val="24"/>
              </w:rPr>
            </w:pPr>
            <w:r>
              <w:rPr>
                <w:rFonts w:hint="eastAsia"/>
                <w:color w:val="000000"/>
                <w:sz w:val="24"/>
              </w:rPr>
              <w:t>②</w:t>
            </w:r>
            <w:r>
              <w:rPr>
                <w:color w:val="000000"/>
                <w:sz w:val="24"/>
              </w:rPr>
              <w:t xml:space="preserve"> </w:t>
            </w:r>
            <w:r>
              <w:rPr>
                <w:rFonts w:hint="eastAsia"/>
                <w:color w:val="FF0000"/>
                <w:sz w:val="24"/>
              </w:rPr>
              <w:t>维修垃圾</w:t>
            </w:r>
          </w:p>
          <w:p w14:paraId="48E67B59">
            <w:pPr>
              <w:ind w:firstLine="480" w:firstLineChars="200"/>
              <w:rPr>
                <w:sz w:val="24"/>
              </w:rPr>
            </w:pPr>
            <w:r>
              <w:rPr>
                <w:rFonts w:hint="eastAsia"/>
                <w:sz w:val="24"/>
              </w:rPr>
              <w:t>风电场日常检修中要进行拆卸、加油洗等，该过程会产生维修垃圾（主要为废油等）。类比同类风电场，每台风机年维修垃圾按</w:t>
            </w:r>
            <w:r>
              <w:rPr>
                <w:sz w:val="24"/>
              </w:rPr>
              <w:t>10kg/a</w:t>
            </w:r>
            <w:r>
              <w:rPr>
                <w:rFonts w:hint="eastAsia"/>
                <w:sz w:val="24"/>
              </w:rPr>
              <w:t>计，则本项目</w:t>
            </w:r>
            <w:r>
              <w:rPr>
                <w:rFonts w:hint="eastAsia"/>
                <w:color w:val="FF0000"/>
                <w:sz w:val="24"/>
              </w:rPr>
              <w:t>维修垃圾</w:t>
            </w:r>
            <w:r>
              <w:rPr>
                <w:rFonts w:hint="eastAsia"/>
                <w:sz w:val="24"/>
              </w:rPr>
              <w:t>年产生量为</w:t>
            </w:r>
            <w:r>
              <w:rPr>
                <w:sz w:val="24"/>
              </w:rPr>
              <w:t>1.2t/a</w:t>
            </w:r>
            <w:r>
              <w:rPr>
                <w:rFonts w:hint="eastAsia"/>
                <w:sz w:val="24"/>
              </w:rPr>
              <w:t>。按照《国家危险废物名录》（</w:t>
            </w:r>
            <w:r>
              <w:rPr>
                <w:sz w:val="24"/>
              </w:rPr>
              <w:t>2016</w:t>
            </w:r>
            <w:r>
              <w:rPr>
                <w:rFonts w:hint="eastAsia"/>
                <w:sz w:val="24"/>
              </w:rPr>
              <w:t>年），属危险废物（</w:t>
            </w:r>
            <w:r>
              <w:rPr>
                <w:sz w:val="24"/>
              </w:rPr>
              <w:t>HW49</w:t>
            </w:r>
            <w:r>
              <w:rPr>
                <w:rFonts w:hint="eastAsia"/>
                <w:sz w:val="24"/>
              </w:rPr>
              <w:t>其他废物，废物代码</w:t>
            </w:r>
            <w:r>
              <w:rPr>
                <w:sz w:val="24"/>
              </w:rPr>
              <w:t>900-041-49</w:t>
            </w:r>
            <w:r>
              <w:rPr>
                <w:rFonts w:hint="eastAsia"/>
                <w:sz w:val="24"/>
              </w:rPr>
              <w:t>），经专门容器收集后暂时贮存于场内危险废物暂存间，委托有处理该危险废物资质的单位及时处置。</w:t>
            </w:r>
            <w:r>
              <w:rPr>
                <w:rFonts w:hint="eastAsia"/>
                <w:color w:val="FF0000"/>
                <w:sz w:val="24"/>
              </w:rPr>
              <w:t>检修过程中产生的含油抹布属于《国家危险废物名录》（</w:t>
            </w:r>
            <w:r>
              <w:rPr>
                <w:color w:val="FF0000"/>
                <w:sz w:val="24"/>
              </w:rPr>
              <w:t>2016</w:t>
            </w:r>
            <w:r>
              <w:rPr>
                <w:rFonts w:hint="eastAsia"/>
                <w:color w:val="FF0000"/>
                <w:sz w:val="24"/>
              </w:rPr>
              <w:t>年）规定的豁免管理清单中危险废物，全部混入生活垃圾交由环卫部门统一处理。</w:t>
            </w:r>
          </w:p>
          <w:p w14:paraId="637B0E1A">
            <w:pPr>
              <w:ind w:firstLine="480" w:firstLineChars="200"/>
              <w:rPr>
                <w:sz w:val="24"/>
              </w:rPr>
            </w:pPr>
            <w:r>
              <w:rPr>
                <w:rFonts w:hint="eastAsia"/>
                <w:sz w:val="24"/>
              </w:rPr>
              <w:t>③</w:t>
            </w:r>
            <w:r>
              <w:rPr>
                <w:sz w:val="24"/>
              </w:rPr>
              <w:t xml:space="preserve"> </w:t>
            </w:r>
            <w:r>
              <w:rPr>
                <w:rFonts w:hint="eastAsia"/>
                <w:sz w:val="24"/>
              </w:rPr>
              <w:t>废蓄电池</w:t>
            </w:r>
          </w:p>
          <w:p w14:paraId="796EAA9C">
            <w:pPr>
              <w:ind w:firstLine="480" w:firstLineChars="200"/>
              <w:rPr>
                <w:sz w:val="24"/>
              </w:rPr>
            </w:pPr>
            <w:r>
              <w:rPr>
                <w:rFonts w:hint="eastAsia"/>
                <w:sz w:val="24"/>
              </w:rPr>
              <w:t>在升压站中，直流系统是核心，为断路器分、合闸机二次回路中的继电保护、仪表及事故照明等提供能源。而直流系统中提供能源是蓄电池，为二次系统的正常运行提供动力。运行期本项目使用免维护铅酸蓄电池，其正常寿命在</w:t>
            </w:r>
            <w:r>
              <w:rPr>
                <w:sz w:val="24"/>
              </w:rPr>
              <w:t>10</w:t>
            </w:r>
            <w:r>
              <w:rPr>
                <w:rFonts w:hint="eastAsia"/>
                <w:sz w:val="24"/>
              </w:rPr>
              <w:t>～</w:t>
            </w:r>
            <w:r>
              <w:rPr>
                <w:sz w:val="24"/>
              </w:rPr>
              <w:t>15</w:t>
            </w:r>
            <w:r>
              <w:rPr>
                <w:rFonts w:hint="eastAsia"/>
                <w:sz w:val="24"/>
              </w:rPr>
              <w:t>年。按照国家危险废物名录，废蓄电池属危险废物（</w:t>
            </w:r>
            <w:r>
              <w:rPr>
                <w:sz w:val="24"/>
              </w:rPr>
              <w:t>HW49</w:t>
            </w:r>
            <w:r>
              <w:rPr>
                <w:rFonts w:hint="eastAsia"/>
                <w:sz w:val="24"/>
              </w:rPr>
              <w:t>其他废物，废物代码</w:t>
            </w:r>
            <w:r>
              <w:rPr>
                <w:sz w:val="24"/>
              </w:rPr>
              <w:t>900-041-49</w:t>
            </w:r>
            <w:r>
              <w:rPr>
                <w:rFonts w:hint="eastAsia"/>
                <w:sz w:val="24"/>
              </w:rPr>
              <w:t>）。根据建设单位提供资料，废蓄电池产生量为</w:t>
            </w:r>
            <w:r>
              <w:rPr>
                <w:sz w:val="24"/>
              </w:rPr>
              <w:t>22kg/</w:t>
            </w:r>
            <w:r>
              <w:rPr>
                <w:rFonts w:hint="eastAsia"/>
                <w:sz w:val="24"/>
              </w:rPr>
              <w:t>次，拟由蓄电池提供单位回收处置。</w:t>
            </w:r>
          </w:p>
          <w:p w14:paraId="6CA2203A">
            <w:pPr>
              <w:ind w:firstLine="480" w:firstLineChars="200"/>
              <w:rPr>
                <w:sz w:val="24"/>
              </w:rPr>
            </w:pPr>
            <w:r>
              <w:rPr>
                <w:rFonts w:hint="eastAsia"/>
                <w:sz w:val="24"/>
              </w:rPr>
              <w:t>④</w:t>
            </w:r>
            <w:r>
              <w:rPr>
                <w:sz w:val="24"/>
              </w:rPr>
              <w:t xml:space="preserve"> </w:t>
            </w:r>
            <w:r>
              <w:rPr>
                <w:rFonts w:hint="eastAsia"/>
                <w:sz w:val="24"/>
              </w:rPr>
              <w:t>变压器事故废油</w:t>
            </w:r>
          </w:p>
          <w:p w14:paraId="64BBCC1C">
            <w:pPr>
              <w:ind w:firstLine="480" w:firstLineChars="200"/>
              <w:rPr>
                <w:sz w:val="24"/>
              </w:rPr>
            </w:pPr>
            <w:r>
              <w:rPr>
                <w:rFonts w:hint="eastAsia"/>
                <w:sz w:val="24"/>
              </w:rPr>
              <w:t>变压器正常运行时不产生废油，</w:t>
            </w:r>
            <w:r>
              <w:rPr>
                <w:rFonts w:hint="eastAsia"/>
                <w:color w:val="FF0000"/>
                <w:sz w:val="24"/>
              </w:rPr>
              <w:t>发生事故时将变压器油排入变压器下部设置的围堰内，再通过管道自流进入事故池临时贮存</w:t>
            </w:r>
            <w:r>
              <w:rPr>
                <w:rFonts w:hint="eastAsia"/>
                <w:sz w:val="24"/>
              </w:rPr>
              <w:t>，主变压器（</w:t>
            </w:r>
            <w:r>
              <w:rPr>
                <w:sz w:val="24"/>
              </w:rPr>
              <w:t>150MVA</w:t>
            </w:r>
            <w:r>
              <w:rPr>
                <w:rFonts w:hint="eastAsia"/>
                <w:sz w:val="24"/>
              </w:rPr>
              <w:t>）油量约</w:t>
            </w:r>
            <w:r>
              <w:rPr>
                <w:sz w:val="24"/>
              </w:rPr>
              <w:t>60t</w:t>
            </w:r>
            <w:r>
              <w:rPr>
                <w:rFonts w:hint="eastAsia"/>
                <w:sz w:val="24"/>
              </w:rPr>
              <w:t>（约</w:t>
            </w:r>
            <w:r>
              <w:rPr>
                <w:sz w:val="24"/>
              </w:rPr>
              <w:t>66m</w:t>
            </w:r>
            <w:r>
              <w:rPr>
                <w:sz w:val="24"/>
                <w:vertAlign w:val="superscript"/>
              </w:rPr>
              <w:t>3</w:t>
            </w:r>
            <w:r>
              <w:rPr>
                <w:rFonts w:hint="eastAsia"/>
                <w:sz w:val="24"/>
              </w:rPr>
              <w:t>），</w:t>
            </w:r>
            <w:r>
              <w:rPr>
                <w:sz w:val="24"/>
              </w:rPr>
              <w:t>1</w:t>
            </w:r>
            <w:r>
              <w:rPr>
                <w:rFonts w:hint="eastAsia"/>
                <w:sz w:val="24"/>
              </w:rPr>
              <w:t>台主变发生事故时排油量（按全部泄漏）</w:t>
            </w:r>
            <w:r>
              <w:rPr>
                <w:sz w:val="24"/>
              </w:rPr>
              <w:t>66m</w:t>
            </w:r>
            <w:r>
              <w:rPr>
                <w:sz w:val="24"/>
                <w:vertAlign w:val="superscript"/>
              </w:rPr>
              <w:t>3</w:t>
            </w:r>
            <w:r>
              <w:rPr>
                <w:rFonts w:hint="eastAsia"/>
                <w:sz w:val="24"/>
              </w:rPr>
              <w:t>，主变事故油池容积为</w:t>
            </w:r>
            <w:r>
              <w:rPr>
                <w:sz w:val="24"/>
              </w:rPr>
              <w:t>96m</w:t>
            </w:r>
            <w:r>
              <w:rPr>
                <w:sz w:val="24"/>
                <w:vertAlign w:val="superscript"/>
              </w:rPr>
              <w:t>3</w:t>
            </w:r>
            <w:r>
              <w:rPr>
                <w:rFonts w:hint="eastAsia"/>
                <w:sz w:val="24"/>
              </w:rPr>
              <w:t>，可满足变电站事故排油的需求。同时考虑到降雨可能进入事故油池，因此事故油中含有的废水一并委托处理。主变事故油为石油类</w:t>
            </w:r>
            <w:r>
              <w:rPr>
                <w:sz w:val="24"/>
              </w:rPr>
              <w:t>HW08</w:t>
            </w:r>
            <w:r>
              <w:rPr>
                <w:rFonts w:hint="eastAsia"/>
                <w:sz w:val="24"/>
              </w:rPr>
              <w:t>废矿物油，属于危险废物（废物代码</w:t>
            </w:r>
            <w:r>
              <w:rPr>
                <w:sz w:val="24"/>
              </w:rPr>
              <w:t>900-220-08</w:t>
            </w:r>
            <w:r>
              <w:rPr>
                <w:rFonts w:hint="eastAsia"/>
                <w:sz w:val="24"/>
              </w:rPr>
              <w:t>），由变压器油提供单位回收综合利用。</w:t>
            </w:r>
          </w:p>
          <w:p w14:paraId="019F0008">
            <w:pPr>
              <w:ind w:firstLine="480" w:firstLineChars="200"/>
              <w:rPr>
                <w:sz w:val="24"/>
              </w:rPr>
            </w:pPr>
          </w:p>
          <w:p w14:paraId="3F457842">
            <w:pPr>
              <w:ind w:firstLine="480" w:firstLineChars="200"/>
              <w:rPr>
                <w:sz w:val="24"/>
              </w:rPr>
            </w:pPr>
          </w:p>
          <w:p w14:paraId="042FF070">
            <w:pPr>
              <w:ind w:firstLine="480" w:firstLineChars="200"/>
              <w:rPr>
                <w:sz w:val="24"/>
              </w:rPr>
            </w:pPr>
          </w:p>
          <w:p w14:paraId="6837977A">
            <w:pPr>
              <w:ind w:firstLine="480" w:firstLineChars="200"/>
              <w:rPr>
                <w:sz w:val="24"/>
              </w:rPr>
            </w:pPr>
          </w:p>
          <w:p w14:paraId="014DB836">
            <w:pPr>
              <w:ind w:firstLine="480" w:firstLineChars="200"/>
              <w:rPr>
                <w:sz w:val="24"/>
              </w:rPr>
            </w:pPr>
          </w:p>
          <w:p w14:paraId="1FBF2B9F">
            <w:pPr>
              <w:ind w:firstLine="420" w:firstLineChars="200"/>
              <w:rPr>
                <w:color w:val="000000"/>
              </w:rPr>
            </w:pPr>
          </w:p>
        </w:tc>
      </w:tr>
    </w:tbl>
    <w:p w14:paraId="389F2F43">
      <w:pPr>
        <w:rPr>
          <w:b/>
          <w:color w:val="000000"/>
          <w:sz w:val="28"/>
          <w:szCs w:val="28"/>
        </w:rPr>
      </w:pPr>
      <w:r>
        <w:rPr>
          <w:rFonts w:hint="eastAsia"/>
          <w:b/>
          <w:color w:val="000000"/>
          <w:sz w:val="28"/>
          <w:szCs w:val="28"/>
        </w:rPr>
        <w:t>项目主要污染物产生及预计排放情况</w:t>
      </w:r>
    </w:p>
    <w:tbl>
      <w:tblPr>
        <w:tblStyle w:val="2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00"/>
        <w:gridCol w:w="590"/>
        <w:gridCol w:w="2019"/>
        <w:gridCol w:w="1274"/>
        <w:gridCol w:w="2437"/>
        <w:gridCol w:w="2152"/>
      </w:tblGrid>
      <w:tr w14:paraId="02879C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90" w:type="dxa"/>
            <w:gridSpan w:val="2"/>
            <w:tcBorders>
              <w:top w:val="single" w:color="auto" w:sz="4" w:space="0"/>
              <w:left w:val="single" w:color="auto" w:sz="4" w:space="0"/>
              <w:bottom w:val="single" w:color="auto" w:sz="4" w:space="0"/>
              <w:right w:val="single" w:color="auto" w:sz="4" w:space="0"/>
            </w:tcBorders>
          </w:tcPr>
          <w:p w14:paraId="166FCE9E">
            <w:pPr>
              <w:spacing w:line="400" w:lineRule="exact"/>
              <w:ind w:firstLine="280" w:firstLineChars="100"/>
              <w:rPr>
                <w:color w:val="000000"/>
                <w:sz w:val="28"/>
                <w:szCs w:val="28"/>
              </w:rPr>
            </w:pPr>
            <w:r>
              <w:rPr>
                <w:rFonts w:hint="eastAsia"/>
                <w:color w:val="000000"/>
                <w:sz w:val="28"/>
                <w:szCs w:val="28"/>
              </w:rPr>
              <w:t>内容</w:t>
            </w:r>
          </w:p>
          <w:p w14:paraId="063F0A49">
            <w:pPr>
              <w:spacing w:line="400" w:lineRule="exact"/>
              <w:rPr>
                <w:color w:val="000000"/>
                <w:sz w:val="28"/>
                <w:szCs w:val="28"/>
              </w:rPr>
            </w:pPr>
            <w:r>
              <w:rPr>
                <w:rFonts w:hint="eastAsia"/>
                <w:color w:val="000000"/>
                <w:sz w:val="28"/>
                <w:szCs w:val="28"/>
              </w:rPr>
              <w:t>类型</w:t>
            </w:r>
          </w:p>
        </w:tc>
        <w:tc>
          <w:tcPr>
            <w:tcW w:w="2019" w:type="dxa"/>
            <w:tcBorders>
              <w:top w:val="single" w:color="auto" w:sz="4" w:space="0"/>
              <w:left w:val="single" w:color="auto" w:sz="4" w:space="0"/>
              <w:bottom w:val="single" w:color="auto" w:sz="4" w:space="0"/>
              <w:right w:val="single" w:color="auto" w:sz="4" w:space="0"/>
            </w:tcBorders>
            <w:tcMar>
              <w:top w:w="0" w:type="dxa"/>
              <w:left w:w="28" w:type="dxa"/>
              <w:bottom w:w="0" w:type="dxa"/>
              <w:right w:w="0" w:type="dxa"/>
            </w:tcMar>
          </w:tcPr>
          <w:p w14:paraId="2675409B">
            <w:pPr>
              <w:spacing w:line="400" w:lineRule="exact"/>
              <w:jc w:val="center"/>
              <w:rPr>
                <w:color w:val="000000"/>
                <w:sz w:val="28"/>
                <w:szCs w:val="28"/>
              </w:rPr>
            </w:pPr>
            <w:r>
              <w:rPr>
                <w:rFonts w:hint="eastAsia"/>
                <w:color w:val="000000"/>
                <w:sz w:val="28"/>
                <w:szCs w:val="28"/>
              </w:rPr>
              <w:t>排放源</w:t>
            </w:r>
          </w:p>
          <w:p w14:paraId="33D8BE91">
            <w:pPr>
              <w:spacing w:line="400" w:lineRule="exact"/>
              <w:jc w:val="center"/>
              <w:rPr>
                <w:color w:val="000000"/>
                <w:sz w:val="28"/>
                <w:szCs w:val="28"/>
              </w:rPr>
            </w:pPr>
            <w:r>
              <w:rPr>
                <w:color w:val="000000"/>
                <w:sz w:val="28"/>
                <w:szCs w:val="28"/>
              </w:rPr>
              <w:t>(</w:t>
            </w:r>
            <w:r>
              <w:rPr>
                <w:rFonts w:hint="eastAsia"/>
                <w:color w:val="000000"/>
                <w:sz w:val="28"/>
                <w:szCs w:val="28"/>
              </w:rPr>
              <w:t>编号</w:t>
            </w:r>
            <w:r>
              <w:rPr>
                <w:color w:val="000000"/>
                <w:sz w:val="28"/>
                <w:szCs w:val="28"/>
              </w:rPr>
              <w:t>)</w:t>
            </w:r>
          </w:p>
        </w:tc>
        <w:tc>
          <w:tcPr>
            <w:tcW w:w="1274" w:type="dxa"/>
            <w:tcBorders>
              <w:top w:val="single" w:color="auto" w:sz="4" w:space="0"/>
              <w:left w:val="single" w:color="auto" w:sz="4" w:space="0"/>
              <w:bottom w:val="single" w:color="auto" w:sz="4" w:space="0"/>
              <w:right w:val="single" w:color="auto" w:sz="4" w:space="0"/>
            </w:tcBorders>
            <w:vAlign w:val="center"/>
          </w:tcPr>
          <w:p w14:paraId="3B740CF4">
            <w:pPr>
              <w:spacing w:line="400" w:lineRule="exact"/>
              <w:jc w:val="center"/>
              <w:rPr>
                <w:color w:val="000000"/>
                <w:sz w:val="28"/>
                <w:szCs w:val="28"/>
              </w:rPr>
            </w:pPr>
            <w:r>
              <w:rPr>
                <w:rFonts w:hint="eastAsia"/>
                <w:color w:val="000000"/>
                <w:sz w:val="28"/>
                <w:szCs w:val="28"/>
              </w:rPr>
              <w:t>污染物</w:t>
            </w:r>
          </w:p>
          <w:p w14:paraId="3D55870D">
            <w:pPr>
              <w:spacing w:line="400" w:lineRule="exact"/>
              <w:jc w:val="center"/>
              <w:rPr>
                <w:color w:val="000000"/>
                <w:sz w:val="28"/>
                <w:szCs w:val="28"/>
              </w:rPr>
            </w:pPr>
            <w:r>
              <w:rPr>
                <w:rFonts w:hint="eastAsia"/>
                <w:color w:val="000000"/>
                <w:sz w:val="28"/>
                <w:szCs w:val="28"/>
              </w:rPr>
              <w:t>名称</w:t>
            </w:r>
          </w:p>
        </w:tc>
        <w:tc>
          <w:tcPr>
            <w:tcW w:w="2437" w:type="dxa"/>
            <w:tcBorders>
              <w:top w:val="single" w:color="auto" w:sz="4" w:space="0"/>
              <w:left w:val="single" w:color="auto" w:sz="4" w:space="0"/>
              <w:bottom w:val="single" w:color="auto" w:sz="4" w:space="0"/>
              <w:right w:val="single" w:color="auto" w:sz="4" w:space="0"/>
            </w:tcBorders>
          </w:tcPr>
          <w:p w14:paraId="4722A973">
            <w:pPr>
              <w:spacing w:line="400" w:lineRule="exact"/>
              <w:jc w:val="center"/>
              <w:rPr>
                <w:color w:val="000000"/>
                <w:sz w:val="28"/>
                <w:szCs w:val="28"/>
              </w:rPr>
            </w:pPr>
            <w:r>
              <w:rPr>
                <w:rFonts w:hint="eastAsia"/>
                <w:color w:val="000000"/>
                <w:sz w:val="28"/>
                <w:szCs w:val="28"/>
              </w:rPr>
              <w:t>处理前产生浓度及产生量</w:t>
            </w:r>
            <w:r>
              <w:rPr>
                <w:color w:val="000000"/>
                <w:sz w:val="28"/>
                <w:szCs w:val="28"/>
              </w:rPr>
              <w:t>(</w:t>
            </w:r>
            <w:r>
              <w:rPr>
                <w:rFonts w:hint="eastAsia"/>
                <w:color w:val="000000"/>
                <w:sz w:val="28"/>
                <w:szCs w:val="28"/>
              </w:rPr>
              <w:t>单位</w:t>
            </w:r>
            <w:r>
              <w:rPr>
                <w:color w:val="000000"/>
                <w:sz w:val="28"/>
                <w:szCs w:val="28"/>
              </w:rPr>
              <w:t>)</w:t>
            </w:r>
          </w:p>
        </w:tc>
        <w:tc>
          <w:tcPr>
            <w:tcW w:w="2152" w:type="dxa"/>
            <w:tcBorders>
              <w:top w:val="single" w:color="auto" w:sz="4" w:space="0"/>
              <w:left w:val="single" w:color="auto" w:sz="4" w:space="0"/>
              <w:bottom w:val="single" w:color="auto" w:sz="4" w:space="0"/>
              <w:right w:val="single" w:color="auto" w:sz="4" w:space="0"/>
            </w:tcBorders>
          </w:tcPr>
          <w:p w14:paraId="3DEEF741">
            <w:pPr>
              <w:spacing w:line="400" w:lineRule="exact"/>
              <w:jc w:val="center"/>
              <w:rPr>
                <w:color w:val="000000"/>
                <w:sz w:val="28"/>
                <w:szCs w:val="28"/>
              </w:rPr>
            </w:pPr>
            <w:r>
              <w:rPr>
                <w:rFonts w:hint="eastAsia"/>
                <w:color w:val="000000"/>
                <w:sz w:val="28"/>
                <w:szCs w:val="28"/>
              </w:rPr>
              <w:t>排放浓度及排放量</w:t>
            </w:r>
            <w:r>
              <w:rPr>
                <w:color w:val="000000"/>
                <w:sz w:val="28"/>
                <w:szCs w:val="28"/>
              </w:rPr>
              <w:t>(</w:t>
            </w:r>
            <w:r>
              <w:rPr>
                <w:rFonts w:hint="eastAsia"/>
                <w:color w:val="000000"/>
                <w:sz w:val="28"/>
                <w:szCs w:val="28"/>
              </w:rPr>
              <w:t>单位</w:t>
            </w:r>
            <w:r>
              <w:rPr>
                <w:color w:val="000000"/>
                <w:sz w:val="28"/>
                <w:szCs w:val="28"/>
              </w:rPr>
              <w:t>)</w:t>
            </w:r>
          </w:p>
        </w:tc>
      </w:tr>
      <w:tr w14:paraId="70C43F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600" w:type="dxa"/>
            <w:vMerge w:val="restart"/>
            <w:tcBorders>
              <w:top w:val="single" w:color="auto" w:sz="4" w:space="0"/>
              <w:left w:val="single" w:color="auto" w:sz="4" w:space="0"/>
              <w:bottom w:val="single" w:color="auto" w:sz="4" w:space="0"/>
              <w:right w:val="single" w:color="auto" w:sz="4" w:space="0"/>
            </w:tcBorders>
            <w:vAlign w:val="center"/>
          </w:tcPr>
          <w:p w14:paraId="3454E3C9">
            <w:pPr>
              <w:spacing w:line="400" w:lineRule="exact"/>
              <w:jc w:val="center"/>
              <w:rPr>
                <w:color w:val="000000"/>
                <w:sz w:val="28"/>
                <w:szCs w:val="28"/>
              </w:rPr>
            </w:pPr>
            <w:r>
              <w:rPr>
                <w:rFonts w:hint="eastAsia"/>
                <w:color w:val="000000"/>
                <w:sz w:val="28"/>
                <w:szCs w:val="28"/>
              </w:rPr>
              <w:t>大</w:t>
            </w:r>
          </w:p>
          <w:p w14:paraId="4909C0C3">
            <w:pPr>
              <w:spacing w:line="400" w:lineRule="exact"/>
              <w:jc w:val="center"/>
              <w:rPr>
                <w:color w:val="000000"/>
                <w:sz w:val="28"/>
                <w:szCs w:val="28"/>
              </w:rPr>
            </w:pPr>
            <w:r>
              <w:rPr>
                <w:rFonts w:hint="eastAsia"/>
                <w:color w:val="000000"/>
                <w:sz w:val="28"/>
                <w:szCs w:val="28"/>
              </w:rPr>
              <w:t>气</w:t>
            </w:r>
          </w:p>
          <w:p w14:paraId="5D19FBD6">
            <w:pPr>
              <w:spacing w:line="400" w:lineRule="exact"/>
              <w:jc w:val="center"/>
              <w:rPr>
                <w:color w:val="000000"/>
                <w:sz w:val="28"/>
                <w:szCs w:val="28"/>
              </w:rPr>
            </w:pPr>
            <w:r>
              <w:rPr>
                <w:rFonts w:hint="eastAsia"/>
                <w:color w:val="000000"/>
                <w:sz w:val="28"/>
                <w:szCs w:val="28"/>
              </w:rPr>
              <w:t>污</w:t>
            </w:r>
          </w:p>
          <w:p w14:paraId="4915A042">
            <w:pPr>
              <w:spacing w:line="400" w:lineRule="exact"/>
              <w:jc w:val="center"/>
              <w:rPr>
                <w:color w:val="000000"/>
                <w:sz w:val="28"/>
                <w:szCs w:val="28"/>
              </w:rPr>
            </w:pPr>
            <w:r>
              <w:rPr>
                <w:rFonts w:hint="eastAsia"/>
                <w:color w:val="000000"/>
                <w:sz w:val="28"/>
                <w:szCs w:val="28"/>
              </w:rPr>
              <w:t>染</w:t>
            </w:r>
          </w:p>
          <w:p w14:paraId="419044FA">
            <w:pPr>
              <w:spacing w:line="400" w:lineRule="exact"/>
              <w:jc w:val="center"/>
              <w:rPr>
                <w:color w:val="000000"/>
                <w:szCs w:val="21"/>
              </w:rPr>
            </w:pPr>
            <w:r>
              <w:rPr>
                <w:rFonts w:hint="eastAsia"/>
                <w:color w:val="000000"/>
                <w:sz w:val="28"/>
                <w:szCs w:val="28"/>
              </w:rPr>
              <w:t>物</w:t>
            </w:r>
          </w:p>
        </w:tc>
        <w:tc>
          <w:tcPr>
            <w:tcW w:w="590" w:type="dxa"/>
            <w:vMerge w:val="restart"/>
            <w:tcBorders>
              <w:top w:val="single" w:color="auto" w:sz="4" w:space="0"/>
              <w:left w:val="single" w:color="auto" w:sz="4" w:space="0"/>
              <w:bottom w:val="single" w:color="auto" w:sz="4" w:space="0"/>
              <w:right w:val="single" w:color="auto" w:sz="4" w:space="0"/>
            </w:tcBorders>
            <w:vAlign w:val="center"/>
          </w:tcPr>
          <w:p w14:paraId="411DEC7D">
            <w:pPr>
              <w:spacing w:line="240" w:lineRule="auto"/>
              <w:jc w:val="center"/>
              <w:rPr>
                <w:bCs/>
                <w:snapToGrid w:val="0"/>
                <w:kern w:val="24"/>
                <w:szCs w:val="21"/>
              </w:rPr>
            </w:pPr>
            <w:r>
              <w:rPr>
                <w:rFonts w:hint="eastAsia"/>
                <w:bCs/>
                <w:snapToGrid w:val="0"/>
                <w:kern w:val="24"/>
                <w:szCs w:val="21"/>
              </w:rPr>
              <w:t>施工期</w:t>
            </w:r>
          </w:p>
        </w:tc>
        <w:tc>
          <w:tcPr>
            <w:tcW w:w="2019" w:type="dxa"/>
            <w:vMerge w:val="restart"/>
            <w:tcBorders>
              <w:top w:val="single" w:color="auto" w:sz="4" w:space="0"/>
              <w:left w:val="single" w:color="auto" w:sz="4" w:space="0"/>
              <w:bottom w:val="single" w:color="auto" w:sz="4" w:space="0"/>
              <w:right w:val="single" w:color="auto" w:sz="4" w:space="0"/>
            </w:tcBorders>
            <w:tcMar>
              <w:top w:w="0" w:type="dxa"/>
              <w:left w:w="28" w:type="dxa"/>
              <w:bottom w:w="0" w:type="dxa"/>
              <w:right w:w="0" w:type="dxa"/>
            </w:tcMar>
            <w:vAlign w:val="center"/>
          </w:tcPr>
          <w:p w14:paraId="2F6C4004">
            <w:pPr>
              <w:spacing w:line="240" w:lineRule="auto"/>
              <w:jc w:val="center"/>
              <w:rPr>
                <w:color w:val="000000"/>
                <w:szCs w:val="21"/>
              </w:rPr>
            </w:pPr>
            <w:r>
              <w:rPr>
                <w:rFonts w:hint="eastAsia"/>
                <w:color w:val="000000"/>
                <w:szCs w:val="21"/>
              </w:rPr>
              <w:t>施工</w:t>
            </w:r>
          </w:p>
        </w:tc>
        <w:tc>
          <w:tcPr>
            <w:tcW w:w="1274" w:type="dxa"/>
            <w:tcBorders>
              <w:top w:val="single" w:color="auto" w:sz="4" w:space="0"/>
              <w:left w:val="single" w:color="auto" w:sz="4" w:space="0"/>
              <w:bottom w:val="single" w:color="auto" w:sz="4" w:space="0"/>
              <w:right w:val="single" w:color="auto" w:sz="4" w:space="0"/>
            </w:tcBorders>
            <w:vAlign w:val="center"/>
          </w:tcPr>
          <w:p w14:paraId="31AEC948">
            <w:pPr>
              <w:pStyle w:val="111"/>
              <w:spacing w:line="240" w:lineRule="auto"/>
              <w:ind w:firstLine="0" w:firstLineChars="0"/>
              <w:jc w:val="center"/>
              <w:rPr>
                <w:color w:val="000000"/>
                <w:sz w:val="21"/>
                <w:szCs w:val="21"/>
              </w:rPr>
            </w:pPr>
            <w:r>
              <w:rPr>
                <w:rFonts w:hint="eastAsia"/>
                <w:color w:val="000000"/>
                <w:sz w:val="21"/>
                <w:szCs w:val="21"/>
              </w:rPr>
              <w:t>施工扬尘</w:t>
            </w:r>
          </w:p>
        </w:tc>
        <w:tc>
          <w:tcPr>
            <w:tcW w:w="2437" w:type="dxa"/>
            <w:tcBorders>
              <w:top w:val="single" w:color="auto" w:sz="4" w:space="0"/>
              <w:left w:val="single" w:color="auto" w:sz="4" w:space="0"/>
              <w:bottom w:val="single" w:color="auto" w:sz="4" w:space="0"/>
              <w:right w:val="single" w:color="auto" w:sz="4" w:space="0"/>
            </w:tcBorders>
            <w:vAlign w:val="center"/>
          </w:tcPr>
          <w:p w14:paraId="53F1DDD9">
            <w:pPr>
              <w:pStyle w:val="111"/>
              <w:spacing w:line="240" w:lineRule="auto"/>
              <w:ind w:firstLine="0" w:firstLineChars="0"/>
              <w:jc w:val="center"/>
              <w:rPr>
                <w:color w:val="000000"/>
                <w:sz w:val="21"/>
                <w:szCs w:val="21"/>
              </w:rPr>
            </w:pPr>
            <w:r>
              <w:rPr>
                <w:rFonts w:hint="eastAsia"/>
                <w:color w:val="000000"/>
                <w:sz w:val="21"/>
                <w:szCs w:val="21"/>
              </w:rPr>
              <w:t>少量</w:t>
            </w:r>
          </w:p>
        </w:tc>
        <w:tc>
          <w:tcPr>
            <w:tcW w:w="2152" w:type="dxa"/>
            <w:tcBorders>
              <w:top w:val="single" w:color="auto" w:sz="4" w:space="0"/>
              <w:left w:val="single" w:color="auto" w:sz="4" w:space="0"/>
              <w:bottom w:val="single" w:color="auto" w:sz="4" w:space="0"/>
              <w:right w:val="single" w:color="auto" w:sz="4" w:space="0"/>
            </w:tcBorders>
            <w:vAlign w:val="center"/>
          </w:tcPr>
          <w:p w14:paraId="3F58CD97">
            <w:pPr>
              <w:pStyle w:val="111"/>
              <w:spacing w:line="240" w:lineRule="auto"/>
              <w:ind w:firstLine="0" w:firstLineChars="0"/>
              <w:jc w:val="center"/>
              <w:rPr>
                <w:color w:val="000000"/>
                <w:sz w:val="21"/>
                <w:szCs w:val="21"/>
              </w:rPr>
            </w:pPr>
            <w:r>
              <w:rPr>
                <w:rFonts w:hint="eastAsia"/>
                <w:color w:val="000000"/>
                <w:sz w:val="21"/>
                <w:szCs w:val="21"/>
              </w:rPr>
              <w:t>少量</w:t>
            </w:r>
          </w:p>
        </w:tc>
      </w:tr>
      <w:tr w14:paraId="373CFF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9072" w:type="dxa"/>
            <w:vMerge w:val="continue"/>
            <w:tcBorders>
              <w:top w:val="single" w:color="auto" w:sz="4" w:space="0"/>
              <w:left w:val="single" w:color="auto" w:sz="4" w:space="0"/>
              <w:bottom w:val="single" w:color="auto" w:sz="4" w:space="0"/>
              <w:right w:val="single" w:color="auto" w:sz="4" w:space="0"/>
            </w:tcBorders>
            <w:vAlign w:val="center"/>
          </w:tcPr>
          <w:p w14:paraId="3F7922AA">
            <w:pPr>
              <w:widowControl/>
              <w:spacing w:line="240" w:lineRule="auto"/>
              <w:jc w:val="left"/>
              <w:rPr>
                <w:color w:val="000000"/>
                <w:szCs w:val="21"/>
              </w:rPr>
            </w:pPr>
          </w:p>
        </w:tc>
        <w:tc>
          <w:tcPr>
            <w:tcW w:w="590" w:type="dxa"/>
            <w:vMerge w:val="continue"/>
            <w:tcBorders>
              <w:top w:val="single" w:color="auto" w:sz="4" w:space="0"/>
              <w:left w:val="single" w:color="auto" w:sz="4" w:space="0"/>
              <w:bottom w:val="single" w:color="auto" w:sz="4" w:space="0"/>
              <w:right w:val="single" w:color="auto" w:sz="4" w:space="0"/>
            </w:tcBorders>
            <w:vAlign w:val="center"/>
          </w:tcPr>
          <w:p w14:paraId="1297653C">
            <w:pPr>
              <w:widowControl/>
              <w:spacing w:line="240" w:lineRule="auto"/>
              <w:jc w:val="left"/>
              <w:rPr>
                <w:bCs/>
                <w:snapToGrid w:val="0"/>
                <w:kern w:val="24"/>
                <w:szCs w:val="21"/>
              </w:rPr>
            </w:pPr>
          </w:p>
        </w:tc>
        <w:tc>
          <w:tcPr>
            <w:tcW w:w="7882" w:type="dxa"/>
            <w:vMerge w:val="continue"/>
            <w:tcBorders>
              <w:top w:val="single" w:color="auto" w:sz="4" w:space="0"/>
              <w:left w:val="single" w:color="auto" w:sz="4" w:space="0"/>
              <w:bottom w:val="single" w:color="auto" w:sz="4" w:space="0"/>
              <w:right w:val="single" w:color="auto" w:sz="4" w:space="0"/>
            </w:tcBorders>
            <w:vAlign w:val="center"/>
          </w:tcPr>
          <w:p w14:paraId="1F434FC7">
            <w:pPr>
              <w:widowControl/>
              <w:spacing w:line="240" w:lineRule="auto"/>
              <w:jc w:val="left"/>
              <w:rPr>
                <w:color w:val="000000"/>
                <w:szCs w:val="21"/>
              </w:rPr>
            </w:pPr>
          </w:p>
        </w:tc>
        <w:tc>
          <w:tcPr>
            <w:tcW w:w="1274" w:type="dxa"/>
            <w:tcBorders>
              <w:top w:val="single" w:color="auto" w:sz="4" w:space="0"/>
              <w:left w:val="single" w:color="auto" w:sz="4" w:space="0"/>
              <w:bottom w:val="single" w:color="auto" w:sz="4" w:space="0"/>
              <w:right w:val="single" w:color="auto" w:sz="4" w:space="0"/>
            </w:tcBorders>
            <w:vAlign w:val="center"/>
          </w:tcPr>
          <w:p w14:paraId="3818898F">
            <w:pPr>
              <w:pStyle w:val="111"/>
              <w:spacing w:line="240" w:lineRule="auto"/>
              <w:ind w:firstLine="0" w:firstLineChars="0"/>
              <w:jc w:val="center"/>
              <w:rPr>
                <w:color w:val="000000"/>
                <w:sz w:val="21"/>
                <w:szCs w:val="21"/>
              </w:rPr>
            </w:pPr>
            <w:r>
              <w:rPr>
                <w:rFonts w:hint="eastAsia"/>
                <w:color w:val="000000"/>
                <w:sz w:val="21"/>
                <w:szCs w:val="21"/>
              </w:rPr>
              <w:t>燃油废气</w:t>
            </w:r>
          </w:p>
        </w:tc>
        <w:tc>
          <w:tcPr>
            <w:tcW w:w="2437" w:type="dxa"/>
            <w:tcBorders>
              <w:top w:val="single" w:color="auto" w:sz="4" w:space="0"/>
              <w:left w:val="single" w:color="auto" w:sz="4" w:space="0"/>
              <w:bottom w:val="single" w:color="auto" w:sz="4" w:space="0"/>
              <w:right w:val="single" w:color="auto" w:sz="4" w:space="0"/>
            </w:tcBorders>
            <w:vAlign w:val="center"/>
          </w:tcPr>
          <w:p w14:paraId="133478A9">
            <w:pPr>
              <w:pStyle w:val="111"/>
              <w:spacing w:line="240" w:lineRule="auto"/>
              <w:ind w:firstLine="0" w:firstLineChars="0"/>
              <w:jc w:val="center"/>
              <w:rPr>
                <w:color w:val="000000"/>
                <w:sz w:val="21"/>
                <w:szCs w:val="21"/>
              </w:rPr>
            </w:pPr>
            <w:r>
              <w:rPr>
                <w:rFonts w:hint="eastAsia"/>
                <w:color w:val="000000"/>
                <w:sz w:val="21"/>
                <w:szCs w:val="21"/>
              </w:rPr>
              <w:t>少量</w:t>
            </w:r>
          </w:p>
        </w:tc>
        <w:tc>
          <w:tcPr>
            <w:tcW w:w="2152" w:type="dxa"/>
            <w:tcBorders>
              <w:top w:val="single" w:color="auto" w:sz="4" w:space="0"/>
              <w:left w:val="single" w:color="auto" w:sz="4" w:space="0"/>
              <w:bottom w:val="single" w:color="auto" w:sz="4" w:space="0"/>
              <w:right w:val="single" w:color="auto" w:sz="4" w:space="0"/>
            </w:tcBorders>
            <w:vAlign w:val="center"/>
          </w:tcPr>
          <w:p w14:paraId="79F3A2D0">
            <w:pPr>
              <w:pStyle w:val="111"/>
              <w:spacing w:line="240" w:lineRule="auto"/>
              <w:ind w:firstLine="0" w:firstLineChars="0"/>
              <w:jc w:val="center"/>
              <w:rPr>
                <w:color w:val="000000"/>
                <w:sz w:val="21"/>
                <w:szCs w:val="21"/>
              </w:rPr>
            </w:pPr>
            <w:r>
              <w:rPr>
                <w:rFonts w:hint="eastAsia"/>
                <w:color w:val="000000"/>
                <w:sz w:val="21"/>
                <w:szCs w:val="21"/>
              </w:rPr>
              <w:t>少量</w:t>
            </w:r>
          </w:p>
        </w:tc>
      </w:tr>
      <w:tr w14:paraId="2080E7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jc w:val="center"/>
        </w:trPr>
        <w:tc>
          <w:tcPr>
            <w:tcW w:w="9072" w:type="dxa"/>
            <w:vMerge w:val="continue"/>
            <w:tcBorders>
              <w:top w:val="single" w:color="auto" w:sz="4" w:space="0"/>
              <w:left w:val="single" w:color="auto" w:sz="4" w:space="0"/>
              <w:bottom w:val="single" w:color="auto" w:sz="4" w:space="0"/>
              <w:right w:val="single" w:color="auto" w:sz="4" w:space="0"/>
            </w:tcBorders>
            <w:vAlign w:val="center"/>
          </w:tcPr>
          <w:p w14:paraId="11716488">
            <w:pPr>
              <w:widowControl/>
              <w:spacing w:line="240" w:lineRule="auto"/>
              <w:jc w:val="left"/>
              <w:rPr>
                <w:color w:val="000000"/>
                <w:szCs w:val="21"/>
              </w:rPr>
            </w:pPr>
          </w:p>
        </w:tc>
        <w:tc>
          <w:tcPr>
            <w:tcW w:w="590" w:type="dxa"/>
            <w:vMerge w:val="continue"/>
            <w:tcBorders>
              <w:top w:val="single" w:color="auto" w:sz="4" w:space="0"/>
              <w:left w:val="single" w:color="auto" w:sz="4" w:space="0"/>
              <w:bottom w:val="single" w:color="auto" w:sz="4" w:space="0"/>
              <w:right w:val="single" w:color="auto" w:sz="4" w:space="0"/>
            </w:tcBorders>
            <w:vAlign w:val="center"/>
          </w:tcPr>
          <w:p w14:paraId="1B4C7674">
            <w:pPr>
              <w:widowControl/>
              <w:spacing w:line="240" w:lineRule="auto"/>
              <w:jc w:val="left"/>
              <w:rPr>
                <w:bCs/>
                <w:snapToGrid w:val="0"/>
                <w:kern w:val="24"/>
                <w:szCs w:val="21"/>
              </w:rPr>
            </w:pPr>
          </w:p>
        </w:tc>
        <w:tc>
          <w:tcPr>
            <w:tcW w:w="2019" w:type="dxa"/>
            <w:tcBorders>
              <w:top w:val="single" w:color="auto" w:sz="4" w:space="0"/>
              <w:left w:val="single" w:color="auto" w:sz="4" w:space="0"/>
              <w:bottom w:val="single" w:color="auto" w:sz="4" w:space="0"/>
              <w:right w:val="single" w:color="auto" w:sz="4" w:space="0"/>
            </w:tcBorders>
            <w:tcMar>
              <w:top w:w="0" w:type="dxa"/>
              <w:left w:w="28" w:type="dxa"/>
              <w:bottom w:w="0" w:type="dxa"/>
              <w:right w:w="0" w:type="dxa"/>
            </w:tcMar>
            <w:vAlign w:val="center"/>
          </w:tcPr>
          <w:p w14:paraId="56066FFA">
            <w:pPr>
              <w:spacing w:line="240" w:lineRule="auto"/>
              <w:jc w:val="center"/>
              <w:rPr>
                <w:bCs/>
                <w:snapToGrid w:val="0"/>
                <w:kern w:val="24"/>
                <w:szCs w:val="21"/>
              </w:rPr>
            </w:pPr>
            <w:r>
              <w:rPr>
                <w:rFonts w:hint="eastAsia"/>
                <w:szCs w:val="21"/>
              </w:rPr>
              <w:t>生活区食堂</w:t>
            </w:r>
          </w:p>
        </w:tc>
        <w:tc>
          <w:tcPr>
            <w:tcW w:w="1274" w:type="dxa"/>
            <w:tcBorders>
              <w:top w:val="single" w:color="auto" w:sz="4" w:space="0"/>
              <w:left w:val="single" w:color="auto" w:sz="4" w:space="0"/>
              <w:bottom w:val="single" w:color="auto" w:sz="4" w:space="0"/>
              <w:right w:val="single" w:color="auto" w:sz="4" w:space="0"/>
            </w:tcBorders>
            <w:vAlign w:val="center"/>
          </w:tcPr>
          <w:p w14:paraId="3F55C0F0">
            <w:pPr>
              <w:pStyle w:val="111"/>
              <w:spacing w:line="240" w:lineRule="auto"/>
              <w:ind w:firstLine="0" w:firstLineChars="0"/>
              <w:jc w:val="center"/>
              <w:rPr>
                <w:color w:val="000000"/>
                <w:sz w:val="21"/>
                <w:szCs w:val="21"/>
              </w:rPr>
            </w:pPr>
            <w:r>
              <w:rPr>
                <w:rFonts w:hint="eastAsia"/>
                <w:color w:val="000000"/>
                <w:sz w:val="21"/>
                <w:szCs w:val="21"/>
              </w:rPr>
              <w:t>食堂油烟</w:t>
            </w:r>
          </w:p>
        </w:tc>
        <w:tc>
          <w:tcPr>
            <w:tcW w:w="2437" w:type="dxa"/>
            <w:tcBorders>
              <w:top w:val="single" w:color="auto" w:sz="4" w:space="0"/>
              <w:left w:val="single" w:color="auto" w:sz="4" w:space="0"/>
              <w:bottom w:val="single" w:color="auto" w:sz="4" w:space="0"/>
              <w:right w:val="single" w:color="auto" w:sz="4" w:space="0"/>
            </w:tcBorders>
            <w:vAlign w:val="center"/>
          </w:tcPr>
          <w:p w14:paraId="380D789E">
            <w:pPr>
              <w:pStyle w:val="111"/>
              <w:spacing w:line="240" w:lineRule="auto"/>
              <w:ind w:firstLine="0" w:firstLineChars="0"/>
              <w:jc w:val="center"/>
              <w:rPr>
                <w:color w:val="000000"/>
                <w:sz w:val="21"/>
                <w:szCs w:val="21"/>
              </w:rPr>
            </w:pPr>
            <w:r>
              <w:rPr>
                <w:color w:val="000000"/>
                <w:sz w:val="21"/>
                <w:szCs w:val="21"/>
              </w:rPr>
              <w:t>4.82mg/m</w:t>
            </w:r>
            <w:r>
              <w:rPr>
                <w:color w:val="000000"/>
                <w:sz w:val="21"/>
                <w:szCs w:val="21"/>
                <w:vertAlign w:val="superscript"/>
              </w:rPr>
              <w:t>3</w:t>
            </w:r>
            <w:r>
              <w:rPr>
                <w:rFonts w:hint="eastAsia"/>
                <w:color w:val="000000"/>
                <w:sz w:val="21"/>
                <w:szCs w:val="21"/>
              </w:rPr>
              <w:t>，</w:t>
            </w:r>
            <w:r>
              <w:rPr>
                <w:color w:val="000000"/>
                <w:sz w:val="21"/>
                <w:szCs w:val="21"/>
              </w:rPr>
              <w:t>0.076t/a</w:t>
            </w:r>
          </w:p>
        </w:tc>
        <w:tc>
          <w:tcPr>
            <w:tcW w:w="2152" w:type="dxa"/>
            <w:tcBorders>
              <w:top w:val="single" w:color="auto" w:sz="4" w:space="0"/>
              <w:left w:val="single" w:color="auto" w:sz="4" w:space="0"/>
              <w:bottom w:val="single" w:color="auto" w:sz="4" w:space="0"/>
              <w:right w:val="single" w:color="auto" w:sz="4" w:space="0"/>
            </w:tcBorders>
            <w:vAlign w:val="center"/>
          </w:tcPr>
          <w:p w14:paraId="47F2CD21">
            <w:pPr>
              <w:pStyle w:val="111"/>
              <w:spacing w:line="240" w:lineRule="auto"/>
              <w:ind w:firstLine="0" w:firstLineChars="0"/>
              <w:jc w:val="center"/>
              <w:rPr>
                <w:color w:val="000000"/>
                <w:sz w:val="21"/>
                <w:szCs w:val="21"/>
              </w:rPr>
            </w:pPr>
            <w:r>
              <w:rPr>
                <w:color w:val="000000"/>
                <w:sz w:val="21"/>
                <w:szCs w:val="21"/>
              </w:rPr>
              <w:t>1.93mg/m</w:t>
            </w:r>
            <w:r>
              <w:rPr>
                <w:color w:val="000000"/>
                <w:sz w:val="21"/>
                <w:szCs w:val="21"/>
                <w:vertAlign w:val="superscript"/>
              </w:rPr>
              <w:t>3</w:t>
            </w:r>
            <w:r>
              <w:rPr>
                <w:rFonts w:hint="eastAsia"/>
                <w:color w:val="000000"/>
                <w:sz w:val="21"/>
                <w:szCs w:val="21"/>
              </w:rPr>
              <w:t>，</w:t>
            </w:r>
            <w:r>
              <w:rPr>
                <w:color w:val="000000"/>
                <w:sz w:val="21"/>
                <w:szCs w:val="21"/>
              </w:rPr>
              <w:t>0.030t/a</w:t>
            </w:r>
          </w:p>
        </w:tc>
      </w:tr>
      <w:tr w14:paraId="67929A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9072" w:type="dxa"/>
            <w:vMerge w:val="continue"/>
            <w:tcBorders>
              <w:top w:val="single" w:color="auto" w:sz="4" w:space="0"/>
              <w:left w:val="single" w:color="auto" w:sz="4" w:space="0"/>
              <w:bottom w:val="single" w:color="auto" w:sz="4" w:space="0"/>
              <w:right w:val="single" w:color="auto" w:sz="4" w:space="0"/>
            </w:tcBorders>
            <w:vAlign w:val="center"/>
          </w:tcPr>
          <w:p w14:paraId="56A798AF">
            <w:pPr>
              <w:widowControl/>
              <w:spacing w:line="240" w:lineRule="auto"/>
              <w:jc w:val="left"/>
              <w:rPr>
                <w:color w:val="000000"/>
                <w:szCs w:val="21"/>
              </w:rPr>
            </w:pPr>
          </w:p>
        </w:tc>
        <w:tc>
          <w:tcPr>
            <w:tcW w:w="590" w:type="dxa"/>
            <w:vMerge w:val="restart"/>
            <w:tcBorders>
              <w:top w:val="single" w:color="auto" w:sz="4" w:space="0"/>
              <w:left w:val="single" w:color="auto" w:sz="4" w:space="0"/>
              <w:bottom w:val="single" w:color="auto" w:sz="4" w:space="0"/>
              <w:right w:val="single" w:color="auto" w:sz="4" w:space="0"/>
            </w:tcBorders>
            <w:vAlign w:val="center"/>
          </w:tcPr>
          <w:p w14:paraId="6F37E8C1">
            <w:pPr>
              <w:spacing w:line="240" w:lineRule="auto"/>
              <w:jc w:val="center"/>
              <w:rPr>
                <w:bCs/>
                <w:snapToGrid w:val="0"/>
                <w:kern w:val="24"/>
                <w:szCs w:val="21"/>
              </w:rPr>
            </w:pPr>
            <w:r>
              <w:rPr>
                <w:rFonts w:hint="eastAsia"/>
                <w:bCs/>
                <w:snapToGrid w:val="0"/>
                <w:kern w:val="24"/>
                <w:szCs w:val="21"/>
              </w:rPr>
              <w:t>运行期</w:t>
            </w:r>
          </w:p>
        </w:tc>
        <w:tc>
          <w:tcPr>
            <w:tcW w:w="2019" w:type="dxa"/>
            <w:tcBorders>
              <w:top w:val="single" w:color="auto" w:sz="4" w:space="0"/>
              <w:left w:val="single" w:color="auto" w:sz="4" w:space="0"/>
              <w:bottom w:val="single" w:color="auto" w:sz="4" w:space="0"/>
              <w:right w:val="single" w:color="auto" w:sz="4" w:space="0"/>
            </w:tcBorders>
            <w:tcMar>
              <w:top w:w="0" w:type="dxa"/>
              <w:left w:w="28" w:type="dxa"/>
              <w:bottom w:w="0" w:type="dxa"/>
              <w:right w:w="0" w:type="dxa"/>
            </w:tcMar>
            <w:vAlign w:val="center"/>
          </w:tcPr>
          <w:p w14:paraId="4B0AF7FB">
            <w:pPr>
              <w:spacing w:line="240" w:lineRule="auto"/>
              <w:jc w:val="center"/>
              <w:rPr>
                <w:bCs/>
                <w:snapToGrid w:val="0"/>
                <w:kern w:val="24"/>
                <w:szCs w:val="21"/>
              </w:rPr>
            </w:pPr>
            <w:r>
              <w:rPr>
                <w:rFonts w:hint="eastAsia"/>
                <w:szCs w:val="21"/>
              </w:rPr>
              <w:t>升压站食堂</w:t>
            </w:r>
          </w:p>
        </w:tc>
        <w:tc>
          <w:tcPr>
            <w:tcW w:w="1274" w:type="dxa"/>
            <w:tcBorders>
              <w:top w:val="single" w:color="auto" w:sz="4" w:space="0"/>
              <w:left w:val="single" w:color="auto" w:sz="4" w:space="0"/>
              <w:bottom w:val="single" w:color="auto" w:sz="4" w:space="0"/>
              <w:right w:val="single" w:color="auto" w:sz="4" w:space="0"/>
            </w:tcBorders>
            <w:vAlign w:val="center"/>
          </w:tcPr>
          <w:p w14:paraId="6C0A0F31">
            <w:pPr>
              <w:spacing w:line="240" w:lineRule="auto"/>
              <w:ind w:left="-50" w:right="-50"/>
              <w:jc w:val="center"/>
              <w:rPr>
                <w:color w:val="000000"/>
                <w:szCs w:val="21"/>
              </w:rPr>
            </w:pPr>
            <w:r>
              <w:rPr>
                <w:rFonts w:hint="eastAsia"/>
                <w:color w:val="000000"/>
                <w:szCs w:val="21"/>
              </w:rPr>
              <w:t>食堂油烟</w:t>
            </w:r>
          </w:p>
        </w:tc>
        <w:tc>
          <w:tcPr>
            <w:tcW w:w="2437" w:type="dxa"/>
            <w:tcBorders>
              <w:top w:val="single" w:color="auto" w:sz="4" w:space="0"/>
              <w:left w:val="single" w:color="auto" w:sz="4" w:space="0"/>
              <w:bottom w:val="single" w:color="auto" w:sz="4" w:space="0"/>
              <w:right w:val="single" w:color="auto" w:sz="4" w:space="0"/>
            </w:tcBorders>
            <w:vAlign w:val="center"/>
          </w:tcPr>
          <w:p w14:paraId="7E21169B">
            <w:pPr>
              <w:pStyle w:val="111"/>
              <w:spacing w:line="240" w:lineRule="auto"/>
              <w:ind w:firstLine="0" w:firstLineChars="0"/>
              <w:jc w:val="center"/>
              <w:rPr>
                <w:color w:val="000000"/>
                <w:sz w:val="21"/>
                <w:szCs w:val="21"/>
              </w:rPr>
            </w:pPr>
            <w:r>
              <w:rPr>
                <w:color w:val="000000"/>
                <w:sz w:val="21"/>
                <w:szCs w:val="21"/>
              </w:rPr>
              <w:t>4.50mg/m</w:t>
            </w:r>
            <w:r>
              <w:rPr>
                <w:color w:val="000000"/>
                <w:sz w:val="21"/>
                <w:szCs w:val="21"/>
                <w:vertAlign w:val="superscript"/>
              </w:rPr>
              <w:t>3</w:t>
            </w:r>
            <w:r>
              <w:rPr>
                <w:rFonts w:hint="eastAsia"/>
                <w:color w:val="000000"/>
                <w:sz w:val="21"/>
                <w:szCs w:val="21"/>
              </w:rPr>
              <w:t>，</w:t>
            </w:r>
            <w:r>
              <w:rPr>
                <w:color w:val="000000"/>
                <w:sz w:val="21"/>
                <w:szCs w:val="21"/>
              </w:rPr>
              <w:t>0.010t/a</w:t>
            </w:r>
          </w:p>
        </w:tc>
        <w:tc>
          <w:tcPr>
            <w:tcW w:w="2152" w:type="dxa"/>
            <w:tcBorders>
              <w:top w:val="single" w:color="auto" w:sz="4" w:space="0"/>
              <w:left w:val="single" w:color="auto" w:sz="4" w:space="0"/>
              <w:bottom w:val="single" w:color="auto" w:sz="4" w:space="0"/>
              <w:right w:val="single" w:color="auto" w:sz="4" w:space="0"/>
            </w:tcBorders>
            <w:vAlign w:val="center"/>
          </w:tcPr>
          <w:p w14:paraId="43883BC9">
            <w:pPr>
              <w:pStyle w:val="111"/>
              <w:spacing w:line="240" w:lineRule="auto"/>
              <w:ind w:firstLine="0" w:firstLineChars="0"/>
              <w:jc w:val="center"/>
              <w:rPr>
                <w:color w:val="000000"/>
                <w:sz w:val="21"/>
                <w:szCs w:val="21"/>
              </w:rPr>
            </w:pPr>
            <w:r>
              <w:rPr>
                <w:color w:val="000000"/>
                <w:sz w:val="21"/>
                <w:szCs w:val="21"/>
              </w:rPr>
              <w:t>1.80mg/m</w:t>
            </w:r>
            <w:r>
              <w:rPr>
                <w:color w:val="000000"/>
                <w:sz w:val="21"/>
                <w:szCs w:val="21"/>
                <w:vertAlign w:val="superscript"/>
              </w:rPr>
              <w:t>3</w:t>
            </w:r>
            <w:r>
              <w:rPr>
                <w:rFonts w:hint="eastAsia"/>
                <w:color w:val="000000"/>
                <w:sz w:val="21"/>
                <w:szCs w:val="21"/>
              </w:rPr>
              <w:t>，</w:t>
            </w:r>
            <w:r>
              <w:rPr>
                <w:color w:val="000000"/>
                <w:sz w:val="21"/>
                <w:szCs w:val="21"/>
              </w:rPr>
              <w:t>0.004t/a</w:t>
            </w:r>
          </w:p>
        </w:tc>
      </w:tr>
      <w:tr w14:paraId="1C98DE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9072" w:type="dxa"/>
            <w:vMerge w:val="continue"/>
            <w:tcBorders>
              <w:top w:val="single" w:color="auto" w:sz="4" w:space="0"/>
              <w:left w:val="single" w:color="auto" w:sz="4" w:space="0"/>
              <w:bottom w:val="single" w:color="auto" w:sz="4" w:space="0"/>
              <w:right w:val="single" w:color="auto" w:sz="4" w:space="0"/>
            </w:tcBorders>
            <w:vAlign w:val="center"/>
          </w:tcPr>
          <w:p w14:paraId="142BE83C">
            <w:pPr>
              <w:widowControl/>
              <w:spacing w:line="240" w:lineRule="auto"/>
              <w:jc w:val="left"/>
              <w:rPr>
                <w:color w:val="000000"/>
                <w:szCs w:val="21"/>
              </w:rPr>
            </w:pPr>
          </w:p>
        </w:tc>
        <w:tc>
          <w:tcPr>
            <w:tcW w:w="590" w:type="dxa"/>
            <w:vMerge w:val="continue"/>
            <w:tcBorders>
              <w:top w:val="single" w:color="auto" w:sz="4" w:space="0"/>
              <w:left w:val="single" w:color="auto" w:sz="4" w:space="0"/>
              <w:bottom w:val="single" w:color="auto" w:sz="4" w:space="0"/>
              <w:right w:val="single" w:color="auto" w:sz="4" w:space="0"/>
            </w:tcBorders>
            <w:vAlign w:val="center"/>
          </w:tcPr>
          <w:p w14:paraId="0F6793F4">
            <w:pPr>
              <w:widowControl/>
              <w:spacing w:line="240" w:lineRule="auto"/>
              <w:jc w:val="left"/>
              <w:rPr>
                <w:bCs/>
                <w:snapToGrid w:val="0"/>
                <w:kern w:val="24"/>
                <w:szCs w:val="21"/>
              </w:rPr>
            </w:pPr>
          </w:p>
        </w:tc>
        <w:tc>
          <w:tcPr>
            <w:tcW w:w="2019" w:type="dxa"/>
            <w:tcBorders>
              <w:top w:val="single" w:color="auto" w:sz="4" w:space="0"/>
              <w:left w:val="single" w:color="auto" w:sz="4" w:space="0"/>
              <w:bottom w:val="single" w:color="auto" w:sz="4" w:space="0"/>
              <w:right w:val="single" w:color="auto" w:sz="4" w:space="0"/>
            </w:tcBorders>
            <w:tcMar>
              <w:top w:w="0" w:type="dxa"/>
              <w:left w:w="28" w:type="dxa"/>
              <w:bottom w:w="0" w:type="dxa"/>
              <w:right w:w="0" w:type="dxa"/>
            </w:tcMar>
            <w:vAlign w:val="center"/>
          </w:tcPr>
          <w:p w14:paraId="05047BAA">
            <w:pPr>
              <w:spacing w:line="240" w:lineRule="auto"/>
              <w:jc w:val="center"/>
              <w:rPr>
                <w:color w:val="000000"/>
                <w:szCs w:val="21"/>
              </w:rPr>
            </w:pPr>
            <w:r>
              <w:rPr>
                <w:rFonts w:hint="eastAsia"/>
                <w:szCs w:val="21"/>
              </w:rPr>
              <w:t>检修道路</w:t>
            </w:r>
          </w:p>
        </w:tc>
        <w:tc>
          <w:tcPr>
            <w:tcW w:w="1274" w:type="dxa"/>
            <w:tcBorders>
              <w:top w:val="single" w:color="auto" w:sz="4" w:space="0"/>
              <w:left w:val="single" w:color="auto" w:sz="4" w:space="0"/>
              <w:bottom w:val="single" w:color="auto" w:sz="4" w:space="0"/>
              <w:right w:val="single" w:color="auto" w:sz="4" w:space="0"/>
            </w:tcBorders>
            <w:vAlign w:val="center"/>
          </w:tcPr>
          <w:p w14:paraId="75A9F85A">
            <w:pPr>
              <w:spacing w:line="240" w:lineRule="auto"/>
              <w:ind w:left="-50" w:right="-50"/>
              <w:jc w:val="center"/>
              <w:rPr>
                <w:szCs w:val="21"/>
              </w:rPr>
            </w:pPr>
            <w:r>
              <w:rPr>
                <w:rFonts w:hint="eastAsia"/>
                <w:szCs w:val="21"/>
              </w:rPr>
              <w:t>道路扬尘</w:t>
            </w:r>
          </w:p>
        </w:tc>
        <w:tc>
          <w:tcPr>
            <w:tcW w:w="2437" w:type="dxa"/>
            <w:tcBorders>
              <w:top w:val="single" w:color="auto" w:sz="4" w:space="0"/>
              <w:left w:val="single" w:color="auto" w:sz="4" w:space="0"/>
              <w:bottom w:val="single" w:color="auto" w:sz="4" w:space="0"/>
              <w:right w:val="single" w:color="auto" w:sz="4" w:space="0"/>
            </w:tcBorders>
            <w:vAlign w:val="center"/>
          </w:tcPr>
          <w:p w14:paraId="4D29B07B">
            <w:pPr>
              <w:pStyle w:val="111"/>
              <w:spacing w:line="240" w:lineRule="auto"/>
              <w:ind w:firstLine="0" w:firstLineChars="0"/>
              <w:jc w:val="center"/>
              <w:rPr>
                <w:color w:val="000000"/>
                <w:sz w:val="21"/>
                <w:szCs w:val="21"/>
              </w:rPr>
            </w:pPr>
            <w:r>
              <w:rPr>
                <w:rFonts w:hint="eastAsia"/>
                <w:color w:val="000000"/>
                <w:sz w:val="21"/>
                <w:szCs w:val="21"/>
              </w:rPr>
              <w:t>少量</w:t>
            </w:r>
          </w:p>
        </w:tc>
        <w:tc>
          <w:tcPr>
            <w:tcW w:w="2152" w:type="dxa"/>
            <w:tcBorders>
              <w:top w:val="single" w:color="auto" w:sz="4" w:space="0"/>
              <w:left w:val="single" w:color="auto" w:sz="4" w:space="0"/>
              <w:bottom w:val="single" w:color="auto" w:sz="4" w:space="0"/>
              <w:right w:val="single" w:color="auto" w:sz="4" w:space="0"/>
            </w:tcBorders>
            <w:vAlign w:val="center"/>
          </w:tcPr>
          <w:p w14:paraId="2507E48F">
            <w:pPr>
              <w:pStyle w:val="111"/>
              <w:spacing w:line="240" w:lineRule="auto"/>
              <w:ind w:firstLine="0" w:firstLineChars="0"/>
              <w:jc w:val="center"/>
              <w:rPr>
                <w:color w:val="000000"/>
                <w:sz w:val="21"/>
                <w:szCs w:val="21"/>
              </w:rPr>
            </w:pPr>
            <w:r>
              <w:rPr>
                <w:rFonts w:hint="eastAsia"/>
                <w:color w:val="000000"/>
                <w:sz w:val="21"/>
                <w:szCs w:val="21"/>
              </w:rPr>
              <w:t>少量</w:t>
            </w:r>
          </w:p>
        </w:tc>
      </w:tr>
      <w:tr w14:paraId="256EC3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6" w:hRule="atLeast"/>
          <w:jc w:val="center"/>
        </w:trPr>
        <w:tc>
          <w:tcPr>
            <w:tcW w:w="600" w:type="dxa"/>
            <w:vMerge w:val="restart"/>
            <w:tcBorders>
              <w:top w:val="single" w:color="auto" w:sz="4" w:space="0"/>
              <w:left w:val="single" w:color="auto" w:sz="4" w:space="0"/>
              <w:bottom w:val="single" w:color="auto" w:sz="4" w:space="0"/>
              <w:right w:val="single" w:color="auto" w:sz="4" w:space="0"/>
            </w:tcBorders>
            <w:vAlign w:val="center"/>
          </w:tcPr>
          <w:p w14:paraId="1462E169">
            <w:pPr>
              <w:spacing w:line="400" w:lineRule="exact"/>
              <w:jc w:val="center"/>
              <w:rPr>
                <w:color w:val="000000"/>
                <w:sz w:val="28"/>
                <w:szCs w:val="28"/>
              </w:rPr>
            </w:pPr>
            <w:r>
              <w:rPr>
                <w:rFonts w:hint="eastAsia"/>
                <w:color w:val="000000"/>
                <w:sz w:val="28"/>
                <w:szCs w:val="28"/>
              </w:rPr>
              <w:t>水</w:t>
            </w:r>
          </w:p>
          <w:p w14:paraId="7EE77FB9">
            <w:pPr>
              <w:spacing w:line="400" w:lineRule="exact"/>
              <w:jc w:val="center"/>
              <w:rPr>
                <w:color w:val="000000"/>
                <w:sz w:val="28"/>
                <w:szCs w:val="28"/>
              </w:rPr>
            </w:pPr>
            <w:r>
              <w:rPr>
                <w:rFonts w:hint="eastAsia"/>
                <w:color w:val="000000"/>
                <w:sz w:val="28"/>
                <w:szCs w:val="28"/>
              </w:rPr>
              <w:t>污</w:t>
            </w:r>
          </w:p>
          <w:p w14:paraId="07A8F602">
            <w:pPr>
              <w:spacing w:line="400" w:lineRule="exact"/>
              <w:jc w:val="center"/>
              <w:rPr>
                <w:color w:val="000000"/>
                <w:sz w:val="28"/>
                <w:szCs w:val="28"/>
              </w:rPr>
            </w:pPr>
            <w:r>
              <w:rPr>
                <w:rFonts w:hint="eastAsia"/>
                <w:color w:val="000000"/>
                <w:sz w:val="28"/>
                <w:szCs w:val="28"/>
              </w:rPr>
              <w:t>染</w:t>
            </w:r>
          </w:p>
          <w:p w14:paraId="2C7547FB">
            <w:pPr>
              <w:spacing w:line="240" w:lineRule="auto"/>
              <w:jc w:val="center"/>
              <w:rPr>
                <w:color w:val="000000"/>
                <w:szCs w:val="21"/>
              </w:rPr>
            </w:pPr>
            <w:r>
              <w:rPr>
                <w:rFonts w:hint="eastAsia"/>
                <w:color w:val="000000"/>
                <w:sz w:val="28"/>
                <w:szCs w:val="28"/>
              </w:rPr>
              <w:t>物</w:t>
            </w:r>
          </w:p>
        </w:tc>
        <w:tc>
          <w:tcPr>
            <w:tcW w:w="590" w:type="dxa"/>
            <w:vMerge w:val="restart"/>
            <w:tcBorders>
              <w:top w:val="single" w:color="auto" w:sz="4" w:space="0"/>
              <w:left w:val="single" w:color="auto" w:sz="4" w:space="0"/>
              <w:bottom w:val="single" w:color="auto" w:sz="4" w:space="0"/>
              <w:right w:val="single" w:color="auto" w:sz="4" w:space="0"/>
            </w:tcBorders>
            <w:vAlign w:val="center"/>
          </w:tcPr>
          <w:p w14:paraId="104C3E54">
            <w:pPr>
              <w:spacing w:line="240" w:lineRule="auto"/>
              <w:jc w:val="center"/>
              <w:rPr>
                <w:color w:val="000000"/>
                <w:szCs w:val="21"/>
              </w:rPr>
            </w:pPr>
            <w:r>
              <w:rPr>
                <w:rFonts w:hint="eastAsia"/>
                <w:color w:val="000000"/>
                <w:szCs w:val="21"/>
              </w:rPr>
              <w:t>施工期</w:t>
            </w:r>
          </w:p>
        </w:tc>
        <w:tc>
          <w:tcPr>
            <w:tcW w:w="2019" w:type="dxa"/>
            <w:tcBorders>
              <w:top w:val="single" w:color="auto" w:sz="4" w:space="0"/>
              <w:left w:val="single" w:color="auto" w:sz="4" w:space="0"/>
              <w:bottom w:val="single" w:color="auto" w:sz="4" w:space="0"/>
              <w:right w:val="single" w:color="auto" w:sz="4" w:space="0"/>
            </w:tcBorders>
            <w:tcMar>
              <w:top w:w="0" w:type="dxa"/>
              <w:left w:w="28" w:type="dxa"/>
              <w:bottom w:w="0" w:type="dxa"/>
              <w:right w:w="0" w:type="dxa"/>
            </w:tcMar>
            <w:vAlign w:val="center"/>
          </w:tcPr>
          <w:p w14:paraId="07CE1E8E">
            <w:pPr>
              <w:jc w:val="center"/>
              <w:rPr>
                <w:color w:val="000000"/>
                <w:szCs w:val="21"/>
              </w:rPr>
            </w:pPr>
            <w:r>
              <w:rPr>
                <w:rFonts w:hint="eastAsia"/>
                <w:color w:val="000000"/>
                <w:szCs w:val="21"/>
              </w:rPr>
              <w:t>生活污水</w:t>
            </w:r>
          </w:p>
        </w:tc>
        <w:tc>
          <w:tcPr>
            <w:tcW w:w="1274" w:type="dxa"/>
            <w:tcBorders>
              <w:top w:val="single" w:color="auto" w:sz="4" w:space="0"/>
              <w:left w:val="single" w:color="auto" w:sz="4" w:space="0"/>
              <w:bottom w:val="single" w:color="auto" w:sz="4" w:space="0"/>
              <w:right w:val="single" w:color="auto" w:sz="4" w:space="0"/>
            </w:tcBorders>
            <w:vAlign w:val="center"/>
          </w:tcPr>
          <w:p w14:paraId="61527209">
            <w:pPr>
              <w:spacing w:line="240" w:lineRule="auto"/>
              <w:rPr>
                <w:color w:val="000000"/>
                <w:szCs w:val="21"/>
              </w:rPr>
            </w:pPr>
          </w:p>
          <w:p w14:paraId="750F83A0">
            <w:pPr>
              <w:spacing w:line="240" w:lineRule="auto"/>
              <w:rPr>
                <w:color w:val="000000"/>
                <w:szCs w:val="21"/>
              </w:rPr>
            </w:pPr>
            <w:r>
              <w:rPr>
                <w:color w:val="000000"/>
                <w:szCs w:val="21"/>
              </w:rPr>
              <w:t>COD</w:t>
            </w:r>
            <w:r>
              <w:rPr>
                <w:color w:val="000000"/>
                <w:szCs w:val="21"/>
                <w:vertAlign w:val="subscript"/>
              </w:rPr>
              <w:t>cr</w:t>
            </w:r>
          </w:p>
          <w:p w14:paraId="09972C89">
            <w:pPr>
              <w:spacing w:line="240" w:lineRule="auto"/>
              <w:rPr>
                <w:color w:val="000000"/>
                <w:szCs w:val="21"/>
              </w:rPr>
            </w:pPr>
            <w:r>
              <w:rPr>
                <w:color w:val="000000"/>
                <w:szCs w:val="21"/>
              </w:rPr>
              <w:t>BOD</w:t>
            </w:r>
            <w:r>
              <w:rPr>
                <w:color w:val="000000"/>
                <w:szCs w:val="21"/>
                <w:vertAlign w:val="subscript"/>
              </w:rPr>
              <w:t>5</w:t>
            </w:r>
          </w:p>
          <w:p w14:paraId="339445C8">
            <w:pPr>
              <w:spacing w:line="240" w:lineRule="auto"/>
              <w:rPr>
                <w:color w:val="000000"/>
                <w:szCs w:val="21"/>
              </w:rPr>
            </w:pPr>
            <w:r>
              <w:rPr>
                <w:color w:val="000000"/>
                <w:szCs w:val="21"/>
              </w:rPr>
              <w:t>SS</w:t>
            </w:r>
          </w:p>
          <w:p w14:paraId="3E6DE36C">
            <w:pPr>
              <w:spacing w:line="240" w:lineRule="auto"/>
              <w:rPr>
                <w:color w:val="000000"/>
                <w:szCs w:val="21"/>
              </w:rPr>
            </w:pPr>
            <w:r>
              <w:rPr>
                <w:color w:val="000000"/>
                <w:szCs w:val="21"/>
              </w:rPr>
              <w:t>NH</w:t>
            </w:r>
            <w:r>
              <w:rPr>
                <w:color w:val="000000"/>
                <w:szCs w:val="21"/>
                <w:vertAlign w:val="subscript"/>
              </w:rPr>
              <w:t>3</w:t>
            </w:r>
            <w:r>
              <w:rPr>
                <w:color w:val="000000"/>
                <w:szCs w:val="21"/>
              </w:rPr>
              <w:t>-N</w:t>
            </w:r>
          </w:p>
        </w:tc>
        <w:tc>
          <w:tcPr>
            <w:tcW w:w="2437" w:type="dxa"/>
            <w:tcBorders>
              <w:top w:val="single" w:color="auto" w:sz="4" w:space="0"/>
              <w:left w:val="single" w:color="auto" w:sz="4" w:space="0"/>
              <w:bottom w:val="single" w:color="auto" w:sz="4" w:space="0"/>
              <w:right w:val="single" w:color="auto" w:sz="4" w:space="0"/>
            </w:tcBorders>
            <w:vAlign w:val="center"/>
          </w:tcPr>
          <w:p w14:paraId="4F11DBBB">
            <w:pPr>
              <w:spacing w:line="240" w:lineRule="auto"/>
              <w:ind w:firstLine="105" w:firstLineChars="50"/>
              <w:rPr>
                <w:szCs w:val="21"/>
              </w:rPr>
            </w:pPr>
            <w:r>
              <w:rPr>
                <w:rFonts w:hint="eastAsia"/>
                <w:szCs w:val="21"/>
              </w:rPr>
              <w:t>污水产生量</w:t>
            </w:r>
            <w:r>
              <w:rPr>
                <w:szCs w:val="21"/>
              </w:rPr>
              <w:t>3888t</w:t>
            </w:r>
          </w:p>
          <w:p w14:paraId="624D2FE4">
            <w:pPr>
              <w:spacing w:line="240" w:lineRule="auto"/>
              <w:ind w:firstLine="210" w:firstLineChars="100"/>
              <w:rPr>
                <w:szCs w:val="21"/>
              </w:rPr>
            </w:pPr>
            <w:r>
              <w:rPr>
                <w:szCs w:val="21"/>
              </w:rPr>
              <w:t>350mg/L</w:t>
            </w:r>
            <w:r>
              <w:rPr>
                <w:rFonts w:hint="eastAsia"/>
                <w:szCs w:val="21"/>
              </w:rPr>
              <w:t>，</w:t>
            </w:r>
            <w:r>
              <w:rPr>
                <w:szCs w:val="21"/>
              </w:rPr>
              <w:t>1.361</w:t>
            </w:r>
            <w:r>
              <w:rPr>
                <w:bCs/>
                <w:szCs w:val="21"/>
              </w:rPr>
              <w:t>t</w:t>
            </w:r>
          </w:p>
          <w:p w14:paraId="106623BA">
            <w:pPr>
              <w:spacing w:line="240" w:lineRule="auto"/>
              <w:ind w:firstLine="210" w:firstLineChars="100"/>
              <w:rPr>
                <w:szCs w:val="21"/>
              </w:rPr>
            </w:pPr>
            <w:r>
              <w:rPr>
                <w:szCs w:val="21"/>
              </w:rPr>
              <w:t>200mg/L</w:t>
            </w:r>
            <w:r>
              <w:rPr>
                <w:rFonts w:hint="eastAsia"/>
                <w:szCs w:val="21"/>
              </w:rPr>
              <w:t>，</w:t>
            </w:r>
            <w:r>
              <w:rPr>
                <w:szCs w:val="21"/>
              </w:rPr>
              <w:t>0.778</w:t>
            </w:r>
            <w:r>
              <w:rPr>
                <w:bCs/>
                <w:szCs w:val="21"/>
              </w:rPr>
              <w:t>t</w:t>
            </w:r>
          </w:p>
          <w:p w14:paraId="0250B365">
            <w:pPr>
              <w:pStyle w:val="71"/>
              <w:ind w:firstLine="210" w:firstLineChars="100"/>
              <w:jc w:val="both"/>
            </w:pPr>
            <w:r>
              <w:t>250mg/L</w:t>
            </w:r>
            <w:r>
              <w:rPr>
                <w:rFonts w:hint="eastAsia"/>
              </w:rPr>
              <w:t>，</w:t>
            </w:r>
            <w:r>
              <w:t>0.972</w:t>
            </w:r>
            <w:r>
              <w:rPr>
                <w:bCs/>
              </w:rPr>
              <w:t>t</w:t>
            </w:r>
          </w:p>
          <w:p w14:paraId="20BAB13F">
            <w:pPr>
              <w:spacing w:line="240" w:lineRule="auto"/>
              <w:ind w:firstLine="315" w:firstLineChars="150"/>
              <w:rPr>
                <w:color w:val="000000"/>
                <w:szCs w:val="21"/>
              </w:rPr>
            </w:pPr>
            <w:r>
              <w:rPr>
                <w:szCs w:val="21"/>
              </w:rPr>
              <w:t>30mg/L</w:t>
            </w:r>
            <w:r>
              <w:rPr>
                <w:rFonts w:hint="eastAsia"/>
                <w:szCs w:val="21"/>
              </w:rPr>
              <w:t>，</w:t>
            </w:r>
            <w:r>
              <w:rPr>
                <w:szCs w:val="21"/>
              </w:rPr>
              <w:t>0.117</w:t>
            </w:r>
            <w:r>
              <w:rPr>
                <w:bCs/>
                <w:szCs w:val="21"/>
              </w:rPr>
              <w:t>t</w:t>
            </w:r>
          </w:p>
        </w:tc>
        <w:tc>
          <w:tcPr>
            <w:tcW w:w="2152" w:type="dxa"/>
            <w:tcBorders>
              <w:top w:val="single" w:color="auto" w:sz="4" w:space="0"/>
              <w:left w:val="single" w:color="auto" w:sz="4" w:space="0"/>
              <w:bottom w:val="single" w:color="auto" w:sz="4" w:space="0"/>
              <w:right w:val="single" w:color="auto" w:sz="4" w:space="0"/>
            </w:tcBorders>
            <w:vAlign w:val="center"/>
          </w:tcPr>
          <w:p w14:paraId="1E68791A">
            <w:pPr>
              <w:pStyle w:val="111"/>
              <w:spacing w:line="240" w:lineRule="auto"/>
              <w:ind w:firstLine="0" w:firstLineChars="0"/>
              <w:rPr>
                <w:color w:val="000000"/>
                <w:szCs w:val="21"/>
              </w:rPr>
            </w:pPr>
            <w:r>
              <w:rPr>
                <w:rFonts w:hint="eastAsia"/>
                <w:color w:val="000000"/>
                <w:sz w:val="21"/>
                <w:szCs w:val="21"/>
              </w:rPr>
              <w:t>经化粪池处理后委托环卫部门定期清掏处理</w:t>
            </w:r>
          </w:p>
        </w:tc>
      </w:tr>
      <w:tr w14:paraId="170410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9" w:hRule="atLeast"/>
          <w:jc w:val="center"/>
        </w:trPr>
        <w:tc>
          <w:tcPr>
            <w:tcW w:w="9072" w:type="dxa"/>
            <w:vMerge w:val="continue"/>
            <w:tcBorders>
              <w:top w:val="single" w:color="auto" w:sz="4" w:space="0"/>
              <w:left w:val="single" w:color="auto" w:sz="4" w:space="0"/>
              <w:bottom w:val="single" w:color="auto" w:sz="4" w:space="0"/>
              <w:right w:val="single" w:color="auto" w:sz="4" w:space="0"/>
            </w:tcBorders>
            <w:vAlign w:val="center"/>
          </w:tcPr>
          <w:p w14:paraId="29ED84C7">
            <w:pPr>
              <w:widowControl/>
              <w:spacing w:line="240" w:lineRule="auto"/>
              <w:jc w:val="left"/>
              <w:rPr>
                <w:color w:val="000000"/>
                <w:szCs w:val="21"/>
              </w:rPr>
            </w:pPr>
          </w:p>
        </w:tc>
        <w:tc>
          <w:tcPr>
            <w:tcW w:w="590" w:type="dxa"/>
            <w:vMerge w:val="continue"/>
            <w:tcBorders>
              <w:top w:val="single" w:color="auto" w:sz="4" w:space="0"/>
              <w:left w:val="single" w:color="auto" w:sz="4" w:space="0"/>
              <w:bottom w:val="single" w:color="auto" w:sz="4" w:space="0"/>
              <w:right w:val="single" w:color="auto" w:sz="4" w:space="0"/>
            </w:tcBorders>
            <w:vAlign w:val="center"/>
          </w:tcPr>
          <w:p w14:paraId="2E14C0FB">
            <w:pPr>
              <w:widowControl/>
              <w:spacing w:line="240" w:lineRule="auto"/>
              <w:jc w:val="left"/>
              <w:rPr>
                <w:color w:val="000000"/>
                <w:szCs w:val="21"/>
              </w:rPr>
            </w:pPr>
          </w:p>
        </w:tc>
        <w:tc>
          <w:tcPr>
            <w:tcW w:w="2019" w:type="dxa"/>
            <w:tcBorders>
              <w:top w:val="single" w:color="auto" w:sz="4" w:space="0"/>
              <w:left w:val="single" w:color="auto" w:sz="4" w:space="0"/>
              <w:bottom w:val="single" w:color="auto" w:sz="4" w:space="0"/>
              <w:right w:val="single" w:color="auto" w:sz="4" w:space="0"/>
            </w:tcBorders>
            <w:tcMar>
              <w:top w:w="0" w:type="dxa"/>
              <w:left w:w="28" w:type="dxa"/>
              <w:bottom w:w="0" w:type="dxa"/>
              <w:right w:w="0" w:type="dxa"/>
            </w:tcMar>
            <w:vAlign w:val="center"/>
          </w:tcPr>
          <w:p w14:paraId="259FB310">
            <w:pPr>
              <w:jc w:val="center"/>
              <w:rPr>
                <w:color w:val="000000"/>
                <w:szCs w:val="21"/>
              </w:rPr>
            </w:pPr>
            <w:r>
              <w:rPr>
                <w:rFonts w:hint="eastAsia"/>
                <w:color w:val="000000"/>
                <w:szCs w:val="21"/>
              </w:rPr>
              <w:t>施工废水</w:t>
            </w:r>
          </w:p>
        </w:tc>
        <w:tc>
          <w:tcPr>
            <w:tcW w:w="1274" w:type="dxa"/>
            <w:tcBorders>
              <w:top w:val="single" w:color="auto" w:sz="4" w:space="0"/>
              <w:left w:val="single" w:color="auto" w:sz="4" w:space="0"/>
              <w:bottom w:val="single" w:color="auto" w:sz="4" w:space="0"/>
              <w:right w:val="single" w:color="auto" w:sz="4" w:space="0"/>
            </w:tcBorders>
            <w:vAlign w:val="center"/>
          </w:tcPr>
          <w:p w14:paraId="631FD2FA">
            <w:pPr>
              <w:spacing w:line="240" w:lineRule="auto"/>
              <w:jc w:val="center"/>
              <w:rPr>
                <w:color w:val="000000"/>
                <w:szCs w:val="21"/>
              </w:rPr>
            </w:pPr>
            <w:r>
              <w:rPr>
                <w:color w:val="000000"/>
                <w:szCs w:val="21"/>
              </w:rPr>
              <w:t>SS</w:t>
            </w:r>
          </w:p>
        </w:tc>
        <w:tc>
          <w:tcPr>
            <w:tcW w:w="2437" w:type="dxa"/>
            <w:tcBorders>
              <w:top w:val="single" w:color="auto" w:sz="4" w:space="0"/>
              <w:left w:val="single" w:color="auto" w:sz="4" w:space="0"/>
              <w:bottom w:val="single" w:color="auto" w:sz="4" w:space="0"/>
              <w:right w:val="single" w:color="auto" w:sz="4" w:space="0"/>
            </w:tcBorders>
            <w:vAlign w:val="center"/>
          </w:tcPr>
          <w:p w14:paraId="29C845F8">
            <w:pPr>
              <w:spacing w:line="240" w:lineRule="auto"/>
              <w:ind w:firstLine="105" w:firstLineChars="50"/>
              <w:jc w:val="center"/>
              <w:rPr>
                <w:color w:val="000000"/>
                <w:szCs w:val="21"/>
              </w:rPr>
            </w:pPr>
            <w:r>
              <w:rPr>
                <w:rFonts w:hint="eastAsia"/>
                <w:color w:val="000000"/>
                <w:szCs w:val="21"/>
              </w:rPr>
              <w:t>少量</w:t>
            </w:r>
          </w:p>
        </w:tc>
        <w:tc>
          <w:tcPr>
            <w:tcW w:w="2152" w:type="dxa"/>
            <w:tcBorders>
              <w:top w:val="single" w:color="auto" w:sz="4" w:space="0"/>
              <w:left w:val="single" w:color="auto" w:sz="4" w:space="0"/>
              <w:bottom w:val="single" w:color="auto" w:sz="4" w:space="0"/>
              <w:right w:val="single" w:color="auto" w:sz="4" w:space="0"/>
            </w:tcBorders>
            <w:vAlign w:val="center"/>
          </w:tcPr>
          <w:p w14:paraId="6FE0CB82">
            <w:pPr>
              <w:spacing w:line="240" w:lineRule="auto"/>
              <w:rPr>
                <w:color w:val="000000"/>
                <w:szCs w:val="21"/>
              </w:rPr>
            </w:pPr>
            <w:r>
              <w:rPr>
                <w:rFonts w:hint="eastAsia"/>
                <w:color w:val="000000"/>
                <w:szCs w:val="21"/>
              </w:rPr>
              <w:t>简易沉淀池处理后回用于施工生产不外排</w:t>
            </w:r>
          </w:p>
        </w:tc>
      </w:tr>
      <w:tr w14:paraId="00C2D9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6" w:hRule="atLeast"/>
          <w:jc w:val="center"/>
        </w:trPr>
        <w:tc>
          <w:tcPr>
            <w:tcW w:w="9072" w:type="dxa"/>
            <w:vMerge w:val="continue"/>
            <w:tcBorders>
              <w:top w:val="single" w:color="auto" w:sz="4" w:space="0"/>
              <w:left w:val="single" w:color="auto" w:sz="4" w:space="0"/>
              <w:bottom w:val="single" w:color="auto" w:sz="4" w:space="0"/>
              <w:right w:val="single" w:color="auto" w:sz="4" w:space="0"/>
            </w:tcBorders>
            <w:vAlign w:val="center"/>
          </w:tcPr>
          <w:p w14:paraId="4FEA5D1E">
            <w:pPr>
              <w:widowControl/>
              <w:spacing w:line="240" w:lineRule="auto"/>
              <w:jc w:val="left"/>
              <w:rPr>
                <w:color w:val="000000"/>
                <w:szCs w:val="21"/>
              </w:rPr>
            </w:pPr>
          </w:p>
        </w:tc>
        <w:tc>
          <w:tcPr>
            <w:tcW w:w="590" w:type="dxa"/>
            <w:vMerge w:val="continue"/>
            <w:tcBorders>
              <w:top w:val="single" w:color="auto" w:sz="4" w:space="0"/>
              <w:left w:val="single" w:color="auto" w:sz="4" w:space="0"/>
              <w:bottom w:val="single" w:color="auto" w:sz="4" w:space="0"/>
              <w:right w:val="single" w:color="auto" w:sz="4" w:space="0"/>
            </w:tcBorders>
            <w:vAlign w:val="center"/>
          </w:tcPr>
          <w:p w14:paraId="43953693">
            <w:pPr>
              <w:widowControl/>
              <w:spacing w:line="240" w:lineRule="auto"/>
              <w:jc w:val="left"/>
              <w:rPr>
                <w:color w:val="000000"/>
                <w:szCs w:val="21"/>
              </w:rPr>
            </w:pPr>
          </w:p>
        </w:tc>
        <w:tc>
          <w:tcPr>
            <w:tcW w:w="2019" w:type="dxa"/>
            <w:tcBorders>
              <w:top w:val="single" w:color="auto" w:sz="4" w:space="0"/>
              <w:left w:val="single" w:color="auto" w:sz="4" w:space="0"/>
              <w:bottom w:val="single" w:color="auto" w:sz="4" w:space="0"/>
              <w:right w:val="single" w:color="auto" w:sz="4" w:space="0"/>
            </w:tcBorders>
            <w:tcMar>
              <w:top w:w="0" w:type="dxa"/>
              <w:left w:w="28" w:type="dxa"/>
              <w:bottom w:w="0" w:type="dxa"/>
              <w:right w:w="0" w:type="dxa"/>
            </w:tcMar>
            <w:vAlign w:val="center"/>
          </w:tcPr>
          <w:p w14:paraId="50FCFB8D">
            <w:pPr>
              <w:spacing w:line="240" w:lineRule="auto"/>
              <w:jc w:val="center"/>
              <w:rPr>
                <w:szCs w:val="21"/>
              </w:rPr>
            </w:pPr>
            <w:r>
              <w:rPr>
                <w:rFonts w:hint="eastAsia"/>
                <w:szCs w:val="21"/>
              </w:rPr>
              <w:t>机械冲洗废水</w:t>
            </w:r>
          </w:p>
        </w:tc>
        <w:tc>
          <w:tcPr>
            <w:tcW w:w="1274" w:type="dxa"/>
            <w:tcBorders>
              <w:top w:val="single" w:color="auto" w:sz="4" w:space="0"/>
              <w:left w:val="single" w:color="auto" w:sz="4" w:space="0"/>
              <w:bottom w:val="single" w:color="auto" w:sz="4" w:space="0"/>
              <w:right w:val="single" w:color="auto" w:sz="4" w:space="0"/>
            </w:tcBorders>
            <w:vAlign w:val="center"/>
          </w:tcPr>
          <w:p w14:paraId="0390C43D">
            <w:pPr>
              <w:spacing w:line="240" w:lineRule="auto"/>
              <w:rPr>
                <w:szCs w:val="21"/>
              </w:rPr>
            </w:pPr>
          </w:p>
          <w:p w14:paraId="5D3BEB58">
            <w:pPr>
              <w:spacing w:line="240" w:lineRule="auto"/>
              <w:rPr>
                <w:szCs w:val="21"/>
              </w:rPr>
            </w:pPr>
            <w:r>
              <w:rPr>
                <w:szCs w:val="21"/>
              </w:rPr>
              <w:t>SS</w:t>
            </w:r>
          </w:p>
          <w:p w14:paraId="36852947">
            <w:pPr>
              <w:spacing w:line="240" w:lineRule="auto"/>
              <w:rPr>
                <w:szCs w:val="21"/>
              </w:rPr>
            </w:pPr>
            <w:r>
              <w:rPr>
                <w:rFonts w:hint="eastAsia"/>
                <w:szCs w:val="21"/>
              </w:rPr>
              <w:t>石油类</w:t>
            </w:r>
          </w:p>
        </w:tc>
        <w:tc>
          <w:tcPr>
            <w:tcW w:w="2437" w:type="dxa"/>
            <w:tcBorders>
              <w:top w:val="single" w:color="auto" w:sz="4" w:space="0"/>
              <w:left w:val="single" w:color="auto" w:sz="4" w:space="0"/>
              <w:bottom w:val="single" w:color="auto" w:sz="4" w:space="0"/>
              <w:right w:val="single" w:color="auto" w:sz="4" w:space="0"/>
            </w:tcBorders>
            <w:vAlign w:val="center"/>
          </w:tcPr>
          <w:p w14:paraId="51A18DC6">
            <w:pPr>
              <w:spacing w:line="240" w:lineRule="auto"/>
              <w:ind w:firstLine="105" w:firstLineChars="50"/>
              <w:rPr>
                <w:color w:val="000000"/>
                <w:szCs w:val="21"/>
              </w:rPr>
            </w:pPr>
            <w:r>
              <w:rPr>
                <w:rFonts w:hint="eastAsia"/>
                <w:color w:val="000000"/>
                <w:szCs w:val="21"/>
              </w:rPr>
              <w:t>污水产生量</w:t>
            </w:r>
            <w:r>
              <w:rPr>
                <w:color w:val="000000"/>
                <w:szCs w:val="21"/>
              </w:rPr>
              <w:t>360t</w:t>
            </w:r>
          </w:p>
          <w:p w14:paraId="5A3AD4DF">
            <w:pPr>
              <w:spacing w:line="240" w:lineRule="auto"/>
              <w:ind w:firstLine="210" w:firstLineChars="100"/>
              <w:rPr>
                <w:color w:val="000000"/>
                <w:szCs w:val="21"/>
              </w:rPr>
            </w:pPr>
            <w:r>
              <w:rPr>
                <w:color w:val="000000"/>
                <w:szCs w:val="21"/>
              </w:rPr>
              <w:t>100mg/L</w:t>
            </w:r>
            <w:r>
              <w:rPr>
                <w:rFonts w:hint="eastAsia"/>
                <w:color w:val="000000"/>
                <w:szCs w:val="21"/>
              </w:rPr>
              <w:t>，</w:t>
            </w:r>
            <w:r>
              <w:rPr>
                <w:color w:val="000000"/>
                <w:szCs w:val="21"/>
              </w:rPr>
              <w:t>0.036</w:t>
            </w:r>
            <w:r>
              <w:rPr>
                <w:bCs/>
                <w:color w:val="000000"/>
                <w:szCs w:val="21"/>
              </w:rPr>
              <w:t>t</w:t>
            </w:r>
          </w:p>
          <w:p w14:paraId="1734C34F">
            <w:pPr>
              <w:spacing w:line="240" w:lineRule="auto"/>
              <w:ind w:firstLine="315" w:firstLineChars="150"/>
              <w:rPr>
                <w:color w:val="000000"/>
                <w:szCs w:val="21"/>
              </w:rPr>
            </w:pPr>
            <w:r>
              <w:rPr>
                <w:color w:val="000000"/>
                <w:szCs w:val="21"/>
              </w:rPr>
              <w:t>20mg/L</w:t>
            </w:r>
            <w:r>
              <w:rPr>
                <w:rFonts w:hint="eastAsia"/>
                <w:color w:val="000000"/>
                <w:szCs w:val="21"/>
              </w:rPr>
              <w:t>，</w:t>
            </w:r>
            <w:r>
              <w:rPr>
                <w:color w:val="000000"/>
                <w:szCs w:val="21"/>
              </w:rPr>
              <w:t>0.007</w:t>
            </w:r>
            <w:r>
              <w:rPr>
                <w:bCs/>
                <w:color w:val="000000"/>
                <w:szCs w:val="21"/>
              </w:rPr>
              <w:t>t</w:t>
            </w:r>
          </w:p>
        </w:tc>
        <w:tc>
          <w:tcPr>
            <w:tcW w:w="2152" w:type="dxa"/>
            <w:tcBorders>
              <w:top w:val="single" w:color="auto" w:sz="4" w:space="0"/>
              <w:left w:val="single" w:color="auto" w:sz="4" w:space="0"/>
              <w:bottom w:val="single" w:color="auto" w:sz="4" w:space="0"/>
              <w:right w:val="single" w:color="auto" w:sz="4" w:space="0"/>
            </w:tcBorders>
            <w:vAlign w:val="center"/>
          </w:tcPr>
          <w:p w14:paraId="7701CA95">
            <w:pPr>
              <w:spacing w:line="240" w:lineRule="auto"/>
              <w:rPr>
                <w:color w:val="000000"/>
                <w:szCs w:val="21"/>
              </w:rPr>
            </w:pPr>
            <w:r>
              <w:rPr>
                <w:rFonts w:hint="eastAsia"/>
                <w:color w:val="000000"/>
                <w:szCs w:val="21"/>
              </w:rPr>
              <w:t>经隔油沉淀处理后循环使用不外排</w:t>
            </w:r>
          </w:p>
        </w:tc>
      </w:tr>
      <w:tr w14:paraId="242BF4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6" w:hRule="atLeast"/>
          <w:jc w:val="center"/>
        </w:trPr>
        <w:tc>
          <w:tcPr>
            <w:tcW w:w="9072" w:type="dxa"/>
            <w:vMerge w:val="continue"/>
            <w:tcBorders>
              <w:top w:val="single" w:color="auto" w:sz="4" w:space="0"/>
              <w:left w:val="single" w:color="auto" w:sz="4" w:space="0"/>
              <w:bottom w:val="single" w:color="auto" w:sz="4" w:space="0"/>
              <w:right w:val="single" w:color="auto" w:sz="4" w:space="0"/>
            </w:tcBorders>
            <w:vAlign w:val="center"/>
          </w:tcPr>
          <w:p w14:paraId="14FB2725">
            <w:pPr>
              <w:widowControl/>
              <w:spacing w:line="240" w:lineRule="auto"/>
              <w:jc w:val="left"/>
              <w:rPr>
                <w:color w:val="000000"/>
                <w:szCs w:val="21"/>
              </w:rPr>
            </w:pPr>
          </w:p>
        </w:tc>
        <w:tc>
          <w:tcPr>
            <w:tcW w:w="590" w:type="dxa"/>
            <w:tcBorders>
              <w:top w:val="single" w:color="auto" w:sz="4" w:space="0"/>
              <w:left w:val="single" w:color="auto" w:sz="4" w:space="0"/>
              <w:bottom w:val="single" w:color="auto" w:sz="4" w:space="0"/>
              <w:right w:val="single" w:color="auto" w:sz="4" w:space="0"/>
            </w:tcBorders>
            <w:vAlign w:val="center"/>
          </w:tcPr>
          <w:p w14:paraId="4D0B7499">
            <w:pPr>
              <w:spacing w:line="240" w:lineRule="auto"/>
              <w:jc w:val="center"/>
              <w:rPr>
                <w:color w:val="000000"/>
                <w:szCs w:val="21"/>
              </w:rPr>
            </w:pPr>
            <w:r>
              <w:rPr>
                <w:rFonts w:hint="eastAsia"/>
                <w:color w:val="000000"/>
                <w:szCs w:val="21"/>
              </w:rPr>
              <w:t>运行期</w:t>
            </w:r>
          </w:p>
        </w:tc>
        <w:tc>
          <w:tcPr>
            <w:tcW w:w="2019" w:type="dxa"/>
            <w:tcBorders>
              <w:top w:val="single" w:color="auto" w:sz="4" w:space="0"/>
              <w:left w:val="single" w:color="auto" w:sz="4" w:space="0"/>
              <w:bottom w:val="single" w:color="auto" w:sz="4" w:space="0"/>
              <w:right w:val="single" w:color="auto" w:sz="4" w:space="0"/>
            </w:tcBorders>
            <w:tcMar>
              <w:top w:w="0" w:type="dxa"/>
              <w:left w:w="28" w:type="dxa"/>
              <w:bottom w:w="0" w:type="dxa"/>
              <w:right w:w="0" w:type="dxa"/>
            </w:tcMar>
            <w:vAlign w:val="center"/>
          </w:tcPr>
          <w:p w14:paraId="1C60BFD1">
            <w:pPr>
              <w:spacing w:line="240" w:lineRule="auto"/>
              <w:jc w:val="center"/>
              <w:rPr>
                <w:szCs w:val="21"/>
              </w:rPr>
            </w:pPr>
            <w:r>
              <w:rPr>
                <w:rFonts w:hint="eastAsia"/>
                <w:color w:val="000000"/>
                <w:szCs w:val="21"/>
              </w:rPr>
              <w:t>生活污水</w:t>
            </w:r>
          </w:p>
        </w:tc>
        <w:tc>
          <w:tcPr>
            <w:tcW w:w="1274" w:type="dxa"/>
            <w:tcBorders>
              <w:top w:val="single" w:color="auto" w:sz="4" w:space="0"/>
              <w:left w:val="single" w:color="auto" w:sz="4" w:space="0"/>
              <w:bottom w:val="single" w:color="auto" w:sz="4" w:space="0"/>
              <w:right w:val="single" w:color="auto" w:sz="4" w:space="0"/>
            </w:tcBorders>
            <w:vAlign w:val="center"/>
          </w:tcPr>
          <w:p w14:paraId="622FD707">
            <w:pPr>
              <w:spacing w:line="240" w:lineRule="auto"/>
              <w:rPr>
                <w:color w:val="000000"/>
                <w:szCs w:val="21"/>
              </w:rPr>
            </w:pPr>
          </w:p>
          <w:p w14:paraId="7674614F">
            <w:pPr>
              <w:spacing w:line="240" w:lineRule="auto"/>
              <w:rPr>
                <w:color w:val="000000"/>
                <w:szCs w:val="21"/>
              </w:rPr>
            </w:pPr>
            <w:r>
              <w:rPr>
                <w:color w:val="000000"/>
                <w:szCs w:val="21"/>
              </w:rPr>
              <w:t>COD</w:t>
            </w:r>
            <w:r>
              <w:rPr>
                <w:color w:val="000000"/>
                <w:szCs w:val="21"/>
                <w:vertAlign w:val="subscript"/>
              </w:rPr>
              <w:t>cr</w:t>
            </w:r>
          </w:p>
          <w:p w14:paraId="1E8335C5">
            <w:pPr>
              <w:spacing w:line="240" w:lineRule="auto"/>
              <w:rPr>
                <w:color w:val="000000"/>
                <w:szCs w:val="21"/>
              </w:rPr>
            </w:pPr>
            <w:r>
              <w:rPr>
                <w:color w:val="000000"/>
                <w:szCs w:val="21"/>
              </w:rPr>
              <w:t>BOD</w:t>
            </w:r>
            <w:r>
              <w:rPr>
                <w:color w:val="000000"/>
                <w:szCs w:val="21"/>
                <w:vertAlign w:val="subscript"/>
              </w:rPr>
              <w:t>5</w:t>
            </w:r>
          </w:p>
          <w:p w14:paraId="4FAE5E7C">
            <w:pPr>
              <w:spacing w:line="240" w:lineRule="auto"/>
              <w:rPr>
                <w:color w:val="000000"/>
                <w:szCs w:val="21"/>
              </w:rPr>
            </w:pPr>
            <w:r>
              <w:rPr>
                <w:color w:val="000000"/>
                <w:szCs w:val="21"/>
              </w:rPr>
              <w:t>SS</w:t>
            </w:r>
          </w:p>
          <w:p w14:paraId="70936C39">
            <w:pPr>
              <w:spacing w:line="240" w:lineRule="auto"/>
              <w:rPr>
                <w:color w:val="000000"/>
                <w:szCs w:val="21"/>
              </w:rPr>
            </w:pPr>
            <w:r>
              <w:rPr>
                <w:color w:val="000000"/>
                <w:szCs w:val="21"/>
              </w:rPr>
              <w:t>NH</w:t>
            </w:r>
            <w:r>
              <w:rPr>
                <w:color w:val="000000"/>
                <w:szCs w:val="21"/>
                <w:vertAlign w:val="subscript"/>
              </w:rPr>
              <w:t>3</w:t>
            </w:r>
            <w:r>
              <w:rPr>
                <w:color w:val="000000"/>
                <w:szCs w:val="21"/>
              </w:rPr>
              <w:t>-N</w:t>
            </w:r>
          </w:p>
        </w:tc>
        <w:tc>
          <w:tcPr>
            <w:tcW w:w="2437" w:type="dxa"/>
            <w:tcBorders>
              <w:top w:val="single" w:color="auto" w:sz="4" w:space="0"/>
              <w:left w:val="single" w:color="auto" w:sz="4" w:space="0"/>
              <w:bottom w:val="single" w:color="auto" w:sz="4" w:space="0"/>
              <w:right w:val="single" w:color="auto" w:sz="4" w:space="0"/>
            </w:tcBorders>
            <w:vAlign w:val="center"/>
          </w:tcPr>
          <w:p w14:paraId="1CA32E8B">
            <w:pPr>
              <w:spacing w:line="240" w:lineRule="auto"/>
              <w:ind w:firstLine="105" w:firstLineChars="50"/>
              <w:rPr>
                <w:color w:val="FF0000"/>
                <w:szCs w:val="21"/>
              </w:rPr>
            </w:pPr>
            <w:r>
              <w:rPr>
                <w:rFonts w:hint="eastAsia"/>
                <w:color w:val="FF0000"/>
                <w:szCs w:val="21"/>
              </w:rPr>
              <w:t>污水产生量</w:t>
            </w:r>
            <w:r>
              <w:rPr>
                <w:color w:val="FF0000"/>
                <w:szCs w:val="21"/>
              </w:rPr>
              <w:t>144t/a</w:t>
            </w:r>
          </w:p>
          <w:p w14:paraId="317CECD2">
            <w:pPr>
              <w:spacing w:line="240" w:lineRule="auto"/>
              <w:ind w:firstLine="210" w:firstLineChars="100"/>
              <w:rPr>
                <w:color w:val="FF0000"/>
                <w:szCs w:val="21"/>
              </w:rPr>
            </w:pPr>
            <w:r>
              <w:rPr>
                <w:color w:val="FF0000"/>
                <w:szCs w:val="21"/>
              </w:rPr>
              <w:t>350mg/L</w:t>
            </w:r>
            <w:r>
              <w:rPr>
                <w:rFonts w:hint="eastAsia"/>
                <w:color w:val="FF0000"/>
                <w:szCs w:val="21"/>
              </w:rPr>
              <w:t>，</w:t>
            </w:r>
            <w:r>
              <w:rPr>
                <w:color w:val="FF0000"/>
                <w:szCs w:val="21"/>
              </w:rPr>
              <w:t>0.050</w:t>
            </w:r>
            <w:r>
              <w:rPr>
                <w:bCs/>
                <w:color w:val="FF0000"/>
                <w:szCs w:val="21"/>
              </w:rPr>
              <w:t>t</w:t>
            </w:r>
          </w:p>
          <w:p w14:paraId="0E1CF8CD">
            <w:pPr>
              <w:spacing w:line="240" w:lineRule="auto"/>
              <w:ind w:firstLine="210" w:firstLineChars="100"/>
              <w:rPr>
                <w:color w:val="FF0000"/>
                <w:szCs w:val="21"/>
              </w:rPr>
            </w:pPr>
            <w:r>
              <w:rPr>
                <w:color w:val="FF0000"/>
                <w:szCs w:val="21"/>
              </w:rPr>
              <w:t>200mg/L</w:t>
            </w:r>
            <w:r>
              <w:rPr>
                <w:rFonts w:hint="eastAsia"/>
                <w:color w:val="FF0000"/>
                <w:szCs w:val="21"/>
              </w:rPr>
              <w:t>，</w:t>
            </w:r>
            <w:r>
              <w:rPr>
                <w:color w:val="FF0000"/>
                <w:szCs w:val="21"/>
              </w:rPr>
              <w:t>0.029</w:t>
            </w:r>
            <w:r>
              <w:rPr>
                <w:bCs/>
                <w:color w:val="FF0000"/>
                <w:szCs w:val="21"/>
              </w:rPr>
              <w:t>t</w:t>
            </w:r>
          </w:p>
          <w:p w14:paraId="238D35A0">
            <w:pPr>
              <w:pStyle w:val="71"/>
              <w:ind w:firstLine="210" w:firstLineChars="100"/>
              <w:jc w:val="both"/>
              <w:rPr>
                <w:color w:val="FF0000"/>
              </w:rPr>
            </w:pPr>
            <w:r>
              <w:rPr>
                <w:color w:val="FF0000"/>
              </w:rPr>
              <w:t>250mg/L</w:t>
            </w:r>
            <w:r>
              <w:rPr>
                <w:rFonts w:hint="eastAsia"/>
                <w:color w:val="FF0000"/>
              </w:rPr>
              <w:t>，</w:t>
            </w:r>
            <w:r>
              <w:rPr>
                <w:color w:val="FF0000"/>
              </w:rPr>
              <w:t>0.036</w:t>
            </w:r>
            <w:r>
              <w:rPr>
                <w:bCs/>
                <w:color w:val="FF0000"/>
              </w:rPr>
              <w:t>t</w:t>
            </w:r>
          </w:p>
          <w:p w14:paraId="38654CB2">
            <w:pPr>
              <w:pStyle w:val="111"/>
              <w:spacing w:line="240" w:lineRule="auto"/>
              <w:ind w:firstLine="315" w:firstLineChars="150"/>
              <w:rPr>
                <w:color w:val="000000"/>
                <w:sz w:val="21"/>
                <w:szCs w:val="21"/>
              </w:rPr>
            </w:pPr>
            <w:r>
              <w:rPr>
                <w:color w:val="FF0000"/>
                <w:sz w:val="21"/>
                <w:szCs w:val="21"/>
              </w:rPr>
              <w:t>30mg/L</w:t>
            </w:r>
            <w:r>
              <w:rPr>
                <w:rFonts w:hint="eastAsia"/>
                <w:color w:val="FF0000"/>
                <w:sz w:val="21"/>
                <w:szCs w:val="21"/>
              </w:rPr>
              <w:t>，</w:t>
            </w:r>
            <w:r>
              <w:rPr>
                <w:color w:val="FF0000"/>
                <w:sz w:val="21"/>
                <w:szCs w:val="21"/>
              </w:rPr>
              <w:t>0.004t</w:t>
            </w:r>
          </w:p>
        </w:tc>
        <w:tc>
          <w:tcPr>
            <w:tcW w:w="2152" w:type="dxa"/>
            <w:tcBorders>
              <w:top w:val="single" w:color="auto" w:sz="4" w:space="0"/>
              <w:left w:val="single" w:color="auto" w:sz="4" w:space="0"/>
              <w:bottom w:val="single" w:color="auto" w:sz="4" w:space="0"/>
              <w:right w:val="single" w:color="auto" w:sz="4" w:space="0"/>
            </w:tcBorders>
            <w:vAlign w:val="center"/>
          </w:tcPr>
          <w:p w14:paraId="66ABA5AE">
            <w:pPr>
              <w:pStyle w:val="111"/>
              <w:spacing w:line="240" w:lineRule="auto"/>
              <w:ind w:firstLine="0" w:firstLineChars="0"/>
              <w:rPr>
                <w:color w:val="000000"/>
                <w:sz w:val="21"/>
                <w:szCs w:val="21"/>
              </w:rPr>
            </w:pPr>
            <w:r>
              <w:rPr>
                <w:rFonts w:hint="eastAsia"/>
                <w:color w:val="000000"/>
                <w:sz w:val="21"/>
                <w:szCs w:val="21"/>
              </w:rPr>
              <w:t>厕所污水经化粪池、食堂污水经隔油池预处理，再送站内地埋式污水处理装置处理达标后回用于站区绿化，不外排</w:t>
            </w:r>
          </w:p>
        </w:tc>
      </w:tr>
      <w:tr w14:paraId="7E7DDC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4" w:hRule="atLeast"/>
          <w:jc w:val="center"/>
        </w:trPr>
        <w:tc>
          <w:tcPr>
            <w:tcW w:w="600" w:type="dxa"/>
            <w:vMerge w:val="restart"/>
            <w:tcBorders>
              <w:top w:val="single" w:color="auto" w:sz="4" w:space="0"/>
              <w:left w:val="single" w:color="auto" w:sz="4" w:space="0"/>
              <w:bottom w:val="single" w:color="auto" w:sz="4" w:space="0"/>
              <w:right w:val="single" w:color="auto" w:sz="4" w:space="0"/>
            </w:tcBorders>
            <w:vAlign w:val="center"/>
          </w:tcPr>
          <w:p w14:paraId="6F255F1E">
            <w:pPr>
              <w:spacing w:line="400" w:lineRule="exact"/>
              <w:jc w:val="center"/>
              <w:rPr>
                <w:color w:val="000000"/>
                <w:sz w:val="28"/>
                <w:szCs w:val="28"/>
              </w:rPr>
            </w:pPr>
            <w:r>
              <w:rPr>
                <w:rFonts w:hint="eastAsia"/>
                <w:color w:val="000000"/>
                <w:sz w:val="28"/>
                <w:szCs w:val="28"/>
              </w:rPr>
              <w:t>固</w:t>
            </w:r>
          </w:p>
          <w:p w14:paraId="3CD8EBC3">
            <w:pPr>
              <w:spacing w:line="400" w:lineRule="exact"/>
              <w:jc w:val="center"/>
              <w:rPr>
                <w:color w:val="000000"/>
                <w:sz w:val="28"/>
                <w:szCs w:val="28"/>
              </w:rPr>
            </w:pPr>
            <w:r>
              <w:rPr>
                <w:rFonts w:hint="eastAsia"/>
                <w:color w:val="000000"/>
                <w:sz w:val="28"/>
                <w:szCs w:val="28"/>
              </w:rPr>
              <w:t>体</w:t>
            </w:r>
          </w:p>
          <w:p w14:paraId="2ECA556A">
            <w:pPr>
              <w:spacing w:line="400" w:lineRule="exact"/>
              <w:jc w:val="center"/>
              <w:rPr>
                <w:color w:val="000000"/>
                <w:sz w:val="28"/>
                <w:szCs w:val="28"/>
              </w:rPr>
            </w:pPr>
            <w:r>
              <w:rPr>
                <w:rFonts w:hint="eastAsia"/>
                <w:color w:val="000000"/>
                <w:sz w:val="28"/>
                <w:szCs w:val="28"/>
              </w:rPr>
              <w:t>废</w:t>
            </w:r>
          </w:p>
          <w:p w14:paraId="1954C258">
            <w:pPr>
              <w:spacing w:line="400" w:lineRule="exact"/>
              <w:jc w:val="center"/>
              <w:rPr>
                <w:color w:val="000000"/>
                <w:sz w:val="28"/>
                <w:szCs w:val="28"/>
              </w:rPr>
            </w:pPr>
            <w:r>
              <w:rPr>
                <w:rFonts w:hint="eastAsia"/>
                <w:color w:val="000000"/>
                <w:sz w:val="28"/>
                <w:szCs w:val="28"/>
              </w:rPr>
              <w:t>物</w:t>
            </w:r>
          </w:p>
        </w:tc>
        <w:tc>
          <w:tcPr>
            <w:tcW w:w="590" w:type="dxa"/>
            <w:tcBorders>
              <w:top w:val="single" w:color="auto" w:sz="4" w:space="0"/>
              <w:left w:val="single" w:color="auto" w:sz="4" w:space="0"/>
              <w:bottom w:val="single" w:color="auto" w:sz="4" w:space="0"/>
              <w:right w:val="single" w:color="auto" w:sz="4" w:space="0"/>
            </w:tcBorders>
            <w:vAlign w:val="center"/>
          </w:tcPr>
          <w:p w14:paraId="69F6EEF2">
            <w:pPr>
              <w:spacing w:line="240" w:lineRule="auto"/>
              <w:jc w:val="center"/>
              <w:rPr>
                <w:color w:val="000000"/>
                <w:sz w:val="28"/>
                <w:szCs w:val="28"/>
              </w:rPr>
            </w:pPr>
            <w:r>
              <w:rPr>
                <w:rFonts w:hint="eastAsia"/>
                <w:color w:val="000000"/>
                <w:szCs w:val="21"/>
              </w:rPr>
              <w:t>施工期</w:t>
            </w:r>
          </w:p>
        </w:tc>
        <w:tc>
          <w:tcPr>
            <w:tcW w:w="2019" w:type="dxa"/>
            <w:tcBorders>
              <w:top w:val="single" w:color="auto" w:sz="4" w:space="0"/>
              <w:left w:val="single" w:color="auto" w:sz="4" w:space="0"/>
              <w:bottom w:val="single" w:color="auto" w:sz="4" w:space="0"/>
              <w:right w:val="single" w:color="auto" w:sz="4" w:space="0"/>
            </w:tcBorders>
            <w:tcMar>
              <w:top w:w="0" w:type="dxa"/>
              <w:left w:w="28" w:type="dxa"/>
              <w:bottom w:w="0" w:type="dxa"/>
              <w:right w:w="0" w:type="dxa"/>
            </w:tcMar>
            <w:vAlign w:val="center"/>
          </w:tcPr>
          <w:p w14:paraId="4FEF768E">
            <w:pPr>
              <w:spacing w:line="240" w:lineRule="auto"/>
              <w:jc w:val="center"/>
              <w:rPr>
                <w:color w:val="000000"/>
                <w:szCs w:val="21"/>
              </w:rPr>
            </w:pPr>
            <w:r>
              <w:rPr>
                <w:rFonts w:hint="eastAsia"/>
                <w:szCs w:val="21"/>
              </w:rPr>
              <w:t>施工</w:t>
            </w:r>
          </w:p>
        </w:tc>
        <w:tc>
          <w:tcPr>
            <w:tcW w:w="1274" w:type="dxa"/>
            <w:tcBorders>
              <w:top w:val="single" w:color="auto" w:sz="4" w:space="0"/>
              <w:left w:val="single" w:color="auto" w:sz="4" w:space="0"/>
              <w:bottom w:val="single" w:color="auto" w:sz="4" w:space="0"/>
              <w:right w:val="single" w:color="auto" w:sz="4" w:space="0"/>
            </w:tcBorders>
            <w:vAlign w:val="center"/>
          </w:tcPr>
          <w:p w14:paraId="38FDC7C7">
            <w:pPr>
              <w:spacing w:line="240" w:lineRule="auto"/>
              <w:jc w:val="center"/>
              <w:rPr>
                <w:color w:val="000000"/>
                <w:szCs w:val="21"/>
              </w:rPr>
            </w:pPr>
            <w:r>
              <w:rPr>
                <w:rFonts w:hint="eastAsia"/>
                <w:color w:val="000000"/>
                <w:szCs w:val="21"/>
              </w:rPr>
              <w:t>生活垃圾</w:t>
            </w:r>
          </w:p>
        </w:tc>
        <w:tc>
          <w:tcPr>
            <w:tcW w:w="2437" w:type="dxa"/>
            <w:tcBorders>
              <w:top w:val="single" w:color="auto" w:sz="4" w:space="0"/>
              <w:left w:val="single" w:color="auto" w:sz="4" w:space="0"/>
              <w:bottom w:val="single" w:color="auto" w:sz="4" w:space="0"/>
              <w:right w:val="single" w:color="auto" w:sz="4" w:space="0"/>
            </w:tcBorders>
            <w:vAlign w:val="center"/>
          </w:tcPr>
          <w:p w14:paraId="394FDF6E">
            <w:pPr>
              <w:spacing w:line="240" w:lineRule="auto"/>
              <w:jc w:val="center"/>
              <w:rPr>
                <w:color w:val="000000"/>
                <w:szCs w:val="21"/>
              </w:rPr>
            </w:pPr>
            <w:r>
              <w:rPr>
                <w:color w:val="000000"/>
                <w:szCs w:val="21"/>
              </w:rPr>
              <w:t>64.8t/a</w:t>
            </w:r>
          </w:p>
        </w:tc>
        <w:tc>
          <w:tcPr>
            <w:tcW w:w="2152" w:type="dxa"/>
            <w:tcBorders>
              <w:top w:val="single" w:color="auto" w:sz="4" w:space="0"/>
              <w:left w:val="single" w:color="auto" w:sz="4" w:space="0"/>
              <w:bottom w:val="single" w:color="auto" w:sz="4" w:space="0"/>
              <w:right w:val="single" w:color="auto" w:sz="4" w:space="0"/>
            </w:tcBorders>
            <w:vAlign w:val="center"/>
          </w:tcPr>
          <w:p w14:paraId="04A7642D">
            <w:pPr>
              <w:spacing w:line="240" w:lineRule="auto"/>
              <w:rPr>
                <w:color w:val="000000"/>
                <w:szCs w:val="21"/>
              </w:rPr>
            </w:pPr>
            <w:r>
              <w:rPr>
                <w:rFonts w:hint="eastAsia"/>
                <w:color w:val="000000"/>
                <w:szCs w:val="21"/>
              </w:rPr>
              <w:t>由当地环卫部门定时清运</w:t>
            </w:r>
          </w:p>
        </w:tc>
      </w:tr>
      <w:tr w14:paraId="1DA6D4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9072" w:type="dxa"/>
            <w:vMerge w:val="continue"/>
            <w:tcBorders>
              <w:top w:val="single" w:color="auto" w:sz="4" w:space="0"/>
              <w:left w:val="single" w:color="auto" w:sz="4" w:space="0"/>
              <w:bottom w:val="single" w:color="auto" w:sz="4" w:space="0"/>
              <w:right w:val="single" w:color="auto" w:sz="4" w:space="0"/>
            </w:tcBorders>
            <w:vAlign w:val="center"/>
          </w:tcPr>
          <w:p w14:paraId="4B21288B">
            <w:pPr>
              <w:widowControl/>
              <w:spacing w:line="240" w:lineRule="auto"/>
              <w:jc w:val="left"/>
              <w:rPr>
                <w:color w:val="000000"/>
                <w:sz w:val="28"/>
                <w:szCs w:val="28"/>
              </w:rPr>
            </w:pPr>
          </w:p>
        </w:tc>
        <w:tc>
          <w:tcPr>
            <w:tcW w:w="590" w:type="dxa"/>
            <w:vMerge w:val="restart"/>
            <w:tcBorders>
              <w:top w:val="single" w:color="auto" w:sz="4" w:space="0"/>
              <w:left w:val="single" w:color="auto" w:sz="4" w:space="0"/>
              <w:bottom w:val="single" w:color="auto" w:sz="4" w:space="0"/>
              <w:right w:val="single" w:color="auto" w:sz="4" w:space="0"/>
            </w:tcBorders>
            <w:vAlign w:val="center"/>
          </w:tcPr>
          <w:p w14:paraId="6CDC0D72">
            <w:pPr>
              <w:spacing w:line="240" w:lineRule="auto"/>
              <w:jc w:val="center"/>
              <w:rPr>
                <w:color w:val="000000"/>
                <w:szCs w:val="21"/>
              </w:rPr>
            </w:pPr>
            <w:r>
              <w:rPr>
                <w:rFonts w:hint="eastAsia"/>
                <w:color w:val="000000"/>
                <w:szCs w:val="21"/>
              </w:rPr>
              <w:t>运行期</w:t>
            </w:r>
          </w:p>
        </w:tc>
        <w:tc>
          <w:tcPr>
            <w:tcW w:w="2019" w:type="dxa"/>
            <w:tcBorders>
              <w:top w:val="single" w:color="auto" w:sz="4" w:space="0"/>
              <w:left w:val="single" w:color="auto" w:sz="4" w:space="0"/>
              <w:bottom w:val="single" w:color="auto" w:sz="4" w:space="0"/>
              <w:right w:val="single" w:color="auto" w:sz="4" w:space="0"/>
            </w:tcBorders>
            <w:tcMar>
              <w:top w:w="0" w:type="dxa"/>
              <w:left w:w="28" w:type="dxa"/>
              <w:bottom w:w="0" w:type="dxa"/>
              <w:right w:w="0" w:type="dxa"/>
            </w:tcMar>
            <w:vAlign w:val="center"/>
          </w:tcPr>
          <w:p w14:paraId="4D84C842">
            <w:pPr>
              <w:spacing w:line="240" w:lineRule="auto"/>
              <w:jc w:val="center"/>
              <w:rPr>
                <w:color w:val="000000"/>
                <w:szCs w:val="21"/>
              </w:rPr>
            </w:pPr>
            <w:r>
              <w:rPr>
                <w:rFonts w:hint="eastAsia"/>
                <w:kern w:val="0"/>
                <w:szCs w:val="21"/>
              </w:rPr>
              <w:t>运行管理人员</w:t>
            </w:r>
          </w:p>
        </w:tc>
        <w:tc>
          <w:tcPr>
            <w:tcW w:w="1274" w:type="dxa"/>
            <w:tcBorders>
              <w:top w:val="single" w:color="auto" w:sz="4" w:space="0"/>
              <w:left w:val="single" w:color="auto" w:sz="4" w:space="0"/>
              <w:bottom w:val="single" w:color="auto" w:sz="4" w:space="0"/>
              <w:right w:val="single" w:color="auto" w:sz="4" w:space="0"/>
            </w:tcBorders>
            <w:vAlign w:val="center"/>
          </w:tcPr>
          <w:p w14:paraId="70FF9C9F">
            <w:pPr>
              <w:spacing w:line="240" w:lineRule="auto"/>
              <w:jc w:val="center"/>
              <w:rPr>
                <w:color w:val="000000"/>
                <w:szCs w:val="21"/>
              </w:rPr>
            </w:pPr>
            <w:r>
              <w:rPr>
                <w:rFonts w:hint="eastAsia"/>
                <w:color w:val="000000"/>
                <w:szCs w:val="21"/>
              </w:rPr>
              <w:t>生活垃圾</w:t>
            </w:r>
          </w:p>
        </w:tc>
        <w:tc>
          <w:tcPr>
            <w:tcW w:w="2437" w:type="dxa"/>
            <w:tcBorders>
              <w:top w:val="single" w:color="auto" w:sz="4" w:space="0"/>
              <w:left w:val="single" w:color="auto" w:sz="4" w:space="0"/>
              <w:bottom w:val="single" w:color="auto" w:sz="4" w:space="0"/>
              <w:right w:val="single" w:color="auto" w:sz="4" w:space="0"/>
            </w:tcBorders>
            <w:vAlign w:val="center"/>
          </w:tcPr>
          <w:p w14:paraId="7EE1F9BC">
            <w:pPr>
              <w:spacing w:line="240" w:lineRule="auto"/>
              <w:jc w:val="center"/>
              <w:rPr>
                <w:color w:val="000000"/>
                <w:szCs w:val="21"/>
              </w:rPr>
            </w:pPr>
            <w:r>
              <w:rPr>
                <w:color w:val="000000"/>
                <w:szCs w:val="21"/>
              </w:rPr>
              <w:t>8.76t/a</w:t>
            </w:r>
          </w:p>
        </w:tc>
        <w:tc>
          <w:tcPr>
            <w:tcW w:w="2152" w:type="dxa"/>
            <w:vMerge w:val="restart"/>
            <w:tcBorders>
              <w:top w:val="single" w:color="auto" w:sz="4" w:space="0"/>
              <w:left w:val="single" w:color="auto" w:sz="4" w:space="0"/>
              <w:bottom w:val="single" w:color="auto" w:sz="4" w:space="0"/>
              <w:right w:val="single" w:color="auto" w:sz="4" w:space="0"/>
            </w:tcBorders>
            <w:vAlign w:val="center"/>
          </w:tcPr>
          <w:p w14:paraId="56CE619A">
            <w:pPr>
              <w:spacing w:line="240" w:lineRule="auto"/>
              <w:rPr>
                <w:color w:val="000000"/>
                <w:szCs w:val="21"/>
              </w:rPr>
            </w:pPr>
            <w:r>
              <w:rPr>
                <w:rFonts w:hint="eastAsia"/>
                <w:color w:val="000000"/>
                <w:szCs w:val="21"/>
              </w:rPr>
              <w:t>由当地环卫部门定时清运</w:t>
            </w:r>
          </w:p>
        </w:tc>
      </w:tr>
      <w:tr w14:paraId="2498AB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jc w:val="center"/>
        </w:trPr>
        <w:tc>
          <w:tcPr>
            <w:tcW w:w="9072" w:type="dxa"/>
            <w:vMerge w:val="continue"/>
            <w:tcBorders>
              <w:top w:val="single" w:color="auto" w:sz="4" w:space="0"/>
              <w:left w:val="single" w:color="auto" w:sz="4" w:space="0"/>
              <w:bottom w:val="single" w:color="auto" w:sz="4" w:space="0"/>
              <w:right w:val="single" w:color="auto" w:sz="4" w:space="0"/>
            </w:tcBorders>
            <w:vAlign w:val="center"/>
          </w:tcPr>
          <w:p w14:paraId="2BCF05AD">
            <w:pPr>
              <w:widowControl/>
              <w:spacing w:line="240" w:lineRule="auto"/>
              <w:jc w:val="left"/>
              <w:rPr>
                <w:color w:val="000000"/>
                <w:sz w:val="28"/>
                <w:szCs w:val="28"/>
              </w:rPr>
            </w:pPr>
          </w:p>
        </w:tc>
        <w:tc>
          <w:tcPr>
            <w:tcW w:w="590" w:type="dxa"/>
            <w:vMerge w:val="continue"/>
            <w:tcBorders>
              <w:top w:val="single" w:color="auto" w:sz="4" w:space="0"/>
              <w:left w:val="single" w:color="auto" w:sz="4" w:space="0"/>
              <w:bottom w:val="single" w:color="auto" w:sz="4" w:space="0"/>
              <w:right w:val="single" w:color="auto" w:sz="4" w:space="0"/>
            </w:tcBorders>
            <w:vAlign w:val="center"/>
          </w:tcPr>
          <w:p w14:paraId="38673A89">
            <w:pPr>
              <w:widowControl/>
              <w:spacing w:line="240" w:lineRule="auto"/>
              <w:jc w:val="left"/>
              <w:rPr>
                <w:color w:val="000000"/>
                <w:szCs w:val="21"/>
              </w:rPr>
            </w:pPr>
          </w:p>
        </w:tc>
        <w:tc>
          <w:tcPr>
            <w:tcW w:w="2019" w:type="dxa"/>
            <w:tcBorders>
              <w:top w:val="single" w:color="auto" w:sz="4" w:space="0"/>
              <w:left w:val="single" w:color="auto" w:sz="4" w:space="0"/>
              <w:bottom w:val="single" w:color="auto" w:sz="4" w:space="0"/>
              <w:right w:val="single" w:color="auto" w:sz="4" w:space="0"/>
            </w:tcBorders>
            <w:tcMar>
              <w:top w:w="0" w:type="dxa"/>
              <w:left w:w="28" w:type="dxa"/>
              <w:bottom w:w="0" w:type="dxa"/>
              <w:right w:w="0" w:type="dxa"/>
            </w:tcMar>
            <w:vAlign w:val="center"/>
          </w:tcPr>
          <w:p w14:paraId="4EB0FF20">
            <w:pPr>
              <w:spacing w:line="240" w:lineRule="auto"/>
              <w:jc w:val="center"/>
              <w:rPr>
                <w:kern w:val="0"/>
                <w:szCs w:val="21"/>
              </w:rPr>
            </w:pPr>
            <w:r>
              <w:rPr>
                <w:rFonts w:hint="eastAsia"/>
                <w:kern w:val="0"/>
                <w:szCs w:val="21"/>
              </w:rPr>
              <w:t>污水处理站</w:t>
            </w:r>
          </w:p>
        </w:tc>
        <w:tc>
          <w:tcPr>
            <w:tcW w:w="1274" w:type="dxa"/>
            <w:tcBorders>
              <w:top w:val="single" w:color="auto" w:sz="4" w:space="0"/>
              <w:left w:val="single" w:color="auto" w:sz="4" w:space="0"/>
              <w:bottom w:val="single" w:color="auto" w:sz="4" w:space="0"/>
              <w:right w:val="single" w:color="auto" w:sz="4" w:space="0"/>
            </w:tcBorders>
            <w:vAlign w:val="center"/>
          </w:tcPr>
          <w:p w14:paraId="77336D8E">
            <w:pPr>
              <w:spacing w:line="240" w:lineRule="auto"/>
              <w:jc w:val="center"/>
              <w:rPr>
                <w:color w:val="000000"/>
                <w:szCs w:val="21"/>
              </w:rPr>
            </w:pPr>
            <w:r>
              <w:rPr>
                <w:rFonts w:hint="eastAsia"/>
                <w:color w:val="000000"/>
                <w:szCs w:val="21"/>
              </w:rPr>
              <w:t>污泥</w:t>
            </w:r>
          </w:p>
        </w:tc>
        <w:tc>
          <w:tcPr>
            <w:tcW w:w="2437" w:type="dxa"/>
            <w:tcBorders>
              <w:top w:val="single" w:color="auto" w:sz="4" w:space="0"/>
              <w:left w:val="single" w:color="auto" w:sz="4" w:space="0"/>
              <w:bottom w:val="single" w:color="auto" w:sz="4" w:space="0"/>
              <w:right w:val="single" w:color="auto" w:sz="4" w:space="0"/>
            </w:tcBorders>
            <w:vAlign w:val="center"/>
          </w:tcPr>
          <w:p w14:paraId="4E7A9EC6">
            <w:pPr>
              <w:spacing w:line="240" w:lineRule="auto"/>
              <w:jc w:val="center"/>
              <w:rPr>
                <w:color w:val="000000"/>
                <w:szCs w:val="21"/>
              </w:rPr>
            </w:pPr>
            <w:r>
              <w:rPr>
                <w:color w:val="000000"/>
                <w:szCs w:val="21"/>
              </w:rPr>
              <w:t>0.19t/a</w:t>
            </w:r>
          </w:p>
        </w:tc>
        <w:tc>
          <w:tcPr>
            <w:tcW w:w="2152" w:type="dxa"/>
            <w:vMerge w:val="continue"/>
            <w:tcBorders>
              <w:top w:val="single" w:color="auto" w:sz="4" w:space="0"/>
              <w:left w:val="single" w:color="auto" w:sz="4" w:space="0"/>
              <w:bottom w:val="single" w:color="auto" w:sz="4" w:space="0"/>
              <w:right w:val="single" w:color="auto" w:sz="4" w:space="0"/>
            </w:tcBorders>
            <w:vAlign w:val="center"/>
          </w:tcPr>
          <w:p w14:paraId="082016B4">
            <w:pPr>
              <w:widowControl/>
              <w:spacing w:line="240" w:lineRule="auto"/>
              <w:jc w:val="left"/>
              <w:rPr>
                <w:color w:val="000000"/>
                <w:szCs w:val="21"/>
              </w:rPr>
            </w:pPr>
          </w:p>
        </w:tc>
      </w:tr>
      <w:tr w14:paraId="4AD638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9072" w:type="dxa"/>
            <w:vMerge w:val="continue"/>
            <w:tcBorders>
              <w:top w:val="single" w:color="auto" w:sz="4" w:space="0"/>
              <w:left w:val="single" w:color="auto" w:sz="4" w:space="0"/>
              <w:bottom w:val="single" w:color="auto" w:sz="4" w:space="0"/>
              <w:right w:val="single" w:color="auto" w:sz="4" w:space="0"/>
            </w:tcBorders>
            <w:vAlign w:val="center"/>
          </w:tcPr>
          <w:p w14:paraId="7FA0D32E">
            <w:pPr>
              <w:widowControl/>
              <w:spacing w:line="240" w:lineRule="auto"/>
              <w:jc w:val="left"/>
              <w:rPr>
                <w:color w:val="000000"/>
                <w:sz w:val="28"/>
                <w:szCs w:val="28"/>
              </w:rPr>
            </w:pPr>
          </w:p>
        </w:tc>
        <w:tc>
          <w:tcPr>
            <w:tcW w:w="590" w:type="dxa"/>
            <w:vMerge w:val="continue"/>
            <w:tcBorders>
              <w:top w:val="single" w:color="auto" w:sz="4" w:space="0"/>
              <w:left w:val="single" w:color="auto" w:sz="4" w:space="0"/>
              <w:bottom w:val="single" w:color="auto" w:sz="4" w:space="0"/>
              <w:right w:val="single" w:color="auto" w:sz="4" w:space="0"/>
            </w:tcBorders>
            <w:vAlign w:val="center"/>
          </w:tcPr>
          <w:p w14:paraId="4ED3F842">
            <w:pPr>
              <w:widowControl/>
              <w:spacing w:line="240" w:lineRule="auto"/>
              <w:jc w:val="left"/>
              <w:rPr>
                <w:color w:val="000000"/>
                <w:szCs w:val="21"/>
              </w:rPr>
            </w:pPr>
          </w:p>
        </w:tc>
        <w:tc>
          <w:tcPr>
            <w:tcW w:w="2019" w:type="dxa"/>
            <w:tcBorders>
              <w:top w:val="single" w:color="auto" w:sz="4" w:space="0"/>
              <w:left w:val="single" w:color="auto" w:sz="4" w:space="0"/>
              <w:bottom w:val="single" w:color="auto" w:sz="4" w:space="0"/>
              <w:right w:val="single" w:color="auto" w:sz="4" w:space="0"/>
            </w:tcBorders>
            <w:tcMar>
              <w:top w:w="0" w:type="dxa"/>
              <w:left w:w="28" w:type="dxa"/>
              <w:bottom w:w="0" w:type="dxa"/>
              <w:right w:w="0" w:type="dxa"/>
            </w:tcMar>
            <w:vAlign w:val="center"/>
          </w:tcPr>
          <w:p w14:paraId="4DF2C508">
            <w:pPr>
              <w:spacing w:line="240" w:lineRule="auto"/>
              <w:jc w:val="center"/>
              <w:rPr>
                <w:kern w:val="0"/>
                <w:szCs w:val="21"/>
              </w:rPr>
            </w:pPr>
            <w:r>
              <w:rPr>
                <w:rFonts w:hint="eastAsia"/>
                <w:kern w:val="0"/>
                <w:szCs w:val="21"/>
              </w:rPr>
              <w:t>风电场日常检修</w:t>
            </w:r>
          </w:p>
        </w:tc>
        <w:tc>
          <w:tcPr>
            <w:tcW w:w="1274" w:type="dxa"/>
            <w:tcBorders>
              <w:top w:val="single" w:color="auto" w:sz="4" w:space="0"/>
              <w:left w:val="single" w:color="auto" w:sz="4" w:space="0"/>
              <w:bottom w:val="single" w:color="auto" w:sz="4" w:space="0"/>
              <w:right w:val="single" w:color="auto" w:sz="4" w:space="0"/>
            </w:tcBorders>
            <w:vAlign w:val="center"/>
          </w:tcPr>
          <w:p w14:paraId="338C4963">
            <w:pPr>
              <w:spacing w:line="240" w:lineRule="auto"/>
              <w:jc w:val="center"/>
              <w:rPr>
                <w:color w:val="FF0000"/>
                <w:kern w:val="0"/>
                <w:szCs w:val="21"/>
              </w:rPr>
            </w:pPr>
            <w:r>
              <w:rPr>
                <w:rFonts w:hint="eastAsia"/>
                <w:color w:val="FF0000"/>
                <w:kern w:val="0"/>
                <w:szCs w:val="21"/>
              </w:rPr>
              <w:t>维修垃圾</w:t>
            </w:r>
          </w:p>
        </w:tc>
        <w:tc>
          <w:tcPr>
            <w:tcW w:w="2437" w:type="dxa"/>
            <w:tcBorders>
              <w:top w:val="single" w:color="auto" w:sz="4" w:space="0"/>
              <w:left w:val="single" w:color="auto" w:sz="4" w:space="0"/>
              <w:bottom w:val="single" w:color="auto" w:sz="4" w:space="0"/>
              <w:right w:val="single" w:color="auto" w:sz="4" w:space="0"/>
            </w:tcBorders>
            <w:vAlign w:val="center"/>
          </w:tcPr>
          <w:p w14:paraId="2B76183D">
            <w:pPr>
              <w:spacing w:line="240" w:lineRule="auto"/>
              <w:jc w:val="center"/>
              <w:rPr>
                <w:color w:val="000000"/>
                <w:szCs w:val="21"/>
              </w:rPr>
            </w:pPr>
            <w:r>
              <w:rPr>
                <w:color w:val="000000"/>
                <w:szCs w:val="21"/>
              </w:rPr>
              <w:t>1.20t/a</w:t>
            </w:r>
          </w:p>
        </w:tc>
        <w:tc>
          <w:tcPr>
            <w:tcW w:w="2152" w:type="dxa"/>
            <w:tcBorders>
              <w:top w:val="single" w:color="auto" w:sz="4" w:space="0"/>
              <w:left w:val="single" w:color="auto" w:sz="4" w:space="0"/>
              <w:bottom w:val="single" w:color="auto" w:sz="4" w:space="0"/>
              <w:right w:val="single" w:color="auto" w:sz="4" w:space="0"/>
            </w:tcBorders>
            <w:vAlign w:val="center"/>
          </w:tcPr>
          <w:p w14:paraId="77334178">
            <w:pPr>
              <w:spacing w:line="240" w:lineRule="auto"/>
              <w:rPr>
                <w:color w:val="000000"/>
                <w:szCs w:val="21"/>
              </w:rPr>
            </w:pPr>
            <w:r>
              <w:rPr>
                <w:rFonts w:hint="eastAsia"/>
                <w:color w:val="000000"/>
                <w:szCs w:val="21"/>
              </w:rPr>
              <w:t>经专门容器收集后暂时贮存于场内危险废物暂存间，委托有处理该危险废物资质的单位及时处置</w:t>
            </w:r>
          </w:p>
        </w:tc>
      </w:tr>
      <w:tr w14:paraId="547BCD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9" w:hRule="atLeast"/>
          <w:jc w:val="center"/>
        </w:trPr>
        <w:tc>
          <w:tcPr>
            <w:tcW w:w="9072" w:type="dxa"/>
            <w:vMerge w:val="continue"/>
            <w:tcBorders>
              <w:top w:val="single" w:color="auto" w:sz="4" w:space="0"/>
              <w:left w:val="single" w:color="auto" w:sz="4" w:space="0"/>
              <w:bottom w:val="single" w:color="auto" w:sz="4" w:space="0"/>
              <w:right w:val="single" w:color="auto" w:sz="4" w:space="0"/>
            </w:tcBorders>
            <w:vAlign w:val="center"/>
          </w:tcPr>
          <w:p w14:paraId="0174B9C6">
            <w:pPr>
              <w:widowControl/>
              <w:spacing w:line="240" w:lineRule="auto"/>
              <w:jc w:val="left"/>
              <w:rPr>
                <w:color w:val="000000"/>
                <w:sz w:val="28"/>
                <w:szCs w:val="28"/>
              </w:rPr>
            </w:pPr>
          </w:p>
        </w:tc>
        <w:tc>
          <w:tcPr>
            <w:tcW w:w="590" w:type="dxa"/>
            <w:vMerge w:val="continue"/>
            <w:tcBorders>
              <w:top w:val="single" w:color="auto" w:sz="4" w:space="0"/>
              <w:left w:val="single" w:color="auto" w:sz="4" w:space="0"/>
              <w:bottom w:val="single" w:color="auto" w:sz="4" w:space="0"/>
              <w:right w:val="single" w:color="auto" w:sz="4" w:space="0"/>
            </w:tcBorders>
            <w:vAlign w:val="center"/>
          </w:tcPr>
          <w:p w14:paraId="18B25DC1">
            <w:pPr>
              <w:widowControl/>
              <w:spacing w:line="240" w:lineRule="auto"/>
              <w:jc w:val="left"/>
              <w:rPr>
                <w:color w:val="000000"/>
                <w:szCs w:val="21"/>
              </w:rPr>
            </w:pPr>
          </w:p>
        </w:tc>
        <w:tc>
          <w:tcPr>
            <w:tcW w:w="2019" w:type="dxa"/>
            <w:tcBorders>
              <w:top w:val="single" w:color="auto" w:sz="4" w:space="0"/>
              <w:left w:val="single" w:color="auto" w:sz="4" w:space="0"/>
              <w:bottom w:val="single" w:color="auto" w:sz="4" w:space="0"/>
              <w:right w:val="single" w:color="auto" w:sz="4" w:space="0"/>
            </w:tcBorders>
            <w:tcMar>
              <w:top w:w="0" w:type="dxa"/>
              <w:left w:w="28" w:type="dxa"/>
              <w:bottom w:w="0" w:type="dxa"/>
              <w:right w:w="0" w:type="dxa"/>
            </w:tcMar>
            <w:vAlign w:val="center"/>
          </w:tcPr>
          <w:p w14:paraId="597AF293">
            <w:pPr>
              <w:spacing w:line="240" w:lineRule="auto"/>
              <w:jc w:val="center"/>
              <w:rPr>
                <w:kern w:val="0"/>
                <w:szCs w:val="21"/>
              </w:rPr>
            </w:pPr>
            <w:r>
              <w:rPr>
                <w:rFonts w:hint="eastAsia"/>
                <w:kern w:val="0"/>
                <w:szCs w:val="21"/>
              </w:rPr>
              <w:t>蓄电池室</w:t>
            </w:r>
          </w:p>
        </w:tc>
        <w:tc>
          <w:tcPr>
            <w:tcW w:w="1274" w:type="dxa"/>
            <w:tcBorders>
              <w:top w:val="single" w:color="auto" w:sz="4" w:space="0"/>
              <w:left w:val="single" w:color="auto" w:sz="4" w:space="0"/>
              <w:bottom w:val="single" w:color="auto" w:sz="4" w:space="0"/>
              <w:right w:val="single" w:color="auto" w:sz="4" w:space="0"/>
            </w:tcBorders>
            <w:vAlign w:val="center"/>
          </w:tcPr>
          <w:p w14:paraId="3BAF5532">
            <w:pPr>
              <w:spacing w:line="240" w:lineRule="auto"/>
              <w:jc w:val="center"/>
              <w:rPr>
                <w:kern w:val="0"/>
                <w:szCs w:val="21"/>
              </w:rPr>
            </w:pPr>
            <w:r>
              <w:rPr>
                <w:rFonts w:hint="eastAsia"/>
                <w:kern w:val="0"/>
                <w:szCs w:val="21"/>
              </w:rPr>
              <w:t>废蓄电池</w:t>
            </w:r>
          </w:p>
        </w:tc>
        <w:tc>
          <w:tcPr>
            <w:tcW w:w="2437" w:type="dxa"/>
            <w:tcBorders>
              <w:top w:val="single" w:color="auto" w:sz="4" w:space="0"/>
              <w:left w:val="single" w:color="auto" w:sz="4" w:space="0"/>
              <w:bottom w:val="single" w:color="auto" w:sz="4" w:space="0"/>
              <w:right w:val="single" w:color="auto" w:sz="4" w:space="0"/>
            </w:tcBorders>
            <w:vAlign w:val="center"/>
          </w:tcPr>
          <w:p w14:paraId="1C1BEBFC">
            <w:pPr>
              <w:spacing w:line="240" w:lineRule="auto"/>
              <w:jc w:val="center"/>
              <w:rPr>
                <w:color w:val="000000"/>
                <w:szCs w:val="21"/>
              </w:rPr>
            </w:pPr>
            <w:r>
              <w:rPr>
                <w:color w:val="000000"/>
                <w:szCs w:val="21"/>
              </w:rPr>
              <w:t>22kg/</w:t>
            </w:r>
            <w:r>
              <w:rPr>
                <w:rFonts w:hint="eastAsia"/>
                <w:color w:val="000000"/>
                <w:szCs w:val="21"/>
              </w:rPr>
              <w:t>次</w:t>
            </w:r>
          </w:p>
        </w:tc>
        <w:tc>
          <w:tcPr>
            <w:tcW w:w="2152" w:type="dxa"/>
            <w:tcBorders>
              <w:top w:val="single" w:color="auto" w:sz="4" w:space="0"/>
              <w:left w:val="single" w:color="auto" w:sz="4" w:space="0"/>
              <w:bottom w:val="single" w:color="auto" w:sz="4" w:space="0"/>
              <w:right w:val="single" w:color="auto" w:sz="4" w:space="0"/>
            </w:tcBorders>
            <w:vAlign w:val="center"/>
          </w:tcPr>
          <w:p w14:paraId="2AEA4F3E">
            <w:pPr>
              <w:spacing w:line="240" w:lineRule="auto"/>
              <w:rPr>
                <w:color w:val="000000"/>
                <w:szCs w:val="21"/>
              </w:rPr>
            </w:pPr>
            <w:r>
              <w:rPr>
                <w:rFonts w:hint="eastAsia"/>
                <w:color w:val="000000"/>
                <w:szCs w:val="21"/>
              </w:rPr>
              <w:t>由蓄电池提供单位回收处置</w:t>
            </w:r>
          </w:p>
        </w:tc>
      </w:tr>
      <w:tr w14:paraId="6CB310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1" w:hRule="atLeast"/>
          <w:jc w:val="center"/>
        </w:trPr>
        <w:tc>
          <w:tcPr>
            <w:tcW w:w="600" w:type="dxa"/>
            <w:vMerge w:val="restart"/>
            <w:tcBorders>
              <w:top w:val="single" w:color="auto" w:sz="4" w:space="0"/>
              <w:left w:val="single" w:color="auto" w:sz="4" w:space="0"/>
              <w:bottom w:val="single" w:color="auto" w:sz="4" w:space="0"/>
              <w:right w:val="single" w:color="auto" w:sz="4" w:space="0"/>
            </w:tcBorders>
            <w:vAlign w:val="center"/>
          </w:tcPr>
          <w:p w14:paraId="417D7AFE">
            <w:pPr>
              <w:spacing w:line="400" w:lineRule="exact"/>
              <w:jc w:val="center"/>
              <w:rPr>
                <w:color w:val="000000"/>
                <w:sz w:val="28"/>
                <w:szCs w:val="28"/>
              </w:rPr>
            </w:pPr>
            <w:r>
              <w:rPr>
                <w:rFonts w:hint="eastAsia"/>
                <w:color w:val="000000"/>
                <w:sz w:val="28"/>
                <w:szCs w:val="28"/>
              </w:rPr>
              <w:t>噪</w:t>
            </w:r>
          </w:p>
          <w:p w14:paraId="0F00EA64">
            <w:pPr>
              <w:spacing w:line="400" w:lineRule="exact"/>
              <w:jc w:val="center"/>
              <w:rPr>
                <w:color w:val="000000"/>
                <w:sz w:val="28"/>
                <w:szCs w:val="28"/>
              </w:rPr>
            </w:pPr>
            <w:r>
              <w:rPr>
                <w:rFonts w:hint="eastAsia"/>
                <w:color w:val="000000"/>
                <w:sz w:val="28"/>
                <w:szCs w:val="28"/>
              </w:rPr>
              <w:t>声</w:t>
            </w:r>
          </w:p>
        </w:tc>
        <w:tc>
          <w:tcPr>
            <w:tcW w:w="590" w:type="dxa"/>
            <w:tcBorders>
              <w:top w:val="single" w:color="auto" w:sz="4" w:space="0"/>
              <w:left w:val="single" w:color="auto" w:sz="4" w:space="0"/>
              <w:bottom w:val="single" w:color="auto" w:sz="4" w:space="0"/>
              <w:right w:val="single" w:color="auto" w:sz="4" w:space="0"/>
            </w:tcBorders>
            <w:vAlign w:val="center"/>
          </w:tcPr>
          <w:p w14:paraId="0A2243A2">
            <w:pPr>
              <w:spacing w:line="240" w:lineRule="auto"/>
              <w:jc w:val="center"/>
              <w:rPr>
                <w:color w:val="000000"/>
                <w:sz w:val="28"/>
                <w:szCs w:val="28"/>
              </w:rPr>
            </w:pPr>
            <w:r>
              <w:rPr>
                <w:rFonts w:hint="eastAsia"/>
                <w:color w:val="000000"/>
                <w:szCs w:val="21"/>
              </w:rPr>
              <w:t>施工期</w:t>
            </w:r>
          </w:p>
        </w:tc>
        <w:tc>
          <w:tcPr>
            <w:tcW w:w="2019" w:type="dxa"/>
            <w:tcBorders>
              <w:top w:val="single" w:color="auto" w:sz="4" w:space="0"/>
              <w:left w:val="single" w:color="auto" w:sz="4" w:space="0"/>
              <w:bottom w:val="single" w:color="auto" w:sz="4" w:space="0"/>
              <w:right w:val="single" w:color="auto" w:sz="4" w:space="0"/>
            </w:tcBorders>
            <w:tcMar>
              <w:top w:w="0" w:type="dxa"/>
              <w:left w:w="28" w:type="dxa"/>
              <w:bottom w:w="0" w:type="dxa"/>
              <w:right w:w="0" w:type="dxa"/>
            </w:tcMar>
            <w:vAlign w:val="center"/>
          </w:tcPr>
          <w:p w14:paraId="533EBAFE">
            <w:pPr>
              <w:spacing w:line="240" w:lineRule="auto"/>
              <w:jc w:val="center"/>
              <w:rPr>
                <w:color w:val="000000"/>
                <w:szCs w:val="21"/>
              </w:rPr>
            </w:pPr>
            <w:r>
              <w:rPr>
                <w:rFonts w:hint="eastAsia"/>
                <w:szCs w:val="21"/>
              </w:rPr>
              <w:t>施工机械、运输车辆</w:t>
            </w:r>
          </w:p>
        </w:tc>
        <w:tc>
          <w:tcPr>
            <w:tcW w:w="1274" w:type="dxa"/>
            <w:tcBorders>
              <w:top w:val="single" w:color="auto" w:sz="4" w:space="0"/>
              <w:left w:val="single" w:color="auto" w:sz="4" w:space="0"/>
              <w:bottom w:val="single" w:color="auto" w:sz="4" w:space="0"/>
              <w:right w:val="single" w:color="auto" w:sz="4" w:space="0"/>
            </w:tcBorders>
            <w:vAlign w:val="center"/>
          </w:tcPr>
          <w:p w14:paraId="0B0BB070">
            <w:pPr>
              <w:spacing w:line="240" w:lineRule="auto"/>
              <w:jc w:val="center"/>
              <w:rPr>
                <w:color w:val="000000"/>
                <w:szCs w:val="21"/>
              </w:rPr>
            </w:pPr>
            <w:r>
              <w:rPr>
                <w:color w:val="000000"/>
                <w:szCs w:val="21"/>
              </w:rPr>
              <w:t>L</w:t>
            </w:r>
            <w:r>
              <w:rPr>
                <w:color w:val="000000"/>
                <w:szCs w:val="21"/>
                <w:vertAlign w:val="subscript"/>
              </w:rPr>
              <w:t>eq</w:t>
            </w:r>
          </w:p>
        </w:tc>
        <w:tc>
          <w:tcPr>
            <w:tcW w:w="2437" w:type="dxa"/>
            <w:tcBorders>
              <w:top w:val="single" w:color="auto" w:sz="4" w:space="0"/>
              <w:left w:val="single" w:color="auto" w:sz="4" w:space="0"/>
              <w:bottom w:val="single" w:color="auto" w:sz="4" w:space="0"/>
              <w:right w:val="single" w:color="auto" w:sz="4" w:space="0"/>
            </w:tcBorders>
            <w:vAlign w:val="center"/>
          </w:tcPr>
          <w:p w14:paraId="2B4805E8">
            <w:pPr>
              <w:spacing w:line="240" w:lineRule="auto"/>
              <w:rPr>
                <w:color w:val="000000"/>
                <w:szCs w:val="21"/>
              </w:rPr>
            </w:pPr>
            <w:r>
              <w:rPr>
                <w:rFonts w:hint="eastAsia"/>
              </w:rPr>
              <w:t>噪声在距源</w:t>
            </w:r>
            <w:r>
              <w:t>5m</w:t>
            </w:r>
            <w:r>
              <w:rPr>
                <w:rFonts w:hint="eastAsia"/>
              </w:rPr>
              <w:t>处的噪声级在</w:t>
            </w:r>
            <w:r>
              <w:t>65</w:t>
            </w:r>
            <w:r>
              <w:rPr>
                <w:rFonts w:hint="eastAsia" w:ascii="宋体" w:hAnsi="宋体"/>
              </w:rPr>
              <w:t>～</w:t>
            </w:r>
            <w:r>
              <w:t>90dB</w:t>
            </w:r>
            <w:r>
              <w:rPr>
                <w:rFonts w:hint="eastAsia"/>
              </w:rPr>
              <w:t>（</w:t>
            </w:r>
            <w:r>
              <w:t>A</w:t>
            </w:r>
            <w:r>
              <w:rPr>
                <w:rFonts w:hint="eastAsia"/>
              </w:rPr>
              <w:t>）之间</w:t>
            </w:r>
          </w:p>
        </w:tc>
        <w:tc>
          <w:tcPr>
            <w:tcW w:w="2152" w:type="dxa"/>
            <w:tcBorders>
              <w:top w:val="single" w:color="auto" w:sz="4" w:space="0"/>
              <w:left w:val="single" w:color="auto" w:sz="4" w:space="0"/>
              <w:bottom w:val="single" w:color="auto" w:sz="4" w:space="0"/>
              <w:right w:val="single" w:color="auto" w:sz="4" w:space="0"/>
            </w:tcBorders>
            <w:vAlign w:val="center"/>
          </w:tcPr>
          <w:p w14:paraId="02357ED7">
            <w:pPr>
              <w:adjustRightInd w:val="0"/>
              <w:snapToGrid w:val="0"/>
              <w:spacing w:line="120" w:lineRule="atLeast"/>
              <w:rPr>
                <w:szCs w:val="21"/>
              </w:rPr>
            </w:pPr>
            <w:r>
              <w:rPr>
                <w:rFonts w:hint="eastAsia"/>
              </w:rPr>
              <w:t>噪声在距源</w:t>
            </w:r>
            <w:r>
              <w:t>5m</w:t>
            </w:r>
            <w:r>
              <w:rPr>
                <w:rFonts w:hint="eastAsia"/>
              </w:rPr>
              <w:t>处的噪声级在</w:t>
            </w:r>
            <w:r>
              <w:t>65</w:t>
            </w:r>
            <w:r>
              <w:rPr>
                <w:rFonts w:hint="eastAsia" w:ascii="宋体" w:hAnsi="宋体"/>
              </w:rPr>
              <w:t>～</w:t>
            </w:r>
            <w:r>
              <w:t>90dB</w:t>
            </w:r>
            <w:r>
              <w:rPr>
                <w:rFonts w:hint="eastAsia"/>
              </w:rPr>
              <w:t>（</w:t>
            </w:r>
            <w:r>
              <w:t>A</w:t>
            </w:r>
            <w:r>
              <w:rPr>
                <w:rFonts w:hint="eastAsia"/>
              </w:rPr>
              <w:t>）之间</w:t>
            </w:r>
          </w:p>
        </w:tc>
      </w:tr>
      <w:tr w14:paraId="725D98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1" w:hRule="atLeast"/>
          <w:jc w:val="center"/>
        </w:trPr>
        <w:tc>
          <w:tcPr>
            <w:tcW w:w="9072" w:type="dxa"/>
            <w:vMerge w:val="continue"/>
            <w:tcBorders>
              <w:top w:val="single" w:color="auto" w:sz="4" w:space="0"/>
              <w:left w:val="single" w:color="auto" w:sz="4" w:space="0"/>
              <w:bottom w:val="single" w:color="auto" w:sz="4" w:space="0"/>
              <w:right w:val="single" w:color="auto" w:sz="4" w:space="0"/>
            </w:tcBorders>
            <w:vAlign w:val="center"/>
          </w:tcPr>
          <w:p w14:paraId="0326D21A">
            <w:pPr>
              <w:widowControl/>
              <w:spacing w:line="240" w:lineRule="auto"/>
              <w:jc w:val="left"/>
              <w:rPr>
                <w:color w:val="000000"/>
                <w:sz w:val="28"/>
                <w:szCs w:val="28"/>
              </w:rPr>
            </w:pPr>
          </w:p>
        </w:tc>
        <w:tc>
          <w:tcPr>
            <w:tcW w:w="590" w:type="dxa"/>
            <w:vMerge w:val="restart"/>
            <w:tcBorders>
              <w:top w:val="single" w:color="auto" w:sz="4" w:space="0"/>
              <w:left w:val="single" w:color="auto" w:sz="4" w:space="0"/>
              <w:bottom w:val="single" w:color="auto" w:sz="4" w:space="0"/>
              <w:right w:val="single" w:color="auto" w:sz="4" w:space="0"/>
            </w:tcBorders>
            <w:vAlign w:val="center"/>
          </w:tcPr>
          <w:p w14:paraId="6CA9B80D">
            <w:pPr>
              <w:spacing w:line="240" w:lineRule="auto"/>
              <w:jc w:val="center"/>
              <w:rPr>
                <w:color w:val="000000"/>
                <w:sz w:val="28"/>
                <w:szCs w:val="28"/>
              </w:rPr>
            </w:pPr>
            <w:r>
              <w:rPr>
                <w:rFonts w:hint="eastAsia"/>
                <w:color w:val="000000"/>
                <w:szCs w:val="21"/>
              </w:rPr>
              <w:t>运行期</w:t>
            </w:r>
          </w:p>
        </w:tc>
        <w:tc>
          <w:tcPr>
            <w:tcW w:w="2019" w:type="dxa"/>
            <w:tcBorders>
              <w:top w:val="single" w:color="auto" w:sz="4" w:space="0"/>
              <w:left w:val="single" w:color="auto" w:sz="4" w:space="0"/>
              <w:bottom w:val="single" w:color="auto" w:sz="4" w:space="0"/>
              <w:right w:val="single" w:color="auto" w:sz="4" w:space="0"/>
            </w:tcBorders>
            <w:tcMar>
              <w:top w:w="0" w:type="dxa"/>
              <w:left w:w="28" w:type="dxa"/>
              <w:bottom w:w="0" w:type="dxa"/>
              <w:right w:w="0" w:type="dxa"/>
            </w:tcMar>
            <w:vAlign w:val="center"/>
          </w:tcPr>
          <w:p w14:paraId="480938A9">
            <w:pPr>
              <w:spacing w:line="240" w:lineRule="auto"/>
              <w:jc w:val="center"/>
              <w:rPr>
                <w:color w:val="000000"/>
                <w:szCs w:val="21"/>
              </w:rPr>
            </w:pPr>
            <w:r>
              <w:rPr>
                <w:rFonts w:hint="eastAsia"/>
                <w:szCs w:val="21"/>
              </w:rPr>
              <w:t>风电机组</w:t>
            </w:r>
          </w:p>
        </w:tc>
        <w:tc>
          <w:tcPr>
            <w:tcW w:w="1274" w:type="dxa"/>
            <w:vMerge w:val="restart"/>
            <w:tcBorders>
              <w:top w:val="single" w:color="auto" w:sz="4" w:space="0"/>
              <w:left w:val="single" w:color="auto" w:sz="4" w:space="0"/>
              <w:bottom w:val="single" w:color="auto" w:sz="4" w:space="0"/>
              <w:right w:val="single" w:color="auto" w:sz="4" w:space="0"/>
            </w:tcBorders>
            <w:vAlign w:val="center"/>
          </w:tcPr>
          <w:p w14:paraId="303A3D2D">
            <w:pPr>
              <w:jc w:val="center"/>
              <w:rPr>
                <w:color w:val="000000"/>
                <w:szCs w:val="21"/>
              </w:rPr>
            </w:pPr>
            <w:r>
              <w:rPr>
                <w:color w:val="000000"/>
                <w:szCs w:val="21"/>
              </w:rPr>
              <w:t>L</w:t>
            </w:r>
            <w:r>
              <w:rPr>
                <w:color w:val="000000"/>
                <w:szCs w:val="21"/>
                <w:vertAlign w:val="subscript"/>
              </w:rPr>
              <w:t>eq</w:t>
            </w:r>
          </w:p>
        </w:tc>
        <w:tc>
          <w:tcPr>
            <w:tcW w:w="2437" w:type="dxa"/>
            <w:tcBorders>
              <w:top w:val="single" w:color="auto" w:sz="4" w:space="0"/>
              <w:left w:val="single" w:color="auto" w:sz="4" w:space="0"/>
              <w:bottom w:val="single" w:color="auto" w:sz="4" w:space="0"/>
              <w:right w:val="single" w:color="auto" w:sz="4" w:space="0"/>
            </w:tcBorders>
            <w:vAlign w:val="center"/>
          </w:tcPr>
          <w:p w14:paraId="78B63EB3">
            <w:pPr>
              <w:spacing w:line="240" w:lineRule="auto"/>
              <w:jc w:val="center"/>
              <w:rPr>
                <w:color w:val="000000"/>
                <w:szCs w:val="21"/>
              </w:rPr>
            </w:pPr>
            <w:r>
              <w:rPr>
                <w:color w:val="000000"/>
                <w:szCs w:val="21"/>
              </w:rPr>
              <w:t>102dB</w:t>
            </w:r>
            <w:r>
              <w:rPr>
                <w:rFonts w:hint="eastAsia"/>
                <w:color w:val="000000"/>
                <w:szCs w:val="21"/>
              </w:rPr>
              <w:t>（</w:t>
            </w:r>
            <w:r>
              <w:rPr>
                <w:color w:val="000000"/>
                <w:szCs w:val="21"/>
              </w:rPr>
              <w:t>A</w:t>
            </w:r>
            <w:r>
              <w:rPr>
                <w:rFonts w:hint="eastAsia"/>
                <w:color w:val="000000"/>
                <w:szCs w:val="21"/>
              </w:rPr>
              <w:t>）</w:t>
            </w:r>
          </w:p>
        </w:tc>
        <w:tc>
          <w:tcPr>
            <w:tcW w:w="2152" w:type="dxa"/>
            <w:tcBorders>
              <w:top w:val="single" w:color="auto" w:sz="4" w:space="0"/>
              <w:left w:val="single" w:color="auto" w:sz="4" w:space="0"/>
              <w:bottom w:val="single" w:color="auto" w:sz="4" w:space="0"/>
              <w:right w:val="single" w:color="auto" w:sz="4" w:space="0"/>
            </w:tcBorders>
            <w:vAlign w:val="center"/>
          </w:tcPr>
          <w:p w14:paraId="03F8013B">
            <w:pPr>
              <w:spacing w:line="240" w:lineRule="auto"/>
              <w:jc w:val="center"/>
              <w:rPr>
                <w:color w:val="000000"/>
                <w:szCs w:val="21"/>
              </w:rPr>
            </w:pPr>
            <w:r>
              <w:rPr>
                <w:color w:val="000000"/>
                <w:szCs w:val="21"/>
              </w:rPr>
              <w:t>102dB</w:t>
            </w:r>
            <w:r>
              <w:rPr>
                <w:rFonts w:hint="eastAsia"/>
                <w:color w:val="000000"/>
                <w:szCs w:val="21"/>
              </w:rPr>
              <w:t>（</w:t>
            </w:r>
            <w:r>
              <w:rPr>
                <w:color w:val="000000"/>
                <w:szCs w:val="21"/>
              </w:rPr>
              <w:t>A</w:t>
            </w:r>
            <w:r>
              <w:rPr>
                <w:rFonts w:hint="eastAsia"/>
                <w:color w:val="000000"/>
                <w:szCs w:val="21"/>
              </w:rPr>
              <w:t>）</w:t>
            </w:r>
          </w:p>
        </w:tc>
      </w:tr>
      <w:tr w14:paraId="5091DD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2" w:hRule="atLeast"/>
          <w:jc w:val="center"/>
        </w:trPr>
        <w:tc>
          <w:tcPr>
            <w:tcW w:w="9072" w:type="dxa"/>
            <w:vMerge w:val="continue"/>
            <w:tcBorders>
              <w:top w:val="single" w:color="auto" w:sz="4" w:space="0"/>
              <w:left w:val="single" w:color="auto" w:sz="4" w:space="0"/>
              <w:bottom w:val="single" w:color="auto" w:sz="4" w:space="0"/>
              <w:right w:val="single" w:color="auto" w:sz="4" w:space="0"/>
            </w:tcBorders>
            <w:vAlign w:val="center"/>
          </w:tcPr>
          <w:p w14:paraId="54D32C0F">
            <w:pPr>
              <w:widowControl/>
              <w:spacing w:line="240" w:lineRule="auto"/>
              <w:jc w:val="left"/>
              <w:rPr>
                <w:color w:val="000000"/>
                <w:sz w:val="28"/>
                <w:szCs w:val="28"/>
              </w:rPr>
            </w:pPr>
          </w:p>
        </w:tc>
        <w:tc>
          <w:tcPr>
            <w:tcW w:w="590" w:type="dxa"/>
            <w:vMerge w:val="continue"/>
            <w:tcBorders>
              <w:top w:val="single" w:color="auto" w:sz="4" w:space="0"/>
              <w:left w:val="single" w:color="auto" w:sz="4" w:space="0"/>
              <w:bottom w:val="single" w:color="auto" w:sz="4" w:space="0"/>
              <w:right w:val="single" w:color="auto" w:sz="4" w:space="0"/>
            </w:tcBorders>
            <w:vAlign w:val="center"/>
          </w:tcPr>
          <w:p w14:paraId="3E7E979D">
            <w:pPr>
              <w:widowControl/>
              <w:spacing w:line="240" w:lineRule="auto"/>
              <w:jc w:val="left"/>
              <w:rPr>
                <w:color w:val="000000"/>
                <w:sz w:val="28"/>
                <w:szCs w:val="28"/>
              </w:rPr>
            </w:pPr>
          </w:p>
        </w:tc>
        <w:tc>
          <w:tcPr>
            <w:tcW w:w="2019" w:type="dxa"/>
            <w:tcBorders>
              <w:top w:val="single" w:color="auto" w:sz="4" w:space="0"/>
              <w:left w:val="single" w:color="auto" w:sz="4" w:space="0"/>
              <w:bottom w:val="single" w:color="auto" w:sz="4" w:space="0"/>
              <w:right w:val="single" w:color="auto" w:sz="4" w:space="0"/>
            </w:tcBorders>
            <w:tcMar>
              <w:top w:w="0" w:type="dxa"/>
              <w:left w:w="28" w:type="dxa"/>
              <w:bottom w:w="0" w:type="dxa"/>
              <w:right w:w="0" w:type="dxa"/>
            </w:tcMar>
            <w:vAlign w:val="center"/>
          </w:tcPr>
          <w:p w14:paraId="7AAE7F44">
            <w:pPr>
              <w:spacing w:line="240" w:lineRule="auto"/>
              <w:jc w:val="center"/>
              <w:rPr>
                <w:szCs w:val="21"/>
              </w:rPr>
            </w:pPr>
            <w:r>
              <w:rPr>
                <w:rFonts w:hint="eastAsia"/>
              </w:rPr>
              <w:t>变压器</w:t>
            </w:r>
          </w:p>
        </w:tc>
        <w:tc>
          <w:tcPr>
            <w:tcW w:w="1274" w:type="dxa"/>
            <w:vMerge w:val="continue"/>
            <w:tcBorders>
              <w:top w:val="single" w:color="auto" w:sz="4" w:space="0"/>
              <w:left w:val="single" w:color="auto" w:sz="4" w:space="0"/>
              <w:bottom w:val="single" w:color="auto" w:sz="4" w:space="0"/>
              <w:right w:val="single" w:color="auto" w:sz="4" w:space="0"/>
            </w:tcBorders>
            <w:vAlign w:val="center"/>
          </w:tcPr>
          <w:p w14:paraId="0E1F29DC">
            <w:pPr>
              <w:widowControl/>
              <w:spacing w:line="240" w:lineRule="auto"/>
              <w:jc w:val="left"/>
              <w:rPr>
                <w:color w:val="000000"/>
                <w:szCs w:val="21"/>
              </w:rPr>
            </w:pPr>
          </w:p>
        </w:tc>
        <w:tc>
          <w:tcPr>
            <w:tcW w:w="2437" w:type="dxa"/>
            <w:tcBorders>
              <w:top w:val="single" w:color="auto" w:sz="4" w:space="0"/>
              <w:left w:val="single" w:color="auto" w:sz="4" w:space="0"/>
              <w:bottom w:val="single" w:color="auto" w:sz="4" w:space="0"/>
              <w:right w:val="single" w:color="auto" w:sz="4" w:space="0"/>
            </w:tcBorders>
            <w:vAlign w:val="center"/>
          </w:tcPr>
          <w:p w14:paraId="133B9663">
            <w:pPr>
              <w:spacing w:line="240" w:lineRule="auto"/>
              <w:jc w:val="center"/>
              <w:rPr>
                <w:color w:val="000000"/>
                <w:szCs w:val="21"/>
              </w:rPr>
            </w:pPr>
            <w:r>
              <w:rPr>
                <w:color w:val="000000"/>
                <w:szCs w:val="21"/>
              </w:rPr>
              <w:t>75dB</w:t>
            </w:r>
            <w:r>
              <w:rPr>
                <w:rFonts w:hint="eastAsia"/>
                <w:color w:val="000000"/>
                <w:szCs w:val="21"/>
              </w:rPr>
              <w:t>（</w:t>
            </w:r>
            <w:r>
              <w:rPr>
                <w:color w:val="000000"/>
                <w:szCs w:val="21"/>
              </w:rPr>
              <w:t>A</w:t>
            </w:r>
            <w:r>
              <w:rPr>
                <w:rFonts w:hint="eastAsia"/>
                <w:color w:val="000000"/>
                <w:szCs w:val="21"/>
              </w:rPr>
              <w:t>）</w:t>
            </w:r>
          </w:p>
        </w:tc>
        <w:tc>
          <w:tcPr>
            <w:tcW w:w="2152" w:type="dxa"/>
            <w:tcBorders>
              <w:top w:val="single" w:color="auto" w:sz="4" w:space="0"/>
              <w:left w:val="single" w:color="auto" w:sz="4" w:space="0"/>
              <w:bottom w:val="single" w:color="auto" w:sz="4" w:space="0"/>
              <w:right w:val="single" w:color="auto" w:sz="4" w:space="0"/>
            </w:tcBorders>
            <w:vAlign w:val="center"/>
          </w:tcPr>
          <w:p w14:paraId="7A7D1C1E">
            <w:pPr>
              <w:spacing w:line="240" w:lineRule="auto"/>
              <w:jc w:val="center"/>
              <w:rPr>
                <w:color w:val="000000"/>
                <w:szCs w:val="21"/>
              </w:rPr>
            </w:pPr>
            <w:r>
              <w:rPr>
                <w:color w:val="000000"/>
                <w:szCs w:val="21"/>
              </w:rPr>
              <w:t>75dB</w:t>
            </w:r>
            <w:r>
              <w:rPr>
                <w:rFonts w:hint="eastAsia"/>
                <w:color w:val="000000"/>
                <w:szCs w:val="21"/>
              </w:rPr>
              <w:t>（</w:t>
            </w:r>
            <w:r>
              <w:rPr>
                <w:color w:val="000000"/>
                <w:szCs w:val="21"/>
              </w:rPr>
              <w:t>A</w:t>
            </w:r>
            <w:r>
              <w:rPr>
                <w:rFonts w:hint="eastAsia"/>
                <w:color w:val="000000"/>
                <w:szCs w:val="21"/>
              </w:rPr>
              <w:t>）</w:t>
            </w:r>
          </w:p>
        </w:tc>
      </w:tr>
      <w:tr w14:paraId="70596D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90" w:type="dxa"/>
            <w:gridSpan w:val="2"/>
            <w:tcBorders>
              <w:top w:val="single" w:color="auto" w:sz="4" w:space="0"/>
              <w:left w:val="single" w:color="auto" w:sz="4" w:space="0"/>
              <w:bottom w:val="single" w:color="auto" w:sz="4" w:space="0"/>
              <w:right w:val="single" w:color="auto" w:sz="4" w:space="0"/>
            </w:tcBorders>
          </w:tcPr>
          <w:p w14:paraId="192AF71A">
            <w:pPr>
              <w:spacing w:line="400" w:lineRule="exact"/>
              <w:jc w:val="center"/>
              <w:rPr>
                <w:color w:val="000000"/>
                <w:sz w:val="28"/>
                <w:szCs w:val="28"/>
              </w:rPr>
            </w:pPr>
            <w:r>
              <w:rPr>
                <w:rFonts w:hint="eastAsia"/>
                <w:color w:val="000000"/>
                <w:sz w:val="28"/>
                <w:szCs w:val="28"/>
              </w:rPr>
              <w:t>其</w:t>
            </w:r>
          </w:p>
          <w:p w14:paraId="557CC53C">
            <w:pPr>
              <w:spacing w:line="400" w:lineRule="exact"/>
              <w:jc w:val="center"/>
              <w:rPr>
                <w:color w:val="000000"/>
                <w:sz w:val="28"/>
                <w:szCs w:val="28"/>
              </w:rPr>
            </w:pPr>
            <w:r>
              <w:rPr>
                <w:rFonts w:hint="eastAsia"/>
                <w:color w:val="000000"/>
                <w:sz w:val="28"/>
                <w:szCs w:val="28"/>
              </w:rPr>
              <w:t>他</w:t>
            </w:r>
          </w:p>
        </w:tc>
        <w:tc>
          <w:tcPr>
            <w:tcW w:w="7882" w:type="dxa"/>
            <w:gridSpan w:val="4"/>
            <w:tcBorders>
              <w:top w:val="single" w:color="auto" w:sz="4" w:space="0"/>
              <w:left w:val="single" w:color="auto" w:sz="4" w:space="0"/>
              <w:bottom w:val="single" w:color="auto" w:sz="4" w:space="0"/>
              <w:right w:val="single" w:color="auto" w:sz="4" w:space="0"/>
            </w:tcBorders>
            <w:tcMar>
              <w:top w:w="0" w:type="dxa"/>
              <w:left w:w="28" w:type="dxa"/>
              <w:bottom w:w="0" w:type="dxa"/>
              <w:right w:w="0" w:type="dxa"/>
            </w:tcMar>
            <w:vAlign w:val="center"/>
          </w:tcPr>
          <w:p w14:paraId="5756CC71">
            <w:pPr>
              <w:spacing w:line="240" w:lineRule="auto"/>
              <w:jc w:val="center"/>
              <w:rPr>
                <w:color w:val="000000"/>
                <w:szCs w:val="21"/>
              </w:rPr>
            </w:pPr>
            <w:r>
              <w:rPr>
                <w:rFonts w:hint="eastAsia"/>
                <w:color w:val="000000"/>
                <w:szCs w:val="21"/>
              </w:rPr>
              <w:t>无</w:t>
            </w:r>
          </w:p>
        </w:tc>
      </w:tr>
      <w:tr w14:paraId="65DC22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71" w:hRule="atLeast"/>
          <w:jc w:val="center"/>
        </w:trPr>
        <w:tc>
          <w:tcPr>
            <w:tcW w:w="9072" w:type="dxa"/>
            <w:gridSpan w:val="6"/>
            <w:tcBorders>
              <w:top w:val="single" w:color="auto" w:sz="4" w:space="0"/>
              <w:left w:val="single" w:color="auto" w:sz="4" w:space="0"/>
              <w:bottom w:val="single" w:color="auto" w:sz="4" w:space="0"/>
              <w:right w:val="single" w:color="auto" w:sz="4" w:space="0"/>
            </w:tcBorders>
            <w:tcMar>
              <w:top w:w="0" w:type="dxa"/>
              <w:left w:w="28" w:type="dxa"/>
              <w:bottom w:w="0" w:type="dxa"/>
              <w:right w:w="0" w:type="dxa"/>
            </w:tcMar>
          </w:tcPr>
          <w:p w14:paraId="4CDED41F">
            <w:pPr>
              <w:rPr>
                <w:b/>
                <w:sz w:val="28"/>
              </w:rPr>
            </w:pPr>
            <w:r>
              <w:rPr>
                <w:rFonts w:hint="eastAsia"/>
                <w:b/>
                <w:sz w:val="28"/>
              </w:rPr>
              <w:t>主要生态影响</w:t>
            </w:r>
            <w:r>
              <w:rPr>
                <w:b/>
                <w:sz w:val="28"/>
              </w:rPr>
              <w:t>(</w:t>
            </w:r>
            <w:r>
              <w:rPr>
                <w:rFonts w:hint="eastAsia"/>
                <w:b/>
                <w:sz w:val="28"/>
              </w:rPr>
              <w:t>不够时可附另页</w:t>
            </w:r>
            <w:r>
              <w:rPr>
                <w:b/>
                <w:sz w:val="28"/>
              </w:rPr>
              <w:t>)</w:t>
            </w:r>
            <w:r>
              <w:rPr>
                <w:rFonts w:hint="eastAsia"/>
                <w:b/>
                <w:sz w:val="28"/>
              </w:rPr>
              <w:t>：</w:t>
            </w:r>
          </w:p>
          <w:p w14:paraId="40ABAB4D">
            <w:pPr>
              <w:spacing w:line="240" w:lineRule="auto"/>
              <w:ind w:firstLine="420" w:firstLineChars="200"/>
              <w:rPr>
                <w:color w:val="000000"/>
                <w:szCs w:val="21"/>
              </w:rPr>
            </w:pPr>
            <w:r>
              <w:rPr>
                <w:rFonts w:hint="eastAsia"/>
                <w:color w:val="000000"/>
                <w:szCs w:val="21"/>
              </w:rPr>
              <w:t>（</w:t>
            </w:r>
            <w:r>
              <w:rPr>
                <w:color w:val="000000"/>
                <w:szCs w:val="21"/>
              </w:rPr>
              <w:t>1</w:t>
            </w:r>
            <w:r>
              <w:rPr>
                <w:rFonts w:hint="eastAsia"/>
                <w:color w:val="000000"/>
                <w:szCs w:val="21"/>
              </w:rPr>
              <w:t>）施工期生态影响</w:t>
            </w:r>
          </w:p>
          <w:p w14:paraId="12818D29">
            <w:pPr>
              <w:spacing w:line="240" w:lineRule="auto"/>
              <w:ind w:firstLine="420" w:firstLineChars="200"/>
              <w:rPr>
                <w:color w:val="000000"/>
                <w:szCs w:val="21"/>
              </w:rPr>
            </w:pPr>
            <w:r>
              <w:rPr>
                <w:rFonts w:hint="eastAsia"/>
                <w:color w:val="000000"/>
                <w:szCs w:val="21"/>
              </w:rPr>
              <w:t>本项目施工期永久占地、临时占地以及人员活动等会对植被、动物及其生境等产生影响，使土地利用类型发生改变。风机基础开挖、安装场地平整、施工道路施工、临时堆土等施工活动，将扰动地表，破坏地表形态，损坏植被，导致地表裸露，土层结构破坏，使场区内新增一定量的水土流失。施工期间人为活动产生的噪声会干扰鸟类原有生活环境，使场址范围内的鸟类无法在此觅食、筑巢和繁殖。</w:t>
            </w:r>
          </w:p>
          <w:p w14:paraId="468DCEB4">
            <w:pPr>
              <w:spacing w:line="240" w:lineRule="auto"/>
              <w:ind w:firstLine="420" w:firstLineChars="200"/>
              <w:rPr>
                <w:color w:val="000000"/>
                <w:szCs w:val="21"/>
              </w:rPr>
            </w:pPr>
            <w:r>
              <w:rPr>
                <w:rFonts w:hint="eastAsia"/>
                <w:color w:val="000000"/>
                <w:szCs w:val="21"/>
              </w:rPr>
              <w:t>临时占地在施工结束后采取植被恢复等措施，可逐步恢复土地利用功能。永久占地面积占评价区域面积比例不大，对整个区域土地利用功能影响较小。由于风电场施工期较短，可以迁移至周围其他生活环境类似的区域，因此对鸟类影响不大，不会造成鸟类数量的减少。</w:t>
            </w:r>
          </w:p>
          <w:p w14:paraId="5E21C576">
            <w:pPr>
              <w:spacing w:line="240" w:lineRule="auto"/>
              <w:ind w:firstLine="420" w:firstLineChars="200"/>
              <w:rPr>
                <w:color w:val="000000"/>
                <w:szCs w:val="21"/>
              </w:rPr>
            </w:pPr>
            <w:r>
              <w:rPr>
                <w:rFonts w:hint="eastAsia"/>
                <w:color w:val="000000"/>
                <w:szCs w:val="21"/>
              </w:rPr>
              <w:t>（</w:t>
            </w:r>
            <w:r>
              <w:rPr>
                <w:color w:val="000000"/>
                <w:szCs w:val="21"/>
              </w:rPr>
              <w:t>2</w:t>
            </w:r>
            <w:r>
              <w:rPr>
                <w:rFonts w:hint="eastAsia"/>
                <w:color w:val="000000"/>
                <w:szCs w:val="21"/>
              </w:rPr>
              <w:t>）营运期生态影响</w:t>
            </w:r>
          </w:p>
          <w:p w14:paraId="06CDCADC">
            <w:pPr>
              <w:spacing w:line="240" w:lineRule="auto"/>
              <w:ind w:firstLine="420" w:firstLineChars="200"/>
              <w:rPr>
                <w:color w:val="000000"/>
                <w:szCs w:val="21"/>
              </w:rPr>
            </w:pPr>
            <w:r>
              <w:rPr>
                <w:rFonts w:hint="eastAsia"/>
                <w:color w:val="000000"/>
                <w:szCs w:val="21"/>
              </w:rPr>
              <w:t>营运期风机运转过程中可能会对鸟类产生恫吓作用，对鸟类繁殖、栖息和觅食的干扰影响，所在区域由原来的自然景观转变为风电人工和自然组合景观。</w:t>
            </w:r>
          </w:p>
          <w:p w14:paraId="4C9915A0">
            <w:pPr>
              <w:spacing w:line="240" w:lineRule="auto"/>
              <w:ind w:firstLine="420" w:firstLineChars="200"/>
              <w:rPr>
                <w:color w:val="000000"/>
                <w:szCs w:val="21"/>
              </w:rPr>
            </w:pPr>
            <w:r>
              <w:rPr>
                <w:rFonts w:hint="eastAsia"/>
                <w:color w:val="000000"/>
                <w:szCs w:val="21"/>
              </w:rPr>
              <w:t>鸟类通常选择水草肥美的湿地作为栖息觅食地，风电场建设范围内的湿地资源很少，鸟类栖息觅食地也很少。</w:t>
            </w:r>
            <w:r>
              <w:rPr>
                <w:rFonts w:hint="eastAsia"/>
              </w:rPr>
              <w:t>根据中国候鸟迁徙路线示意图，拟建风电场不在候鸟迁徙通道上，加之周围目前已有很多风电场建成并运营，所以拟建风电场对鸟类迁徙活动影响较小。</w:t>
            </w:r>
          </w:p>
          <w:p w14:paraId="11D99451">
            <w:pPr>
              <w:spacing w:line="240" w:lineRule="auto"/>
              <w:ind w:firstLine="420" w:firstLineChars="200"/>
              <w:rPr>
                <w:color w:val="000000"/>
                <w:szCs w:val="21"/>
              </w:rPr>
            </w:pPr>
            <w:r>
              <w:rPr>
                <w:rFonts w:hint="eastAsia"/>
                <w:color w:val="000000"/>
                <w:szCs w:val="21"/>
              </w:rPr>
              <w:t>拟建风电场范围内野生动物分布较少，评价区范围内无保护动物，且拟建风电场周围已有风电场建成并运营。所以，拟建风电场低频噪声对评价区域内野生动物造成影响较小。</w:t>
            </w:r>
          </w:p>
          <w:p w14:paraId="30D48905">
            <w:pPr>
              <w:spacing w:line="240" w:lineRule="auto"/>
              <w:ind w:firstLine="420" w:firstLineChars="200"/>
              <w:rPr>
                <w:color w:val="000000"/>
                <w:szCs w:val="21"/>
              </w:rPr>
            </w:pPr>
            <w:r>
              <w:rPr>
                <w:rFonts w:hint="eastAsia"/>
                <w:color w:val="000000"/>
                <w:szCs w:val="21"/>
              </w:rPr>
              <w:t>本项目建成营运后，风机基础、升压站等永久占地失去原有的生物生产功能和生态功能，植被基本完全损失，植被覆盖率降低，在恶劣天气条件下会加剧该区域的水土流失。另外，运营初期的植物措施恢复期，也存在着一定的水土流失。随着植被的恢复，运营期水土流失将恢复至建设项目前的水平，因此，运营期水土流失较小。</w:t>
            </w:r>
          </w:p>
          <w:p w14:paraId="3D515933">
            <w:pPr>
              <w:spacing w:line="240" w:lineRule="auto"/>
              <w:ind w:firstLine="420" w:firstLineChars="200"/>
              <w:rPr>
                <w:color w:val="000000"/>
                <w:szCs w:val="21"/>
              </w:rPr>
            </w:pPr>
            <w:r>
              <w:rPr>
                <w:rFonts w:hint="eastAsia"/>
                <w:color w:val="000000"/>
                <w:szCs w:val="21"/>
              </w:rPr>
              <w:t>本工程拟选择白色风机，使风电场看上去与周围景观十分协调。风场附近无自然保护区、生态旅游区、风景名胜区等，工程建设对周围视觉景观影响较小。视觉影响</w:t>
            </w:r>
            <w:bookmarkStart w:id="15" w:name="_GoBack"/>
            <w:bookmarkEnd w:id="15"/>
            <w:r>
              <w:rPr>
                <w:rFonts w:hint="eastAsia"/>
                <w:color w:val="000000"/>
                <w:szCs w:val="21"/>
              </w:rPr>
              <w:t>具有一定的主观性，为了减小人们心理上对风电场的负面情绪，应使风电场内的各风机都处于良好的运行状态。</w:t>
            </w:r>
          </w:p>
          <w:p w14:paraId="1CBE0867">
            <w:pPr>
              <w:spacing w:line="240" w:lineRule="auto"/>
              <w:ind w:firstLine="420" w:firstLineChars="200"/>
              <w:rPr>
                <w:color w:val="000000"/>
                <w:szCs w:val="21"/>
              </w:rPr>
            </w:pPr>
          </w:p>
          <w:p w14:paraId="34558B6F">
            <w:pPr>
              <w:spacing w:line="240" w:lineRule="auto"/>
              <w:ind w:firstLine="420" w:firstLineChars="200"/>
              <w:rPr>
                <w:color w:val="000000"/>
                <w:szCs w:val="21"/>
              </w:rPr>
            </w:pPr>
          </w:p>
          <w:p w14:paraId="6A42199B">
            <w:pPr>
              <w:spacing w:line="240" w:lineRule="auto"/>
              <w:ind w:firstLine="420" w:firstLineChars="200"/>
              <w:rPr>
                <w:color w:val="000000"/>
                <w:szCs w:val="21"/>
              </w:rPr>
            </w:pPr>
          </w:p>
          <w:p w14:paraId="1AB8E8B1">
            <w:pPr>
              <w:spacing w:line="240" w:lineRule="auto"/>
              <w:ind w:firstLine="420" w:firstLineChars="200"/>
              <w:rPr>
                <w:color w:val="000000"/>
                <w:szCs w:val="21"/>
              </w:rPr>
            </w:pPr>
          </w:p>
          <w:p w14:paraId="54B13905">
            <w:pPr>
              <w:spacing w:line="240" w:lineRule="auto"/>
              <w:ind w:firstLine="420" w:firstLineChars="200"/>
              <w:rPr>
                <w:color w:val="000000"/>
                <w:szCs w:val="21"/>
              </w:rPr>
            </w:pPr>
          </w:p>
          <w:p w14:paraId="643FA3C4">
            <w:pPr>
              <w:spacing w:line="240" w:lineRule="auto"/>
              <w:ind w:firstLine="420" w:firstLineChars="200"/>
              <w:rPr>
                <w:color w:val="000000"/>
                <w:szCs w:val="21"/>
              </w:rPr>
            </w:pPr>
          </w:p>
        </w:tc>
      </w:tr>
    </w:tbl>
    <w:p w14:paraId="1540B8A2">
      <w:pPr>
        <w:rPr>
          <w:rFonts w:eastAsia="黑体"/>
          <w:b/>
          <w:color w:val="000000"/>
          <w:sz w:val="28"/>
          <w:szCs w:val="28"/>
        </w:rPr>
      </w:pPr>
      <w:r>
        <w:rPr>
          <w:rFonts w:hint="eastAsia"/>
          <w:b/>
          <w:color w:val="000000"/>
          <w:sz w:val="28"/>
          <w:szCs w:val="28"/>
        </w:rPr>
        <w:t>环境影响分析及防治措施</w:t>
      </w:r>
    </w:p>
    <w:tbl>
      <w:tblPr>
        <w:tblStyle w:val="25"/>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9072"/>
      </w:tblGrid>
      <w:tr w14:paraId="7058947B">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248" w:hRule="atLeast"/>
          <w:jc w:val="center"/>
        </w:trPr>
        <w:tc>
          <w:tcPr>
            <w:tcW w:w="9072" w:type="dxa"/>
            <w:tcBorders>
              <w:top w:val="single" w:color="auto" w:sz="8" w:space="0"/>
              <w:left w:val="single" w:color="auto" w:sz="8" w:space="0"/>
              <w:bottom w:val="single" w:color="auto" w:sz="8" w:space="0"/>
              <w:right w:val="single" w:color="auto" w:sz="8" w:space="0"/>
            </w:tcBorders>
          </w:tcPr>
          <w:p w14:paraId="70A5F646">
            <w:pPr>
              <w:rPr>
                <w:b/>
                <w:color w:val="000000"/>
                <w:sz w:val="24"/>
              </w:rPr>
            </w:pPr>
            <w:r>
              <w:rPr>
                <w:rFonts w:hint="eastAsia"/>
                <w:b/>
                <w:color w:val="000000"/>
                <w:sz w:val="24"/>
              </w:rPr>
              <w:t>施工期环境影响简要分析</w:t>
            </w:r>
          </w:p>
          <w:p w14:paraId="13B81413">
            <w:pPr>
              <w:spacing w:beforeLines="50"/>
              <w:ind w:firstLine="480" w:firstLineChars="200"/>
              <w:rPr>
                <w:color w:val="000000"/>
                <w:sz w:val="24"/>
              </w:rPr>
            </w:pPr>
            <w:r>
              <w:rPr>
                <w:rFonts w:hint="eastAsia"/>
                <w:color w:val="000000"/>
                <w:sz w:val="24"/>
              </w:rPr>
              <w:t>本项目施工期为</w:t>
            </w:r>
            <w:r>
              <w:rPr>
                <w:color w:val="000000"/>
                <w:sz w:val="24"/>
              </w:rPr>
              <w:t>18</w:t>
            </w:r>
            <w:r>
              <w:rPr>
                <w:rFonts w:hint="eastAsia"/>
                <w:color w:val="000000"/>
                <w:sz w:val="24"/>
              </w:rPr>
              <w:t>个月，施工内容包括土方施工、建筑施工和设备安装，施工期间将产生施工扬尘、施工噪声和一定量的建筑垃圾，临时占地、永久占地以及人员活动等会对植被、动物及其生境等产生影响，从而对评价范围内生态系统产生影响。本工程施工期环境影响、污染物控制措施及生态恢复措施如下：</w:t>
            </w:r>
          </w:p>
          <w:p w14:paraId="3E07E215">
            <w:pPr>
              <w:ind w:firstLine="480" w:firstLineChars="200"/>
              <w:rPr>
                <w:color w:val="000000"/>
                <w:sz w:val="24"/>
              </w:rPr>
            </w:pPr>
            <w:r>
              <w:rPr>
                <w:rFonts w:hint="eastAsia"/>
                <w:color w:val="000000"/>
                <w:sz w:val="24"/>
              </w:rPr>
              <w:t>（</w:t>
            </w:r>
            <w:r>
              <w:rPr>
                <w:color w:val="000000"/>
                <w:sz w:val="24"/>
              </w:rPr>
              <w:t>1</w:t>
            </w:r>
            <w:r>
              <w:rPr>
                <w:rFonts w:hint="eastAsia"/>
                <w:color w:val="000000"/>
                <w:sz w:val="24"/>
              </w:rPr>
              <w:t>）环境空气影响分析</w:t>
            </w:r>
          </w:p>
          <w:p w14:paraId="641CFE3C">
            <w:pPr>
              <w:ind w:firstLine="480" w:firstLineChars="200"/>
              <w:rPr>
                <w:color w:val="000000"/>
                <w:sz w:val="24"/>
              </w:rPr>
            </w:pPr>
            <w:r>
              <w:rPr>
                <w:rFonts w:hint="eastAsia"/>
                <w:color w:val="000000"/>
                <w:sz w:val="24"/>
              </w:rPr>
              <w:t>①</w:t>
            </w:r>
            <w:r>
              <w:rPr>
                <w:color w:val="000000"/>
                <w:sz w:val="24"/>
              </w:rPr>
              <w:t xml:space="preserve"> </w:t>
            </w:r>
            <w:r>
              <w:rPr>
                <w:rFonts w:hint="eastAsia"/>
                <w:sz w:val="24"/>
              </w:rPr>
              <w:t>施工扬尘</w:t>
            </w:r>
          </w:p>
          <w:p w14:paraId="590BC2E8">
            <w:pPr>
              <w:ind w:firstLine="480" w:firstLineChars="200"/>
              <w:rPr>
                <w:color w:val="000000"/>
                <w:sz w:val="24"/>
              </w:rPr>
            </w:pPr>
            <w:r>
              <w:rPr>
                <w:rFonts w:hint="eastAsia"/>
                <w:color w:val="000000"/>
                <w:sz w:val="24"/>
              </w:rPr>
              <w:t>施工扬尘主要来源于风力发电机、升压站等基础土石方的开挖、堆放、回填等形成露天堆场和裸露场地的风力扬尘；建筑材料在运输、装卸等过程由于泄露造成扬尘污染；建筑材料及土石方运输车辆行驶过程中产生道路扬尘污染。</w:t>
            </w:r>
          </w:p>
          <w:p w14:paraId="3BF34944">
            <w:pPr>
              <w:ind w:firstLine="480" w:firstLineChars="200"/>
              <w:rPr>
                <w:color w:val="000000"/>
                <w:sz w:val="24"/>
              </w:rPr>
            </w:pPr>
            <w:r>
              <w:rPr>
                <w:color w:val="000000"/>
                <w:sz w:val="24"/>
              </w:rPr>
              <w:t>a</w:t>
            </w:r>
            <w:r>
              <w:rPr>
                <w:rFonts w:hint="eastAsia"/>
                <w:color w:val="000000"/>
                <w:sz w:val="24"/>
              </w:rPr>
              <w:t>、建筑材料露天堆放扬尘</w:t>
            </w:r>
          </w:p>
          <w:p w14:paraId="710666B8">
            <w:pPr>
              <w:ind w:firstLine="480" w:firstLineChars="200"/>
              <w:rPr>
                <w:color w:val="000000"/>
                <w:sz w:val="24"/>
              </w:rPr>
            </w:pPr>
            <w:r>
              <w:rPr>
                <w:rFonts w:hint="eastAsia"/>
                <w:color w:val="000000"/>
                <w:sz w:val="24"/>
              </w:rPr>
              <w:t>由于施工需要，建筑材料需要露天堆放，施工作业点的表层土壤及土石方在经过人工开挖后，临时堆放于露天，在气候干燥且有风的情况下，会产生大量的扬尘，如不采取有效措施，会对周围环境造成污染，一般影响范围在下风向</w:t>
            </w:r>
            <w:r>
              <w:rPr>
                <w:color w:val="000000"/>
                <w:sz w:val="24"/>
              </w:rPr>
              <w:t>200m</w:t>
            </w:r>
            <w:r>
              <w:rPr>
                <w:rFonts w:hint="eastAsia"/>
                <w:color w:val="000000"/>
                <w:sz w:val="24"/>
              </w:rPr>
              <w:t>内。该扬尘产生量与尘粒含水率、风向、风速、施工时间等密切相关，故为减少本扬尘对周围环境的影响，应采取以下措施：减少露天堆放，如确需露天堆放的应加以覆盖；开挖的土石方应及时回填或运到指定地点，减少扬尘影响；对施工工作面及堆场实施洒水降尘，保证一定的含水量。</w:t>
            </w:r>
          </w:p>
          <w:p w14:paraId="00CF101B">
            <w:pPr>
              <w:ind w:firstLine="480" w:firstLineChars="200"/>
              <w:rPr>
                <w:color w:val="000000"/>
                <w:sz w:val="24"/>
              </w:rPr>
            </w:pPr>
            <w:r>
              <w:rPr>
                <w:color w:val="000000"/>
                <w:sz w:val="24"/>
              </w:rPr>
              <w:t>b</w:t>
            </w:r>
            <w:r>
              <w:rPr>
                <w:rFonts w:hint="eastAsia"/>
                <w:color w:val="000000"/>
                <w:sz w:val="24"/>
              </w:rPr>
              <w:t>、运输车辆引起的道路扬尘</w:t>
            </w:r>
          </w:p>
          <w:p w14:paraId="310A2CB9">
            <w:pPr>
              <w:ind w:firstLine="480" w:firstLineChars="200"/>
              <w:rPr>
                <w:color w:val="000000"/>
                <w:sz w:val="24"/>
              </w:rPr>
            </w:pPr>
            <w:r>
              <w:rPr>
                <w:rFonts w:hint="eastAsia"/>
                <w:color w:val="000000"/>
                <w:sz w:val="24"/>
              </w:rPr>
              <w:t>施工扬尘</w:t>
            </w:r>
            <w:r>
              <w:rPr>
                <w:color w:val="000000"/>
                <w:sz w:val="24"/>
              </w:rPr>
              <w:t>60%</w:t>
            </w:r>
            <w:r>
              <w:rPr>
                <w:rFonts w:hint="eastAsia"/>
                <w:color w:val="000000"/>
                <w:sz w:val="24"/>
              </w:rPr>
              <w:t>以上是施工运输车辆引起的道路扬尘。扬尘污染在道路两边扩散，最大扬尘浓度出现在道路两边，随着离开路边距离的增加，浓度逐渐递减而趋于背景值，一般条件下影响范围在道路两侧</w:t>
            </w:r>
            <w:r>
              <w:rPr>
                <w:color w:val="000000"/>
                <w:sz w:val="24"/>
              </w:rPr>
              <w:t>200m</w:t>
            </w:r>
            <w:r>
              <w:rPr>
                <w:rFonts w:hint="eastAsia"/>
                <w:color w:val="000000"/>
                <w:sz w:val="24"/>
              </w:rPr>
              <w:t>以内。道路扬尘量的大小与车速、车型、车流量、风速、道路表面积尘量等诸多因素有关。根据类似施工现场汽车运输引起的扬尘现场监测结果，运输车辆下风向</w:t>
            </w:r>
            <w:r>
              <w:rPr>
                <w:color w:val="000000"/>
                <w:sz w:val="24"/>
              </w:rPr>
              <w:t>50m</w:t>
            </w:r>
            <w:r>
              <w:rPr>
                <w:rFonts w:hint="eastAsia"/>
                <w:color w:val="000000"/>
                <w:sz w:val="24"/>
              </w:rPr>
              <w:t>处</w:t>
            </w:r>
            <w:r>
              <w:rPr>
                <w:color w:val="000000"/>
                <w:sz w:val="24"/>
              </w:rPr>
              <w:t>TSP</w:t>
            </w:r>
            <w:r>
              <w:rPr>
                <w:rFonts w:hint="eastAsia"/>
                <w:color w:val="000000"/>
                <w:sz w:val="24"/>
              </w:rPr>
              <w:t>浓度达到</w:t>
            </w:r>
            <w:r>
              <w:rPr>
                <w:color w:val="000000"/>
                <w:sz w:val="24"/>
              </w:rPr>
              <w:t>10mg/m</w:t>
            </w:r>
            <w:r>
              <w:rPr>
                <w:color w:val="000000"/>
                <w:sz w:val="24"/>
                <w:vertAlign w:val="superscript"/>
              </w:rPr>
              <w:t>3</w:t>
            </w:r>
            <w:r>
              <w:rPr>
                <w:rFonts w:hint="eastAsia"/>
                <w:color w:val="000000"/>
                <w:sz w:val="24"/>
              </w:rPr>
              <w:t>左右，下风向</w:t>
            </w:r>
            <w:r>
              <w:rPr>
                <w:color w:val="000000"/>
                <w:sz w:val="24"/>
              </w:rPr>
              <w:t>100m</w:t>
            </w:r>
            <w:r>
              <w:rPr>
                <w:rFonts w:hint="eastAsia"/>
                <w:color w:val="000000"/>
                <w:sz w:val="24"/>
              </w:rPr>
              <w:t>处</w:t>
            </w:r>
            <w:r>
              <w:rPr>
                <w:color w:val="000000"/>
                <w:sz w:val="24"/>
              </w:rPr>
              <w:t>TSP</w:t>
            </w:r>
            <w:r>
              <w:rPr>
                <w:rFonts w:hint="eastAsia"/>
                <w:color w:val="000000"/>
                <w:sz w:val="24"/>
              </w:rPr>
              <w:t>浓度达到</w:t>
            </w:r>
            <w:r>
              <w:rPr>
                <w:color w:val="000000"/>
                <w:sz w:val="24"/>
              </w:rPr>
              <w:t>9mg/m</w:t>
            </w:r>
            <w:r>
              <w:rPr>
                <w:color w:val="000000"/>
                <w:sz w:val="24"/>
                <w:vertAlign w:val="superscript"/>
              </w:rPr>
              <w:t>3</w:t>
            </w:r>
            <w:r>
              <w:rPr>
                <w:rFonts w:hint="eastAsia"/>
                <w:color w:val="000000"/>
                <w:sz w:val="24"/>
              </w:rPr>
              <w:t>左右，下风向</w:t>
            </w:r>
            <w:r>
              <w:rPr>
                <w:color w:val="000000"/>
                <w:sz w:val="24"/>
              </w:rPr>
              <w:t>150m</w:t>
            </w:r>
            <w:r>
              <w:rPr>
                <w:rFonts w:hint="eastAsia"/>
                <w:color w:val="000000"/>
                <w:sz w:val="24"/>
              </w:rPr>
              <w:t>处</w:t>
            </w:r>
            <w:r>
              <w:rPr>
                <w:color w:val="000000"/>
                <w:sz w:val="24"/>
              </w:rPr>
              <w:t>TSP</w:t>
            </w:r>
            <w:r>
              <w:rPr>
                <w:rFonts w:hint="eastAsia"/>
                <w:color w:val="000000"/>
                <w:sz w:val="24"/>
              </w:rPr>
              <w:t>浓度达到</w:t>
            </w:r>
            <w:r>
              <w:rPr>
                <w:color w:val="000000"/>
                <w:sz w:val="24"/>
              </w:rPr>
              <w:t>5mg/m</w:t>
            </w:r>
            <w:r>
              <w:rPr>
                <w:color w:val="000000"/>
                <w:sz w:val="24"/>
                <w:vertAlign w:val="superscript"/>
              </w:rPr>
              <w:t>3</w:t>
            </w:r>
            <w:r>
              <w:rPr>
                <w:rFonts w:hint="eastAsia"/>
                <w:color w:val="000000"/>
                <w:sz w:val="24"/>
              </w:rPr>
              <w:t>左右，下风向</w:t>
            </w:r>
            <w:r>
              <w:rPr>
                <w:color w:val="000000"/>
                <w:sz w:val="24"/>
              </w:rPr>
              <w:t>200m</w:t>
            </w:r>
            <w:r>
              <w:rPr>
                <w:rFonts w:hint="eastAsia"/>
                <w:color w:val="000000"/>
                <w:sz w:val="24"/>
              </w:rPr>
              <w:t>处</w:t>
            </w:r>
            <w:r>
              <w:rPr>
                <w:color w:val="000000"/>
                <w:sz w:val="24"/>
              </w:rPr>
              <w:t>TSP</w:t>
            </w:r>
            <w:r>
              <w:rPr>
                <w:rFonts w:hint="eastAsia"/>
                <w:color w:val="000000"/>
                <w:sz w:val="24"/>
              </w:rPr>
              <w:t>浓度达到</w:t>
            </w:r>
            <w:r>
              <w:rPr>
                <w:color w:val="000000"/>
                <w:sz w:val="24"/>
              </w:rPr>
              <w:t>2mg/m</w:t>
            </w:r>
            <w:r>
              <w:rPr>
                <w:color w:val="000000"/>
                <w:sz w:val="24"/>
                <w:vertAlign w:val="superscript"/>
              </w:rPr>
              <w:t>3</w:t>
            </w:r>
            <w:r>
              <w:rPr>
                <w:rFonts w:hint="eastAsia"/>
                <w:color w:val="000000"/>
                <w:sz w:val="24"/>
              </w:rPr>
              <w:t>左右，满足环境空气质量二级标准</w:t>
            </w:r>
            <w:r>
              <w:rPr>
                <w:color w:val="000000"/>
                <w:sz w:val="24"/>
              </w:rPr>
              <w:t>24</w:t>
            </w:r>
            <w:r>
              <w:rPr>
                <w:rFonts w:hint="eastAsia"/>
                <w:color w:val="000000"/>
                <w:sz w:val="24"/>
              </w:rPr>
              <w:t>小时均值，因此道路两侧</w:t>
            </w:r>
            <w:r>
              <w:rPr>
                <w:color w:val="000000"/>
                <w:sz w:val="24"/>
              </w:rPr>
              <w:t>200m</w:t>
            </w:r>
            <w:r>
              <w:rPr>
                <w:rFonts w:hint="eastAsia"/>
                <w:color w:val="000000"/>
                <w:sz w:val="24"/>
              </w:rPr>
              <w:t>范围内对沿线造成的污染较为显着。</w:t>
            </w:r>
          </w:p>
          <w:p w14:paraId="0EF87D97">
            <w:pPr>
              <w:ind w:firstLine="480" w:firstLineChars="200"/>
              <w:rPr>
                <w:color w:val="000000"/>
                <w:sz w:val="24"/>
              </w:rPr>
            </w:pPr>
            <w:r>
              <w:rPr>
                <w:rFonts w:hint="eastAsia"/>
                <w:color w:val="000000"/>
                <w:sz w:val="24"/>
              </w:rPr>
              <w:t>风场内居民区分布少，本项目利用原有自然道路作为施工运输道路，途径居民区包括德热木其音敖包、郭达图音额博勒者、芒格勒音胡日勒、和热楚鲁、塔尔干、阿钦郭勒、哈日陶勒盖等，其中距离施工运输道路最近为</w:t>
            </w:r>
            <w:r>
              <w:rPr>
                <w:color w:val="000000"/>
                <w:sz w:val="24"/>
              </w:rPr>
              <w:t>28m</w:t>
            </w:r>
            <w:r>
              <w:rPr>
                <w:rFonts w:hint="eastAsia"/>
                <w:color w:val="000000"/>
                <w:sz w:val="24"/>
              </w:rPr>
              <w:t>的阿钦郭勒。施工运输车辆将对沿线居民点环境空气质量产生一定影响。</w:t>
            </w:r>
          </w:p>
          <w:p w14:paraId="3A4851E3">
            <w:pPr>
              <w:ind w:firstLine="480" w:firstLineChars="200"/>
              <w:rPr>
                <w:color w:val="000000"/>
                <w:sz w:val="24"/>
              </w:rPr>
            </w:pPr>
            <w:r>
              <w:rPr>
                <w:rFonts w:hint="eastAsia"/>
                <w:color w:val="000000"/>
                <w:sz w:val="24"/>
              </w:rPr>
              <w:t>本环评要求施工阶段途径居民区限制车速和保持路面洒水以减少车辆运输扬尘；运输、装卸建筑材料时，尤其针对沙土运输车辆，须采用封闭运输；对施工场地及施工道路每天洒水抑尘作业</w:t>
            </w:r>
            <w:r>
              <w:rPr>
                <w:color w:val="000000"/>
                <w:sz w:val="24"/>
              </w:rPr>
              <w:t>4</w:t>
            </w:r>
            <w:r>
              <w:rPr>
                <w:rFonts w:hint="eastAsia"/>
                <w:color w:val="000000"/>
                <w:sz w:val="24"/>
              </w:rPr>
              <w:t>～</w:t>
            </w:r>
            <w:r>
              <w:rPr>
                <w:color w:val="000000"/>
                <w:sz w:val="24"/>
              </w:rPr>
              <w:t>5</w:t>
            </w:r>
            <w:r>
              <w:rPr>
                <w:rFonts w:hint="eastAsia"/>
                <w:color w:val="000000"/>
                <w:sz w:val="24"/>
              </w:rPr>
              <w:t>次，可使扬尘量减少</w:t>
            </w:r>
            <w:r>
              <w:rPr>
                <w:color w:val="000000"/>
                <w:sz w:val="24"/>
              </w:rPr>
              <w:t>70%</w:t>
            </w:r>
            <w:r>
              <w:rPr>
                <w:rFonts w:hint="eastAsia"/>
                <w:color w:val="000000"/>
                <w:sz w:val="24"/>
              </w:rPr>
              <w:t>左右，扬尘造成的</w:t>
            </w:r>
            <w:r>
              <w:rPr>
                <w:color w:val="000000"/>
                <w:sz w:val="24"/>
              </w:rPr>
              <w:t>TSP</w:t>
            </w:r>
            <w:r>
              <w:rPr>
                <w:rFonts w:hint="eastAsia"/>
                <w:color w:val="000000"/>
                <w:sz w:val="24"/>
              </w:rPr>
              <w:t>污染距离可缩小到</w:t>
            </w:r>
            <w:r>
              <w:rPr>
                <w:color w:val="000000"/>
                <w:sz w:val="24"/>
              </w:rPr>
              <w:t>20</w:t>
            </w:r>
            <w:r>
              <w:rPr>
                <w:rFonts w:hint="eastAsia"/>
                <w:color w:val="000000"/>
                <w:sz w:val="24"/>
              </w:rPr>
              <w:t>～</w:t>
            </w:r>
            <w:r>
              <w:rPr>
                <w:color w:val="000000"/>
                <w:sz w:val="24"/>
              </w:rPr>
              <w:t>50m</w:t>
            </w:r>
            <w:r>
              <w:rPr>
                <w:rFonts w:hint="eastAsia"/>
                <w:color w:val="000000"/>
                <w:sz w:val="24"/>
              </w:rPr>
              <w:t>范围内。</w:t>
            </w:r>
          </w:p>
          <w:p w14:paraId="56E27174">
            <w:pPr>
              <w:ind w:firstLine="480" w:firstLineChars="200"/>
              <w:rPr>
                <w:color w:val="000000"/>
                <w:sz w:val="24"/>
              </w:rPr>
            </w:pPr>
            <w:r>
              <w:rPr>
                <w:rFonts w:hint="eastAsia"/>
                <w:color w:val="000000"/>
                <w:sz w:val="24"/>
              </w:rPr>
              <w:t>综上，本项目施工期产生的扬尘影响主要为堆场产生的风力扬尘、土石方的开挖扬尘和汽车运输车辆行驶扬尘。经采取环保措施后，可以有效地控制施工期扬尘影响的范围及程度。而且施工扬尘造成的污染是短期的、局部的，施工结束后即会消失。</w:t>
            </w:r>
          </w:p>
          <w:p w14:paraId="37FFE4DA">
            <w:pPr>
              <w:ind w:firstLine="480" w:firstLineChars="200"/>
              <w:rPr>
                <w:color w:val="000000"/>
                <w:sz w:val="24"/>
              </w:rPr>
            </w:pPr>
            <w:r>
              <w:rPr>
                <w:rFonts w:hint="eastAsia"/>
                <w:color w:val="000000"/>
                <w:sz w:val="24"/>
              </w:rPr>
              <w:t>（</w:t>
            </w:r>
            <w:r>
              <w:rPr>
                <w:color w:val="000000"/>
                <w:sz w:val="24"/>
              </w:rPr>
              <w:t>2</w:t>
            </w:r>
            <w:r>
              <w:rPr>
                <w:rFonts w:hint="eastAsia"/>
                <w:color w:val="000000"/>
                <w:sz w:val="24"/>
              </w:rPr>
              <w:t>）燃油废气</w:t>
            </w:r>
          </w:p>
          <w:p w14:paraId="469A0328">
            <w:pPr>
              <w:ind w:firstLine="480" w:firstLineChars="200"/>
              <w:rPr>
                <w:color w:val="000000"/>
                <w:sz w:val="24"/>
              </w:rPr>
            </w:pPr>
            <w:r>
              <w:rPr>
                <w:rFonts w:hint="eastAsia"/>
                <w:color w:val="000000"/>
                <w:sz w:val="24"/>
              </w:rPr>
              <w:t>施工机械、汽车及柴油发电机大多以柴油作为燃料，燃料燃烧过程中会产生</w:t>
            </w:r>
            <w:r>
              <w:rPr>
                <w:color w:val="000000"/>
                <w:sz w:val="24"/>
              </w:rPr>
              <w:t>CO</w:t>
            </w:r>
            <w:r>
              <w:rPr>
                <w:rFonts w:hint="eastAsia"/>
                <w:color w:val="000000"/>
                <w:sz w:val="24"/>
              </w:rPr>
              <w:t>、</w:t>
            </w:r>
            <w:r>
              <w:rPr>
                <w:color w:val="000000"/>
                <w:sz w:val="24"/>
              </w:rPr>
              <w:t>SO</w:t>
            </w:r>
            <w:r>
              <w:rPr>
                <w:color w:val="000000"/>
                <w:sz w:val="24"/>
                <w:vertAlign w:val="subscript"/>
              </w:rPr>
              <w:t>2</w:t>
            </w:r>
            <w:r>
              <w:rPr>
                <w:rFonts w:hint="eastAsia"/>
                <w:color w:val="000000"/>
                <w:sz w:val="24"/>
              </w:rPr>
              <w:t>、</w:t>
            </w:r>
            <w:r>
              <w:rPr>
                <w:color w:val="000000"/>
                <w:sz w:val="24"/>
              </w:rPr>
              <w:t>NO</w:t>
            </w:r>
            <w:r>
              <w:rPr>
                <w:color w:val="000000"/>
                <w:sz w:val="24"/>
                <w:vertAlign w:val="subscript"/>
              </w:rPr>
              <w:t>x</w:t>
            </w:r>
            <w:r>
              <w:rPr>
                <w:rFonts w:hint="eastAsia"/>
                <w:color w:val="000000"/>
                <w:sz w:val="24"/>
              </w:rPr>
              <w:t>、碳氢化合物和烟尘，产生情况主要决定因素为燃料油种类、机械性能、作业方式和风力等，其中属机械性能、作业方式因素的影响最大，如运输车辆和部分施工机械在怠速、减速和加速时产生的污染较为严重。各类施工机械流动性较强，且燃料用量不大，所产生的废气少且较为分散，在易于扩散的气象条件下，该废气对周围环境的影响不大。由于项目区域大而施工较为分散，在易于扩散的气象条件下，对周围环境的影响不大，且随着施工期的结束，该污染物也随即消失故施工期燃油废气对周围大气环境影响较小。</w:t>
            </w:r>
          </w:p>
          <w:p w14:paraId="6E320F43">
            <w:pPr>
              <w:ind w:firstLine="480" w:firstLineChars="200"/>
              <w:rPr>
                <w:color w:val="000000"/>
                <w:sz w:val="24"/>
              </w:rPr>
            </w:pPr>
            <w:r>
              <w:rPr>
                <w:rFonts w:hint="eastAsia"/>
                <w:color w:val="000000"/>
                <w:sz w:val="24"/>
              </w:rPr>
              <w:t>（</w:t>
            </w:r>
            <w:r>
              <w:rPr>
                <w:color w:val="000000"/>
                <w:sz w:val="24"/>
              </w:rPr>
              <w:t>3</w:t>
            </w:r>
            <w:r>
              <w:rPr>
                <w:rFonts w:hint="eastAsia"/>
                <w:color w:val="000000"/>
                <w:sz w:val="24"/>
              </w:rPr>
              <w:t>）食堂油烟</w:t>
            </w:r>
          </w:p>
          <w:p w14:paraId="026A205C">
            <w:pPr>
              <w:ind w:firstLine="480" w:firstLineChars="200"/>
              <w:rPr>
                <w:color w:val="000000"/>
                <w:sz w:val="24"/>
              </w:rPr>
            </w:pPr>
            <w:r>
              <w:rPr>
                <w:rFonts w:hint="eastAsia"/>
                <w:color w:val="000000"/>
                <w:sz w:val="24"/>
              </w:rPr>
              <w:t>施工单位在施工营地设有食堂。在烹饪过程中有厨房油烟废气产生。施工单位应该采取必要的油烟净化措施，食堂采用电能。</w:t>
            </w:r>
          </w:p>
          <w:p w14:paraId="7ACD9FAF">
            <w:pPr>
              <w:ind w:firstLine="480" w:firstLineChars="200"/>
              <w:rPr>
                <w:color w:val="000000"/>
                <w:sz w:val="24"/>
              </w:rPr>
            </w:pPr>
            <w:r>
              <w:rPr>
                <w:rFonts w:hint="eastAsia"/>
                <w:color w:val="000000"/>
                <w:sz w:val="24"/>
              </w:rPr>
              <w:t>本项目施工人员</w:t>
            </w:r>
            <w:r>
              <w:rPr>
                <w:color w:val="000000"/>
                <w:sz w:val="24"/>
              </w:rPr>
              <w:t>150</w:t>
            </w:r>
            <w:r>
              <w:rPr>
                <w:rFonts w:hint="eastAsia"/>
                <w:color w:val="000000"/>
                <w:sz w:val="24"/>
              </w:rPr>
              <w:t>人，经计算，项目产生浓度为</w:t>
            </w:r>
            <w:r>
              <w:rPr>
                <w:color w:val="000000"/>
                <w:sz w:val="24"/>
              </w:rPr>
              <w:t>4.82mg/m</w:t>
            </w:r>
            <w:r>
              <w:rPr>
                <w:color w:val="000000"/>
                <w:sz w:val="24"/>
                <w:vertAlign w:val="superscript"/>
              </w:rPr>
              <w:t>3</w:t>
            </w:r>
            <w:r>
              <w:rPr>
                <w:rFonts w:hint="eastAsia"/>
                <w:color w:val="000000"/>
                <w:sz w:val="24"/>
              </w:rPr>
              <w:t>，油烟废气经过除油烟机处理，油烟去除效率按</w:t>
            </w:r>
            <w:r>
              <w:rPr>
                <w:color w:val="000000"/>
                <w:sz w:val="24"/>
              </w:rPr>
              <w:t>60%</w:t>
            </w:r>
            <w:r>
              <w:rPr>
                <w:rFonts w:hint="eastAsia"/>
                <w:color w:val="000000"/>
                <w:sz w:val="24"/>
              </w:rPr>
              <w:t>计，排放浓度为</w:t>
            </w:r>
            <w:r>
              <w:rPr>
                <w:color w:val="000000"/>
                <w:sz w:val="24"/>
              </w:rPr>
              <w:t>1.93mg/m</w:t>
            </w:r>
            <w:r>
              <w:rPr>
                <w:color w:val="000000"/>
                <w:sz w:val="24"/>
                <w:vertAlign w:val="superscript"/>
              </w:rPr>
              <w:t>3</w:t>
            </w:r>
            <w:r>
              <w:rPr>
                <w:rFonts w:hint="eastAsia"/>
                <w:color w:val="000000"/>
                <w:sz w:val="24"/>
              </w:rPr>
              <w:t>，可以满足《饮食业油烟排放标准》中最高允许浓度为</w:t>
            </w:r>
            <w:r>
              <w:rPr>
                <w:color w:val="000000"/>
                <w:sz w:val="24"/>
              </w:rPr>
              <w:t>2.0mg/m</w:t>
            </w:r>
            <w:r>
              <w:rPr>
                <w:color w:val="000000"/>
                <w:sz w:val="24"/>
                <w:vertAlign w:val="superscript"/>
              </w:rPr>
              <w:t>3</w:t>
            </w:r>
            <w:r>
              <w:rPr>
                <w:rFonts w:hint="eastAsia"/>
                <w:color w:val="000000"/>
                <w:sz w:val="24"/>
              </w:rPr>
              <w:t>的标准要求。同时，本项目周围大气流通程度高，扩散条件好，对周围大气环境影响较小。</w:t>
            </w:r>
          </w:p>
          <w:p w14:paraId="73E88784">
            <w:pPr>
              <w:ind w:firstLine="480" w:firstLineChars="200"/>
              <w:rPr>
                <w:color w:val="000000"/>
                <w:sz w:val="24"/>
              </w:rPr>
            </w:pPr>
            <w:r>
              <w:rPr>
                <w:color w:val="000000"/>
                <w:sz w:val="24"/>
              </w:rPr>
              <w:t>2</w:t>
            </w:r>
            <w:r>
              <w:rPr>
                <w:rFonts w:hint="eastAsia"/>
                <w:color w:val="000000"/>
                <w:sz w:val="24"/>
              </w:rPr>
              <w:t>、水环境影响分析</w:t>
            </w:r>
          </w:p>
          <w:p w14:paraId="548593AD">
            <w:pPr>
              <w:ind w:firstLine="480" w:firstLineChars="200"/>
              <w:rPr>
                <w:color w:val="000000"/>
                <w:sz w:val="24"/>
              </w:rPr>
            </w:pPr>
            <w:r>
              <w:rPr>
                <w:rFonts w:hint="eastAsia"/>
                <w:color w:val="000000"/>
                <w:sz w:val="24"/>
              </w:rPr>
              <w:t>本项目施工期废水主要包括施工人员的生活污水、施工废水和机修冲洗废水。</w:t>
            </w:r>
          </w:p>
          <w:p w14:paraId="33782A66">
            <w:pPr>
              <w:ind w:firstLine="480" w:firstLineChars="200"/>
              <w:rPr>
                <w:color w:val="000000"/>
                <w:sz w:val="24"/>
              </w:rPr>
            </w:pPr>
            <w:r>
              <w:rPr>
                <w:rFonts w:hint="eastAsia"/>
                <w:color w:val="000000"/>
                <w:sz w:val="24"/>
              </w:rPr>
              <w:t>根据工程分析，本项目施工人员生活污水产</w:t>
            </w:r>
            <w:r>
              <w:rPr>
                <w:rFonts w:hint="eastAsia"/>
                <w:sz w:val="24"/>
              </w:rPr>
              <w:t>生量为</w:t>
            </w:r>
            <w:r>
              <w:rPr>
                <w:sz w:val="24"/>
              </w:rPr>
              <w:t>3888m</w:t>
            </w:r>
            <w:r>
              <w:rPr>
                <w:sz w:val="24"/>
                <w:vertAlign w:val="superscript"/>
              </w:rPr>
              <w:t>3</w:t>
            </w:r>
            <w:r>
              <w:rPr>
                <w:rFonts w:hint="eastAsia"/>
                <w:sz w:val="24"/>
              </w:rPr>
              <w:t>，主要污染物产生量别为</w:t>
            </w:r>
            <w:r>
              <w:rPr>
                <w:sz w:val="24"/>
              </w:rPr>
              <w:t>COD</w:t>
            </w:r>
            <w:r>
              <w:rPr>
                <w:sz w:val="24"/>
                <w:vertAlign w:val="subscript"/>
              </w:rPr>
              <w:t>cr</w:t>
            </w:r>
            <w:r>
              <w:rPr>
                <w:sz w:val="24"/>
              </w:rPr>
              <w:t xml:space="preserve"> 1.361t</w:t>
            </w:r>
            <w:r>
              <w:rPr>
                <w:rFonts w:hint="eastAsia"/>
                <w:sz w:val="24"/>
              </w:rPr>
              <w:t>、</w:t>
            </w:r>
            <w:r>
              <w:rPr>
                <w:sz w:val="24"/>
              </w:rPr>
              <w:t>BOD</w:t>
            </w:r>
            <w:r>
              <w:rPr>
                <w:sz w:val="24"/>
                <w:vertAlign w:val="subscript"/>
              </w:rPr>
              <w:t>5</w:t>
            </w:r>
            <w:r>
              <w:rPr>
                <w:sz w:val="24"/>
              </w:rPr>
              <w:t xml:space="preserve"> 0.778t</w:t>
            </w:r>
            <w:r>
              <w:rPr>
                <w:rFonts w:hint="eastAsia"/>
                <w:sz w:val="24"/>
              </w:rPr>
              <w:t>、</w:t>
            </w:r>
            <w:r>
              <w:rPr>
                <w:sz w:val="24"/>
              </w:rPr>
              <w:t>NH</w:t>
            </w:r>
            <w:r>
              <w:rPr>
                <w:sz w:val="24"/>
                <w:vertAlign w:val="subscript"/>
              </w:rPr>
              <w:t>3</w:t>
            </w:r>
            <w:r>
              <w:rPr>
                <w:sz w:val="24"/>
              </w:rPr>
              <w:t>-N 0.117t</w:t>
            </w:r>
            <w:r>
              <w:rPr>
                <w:rFonts w:hint="eastAsia"/>
                <w:sz w:val="24"/>
              </w:rPr>
              <w:t>。</w:t>
            </w:r>
            <w:r>
              <w:rPr>
                <w:rFonts w:hint="eastAsia"/>
                <w:color w:val="000000"/>
                <w:sz w:val="24"/>
              </w:rPr>
              <w:t>施工人员日常生活产生的生活污水，若处置不当，会对周围环境造成污染。生活污水水质较简单，主要为有机污染物，针对生活污水设置防渗化粪池，污水经化粪池处理后委托环卫部门定期清掏处理，不直接排入外环境，并且本项目所在地无地表水体，不会对地表水环境造成影响。</w:t>
            </w:r>
          </w:p>
          <w:p w14:paraId="616D62A9">
            <w:pPr>
              <w:ind w:firstLine="480" w:firstLineChars="200"/>
              <w:rPr>
                <w:color w:val="000000"/>
                <w:sz w:val="24"/>
              </w:rPr>
            </w:pPr>
            <w:r>
              <w:rPr>
                <w:rFonts w:hint="eastAsia"/>
                <w:color w:val="000000"/>
                <w:sz w:val="24"/>
              </w:rPr>
              <w:t>施工废水主要污染因子为</w:t>
            </w:r>
            <w:r>
              <w:rPr>
                <w:color w:val="000000"/>
                <w:sz w:val="24"/>
              </w:rPr>
              <w:t>SS</w:t>
            </w:r>
            <w:r>
              <w:rPr>
                <w:rFonts w:hint="eastAsia"/>
                <w:color w:val="000000"/>
                <w:sz w:val="24"/>
              </w:rPr>
              <w:t>，针对该废水设简易沉淀池，经沉淀后的水又可回用于生产不外排，施工废水不会对周围环境造成影响。</w:t>
            </w:r>
          </w:p>
          <w:p w14:paraId="4415C49E">
            <w:pPr>
              <w:ind w:firstLine="480" w:firstLineChars="200"/>
              <w:rPr>
                <w:color w:val="000000"/>
                <w:sz w:val="24"/>
              </w:rPr>
            </w:pPr>
            <w:r>
              <w:rPr>
                <w:rFonts w:hint="eastAsia"/>
                <w:color w:val="000000"/>
                <w:sz w:val="24"/>
              </w:rPr>
              <w:t>施工期机械冲洗废水产生量约为</w:t>
            </w:r>
            <w:r>
              <w:rPr>
                <w:color w:val="000000"/>
                <w:sz w:val="24"/>
              </w:rPr>
              <w:t>360m</w:t>
            </w:r>
            <w:r>
              <w:rPr>
                <w:color w:val="000000"/>
                <w:sz w:val="24"/>
                <w:vertAlign w:val="superscript"/>
              </w:rPr>
              <w:t>3</w:t>
            </w:r>
            <w:r>
              <w:rPr>
                <w:rFonts w:hint="eastAsia"/>
                <w:color w:val="000000"/>
                <w:sz w:val="24"/>
              </w:rPr>
              <w:t>，其主要污染物产生量分别为</w:t>
            </w:r>
            <w:r>
              <w:rPr>
                <w:color w:val="000000"/>
                <w:sz w:val="24"/>
              </w:rPr>
              <w:t>SS 0.04t</w:t>
            </w:r>
            <w:r>
              <w:rPr>
                <w:rFonts w:hint="eastAsia"/>
                <w:color w:val="000000"/>
                <w:sz w:val="24"/>
              </w:rPr>
              <w:t>、石油类</w:t>
            </w:r>
            <w:r>
              <w:rPr>
                <w:color w:val="000000"/>
                <w:sz w:val="24"/>
              </w:rPr>
              <w:t>0.01t</w:t>
            </w:r>
            <w:r>
              <w:rPr>
                <w:rFonts w:hint="eastAsia"/>
                <w:color w:val="000000"/>
                <w:sz w:val="24"/>
              </w:rPr>
              <w:t>，该废水经隔油沉淀处理后循环使用，不外排。</w:t>
            </w:r>
          </w:p>
          <w:p w14:paraId="3259D342">
            <w:pPr>
              <w:ind w:firstLine="480" w:firstLineChars="200"/>
              <w:rPr>
                <w:color w:val="000000"/>
                <w:sz w:val="24"/>
              </w:rPr>
            </w:pPr>
            <w:r>
              <w:rPr>
                <w:rFonts w:hint="eastAsia"/>
                <w:color w:val="000000"/>
                <w:sz w:val="24"/>
              </w:rPr>
              <w:t>综上，本项目施工期产生废水经相应措施处理后均不外排环，并且本项目所在地无地表水体，不会对地表水环境造成影响。同时在做好化粪池防渗措施的前提下，对地下水影响较小。</w:t>
            </w:r>
          </w:p>
          <w:p w14:paraId="50749423">
            <w:pPr>
              <w:ind w:firstLine="480" w:firstLineChars="200"/>
              <w:rPr>
                <w:color w:val="000000"/>
                <w:sz w:val="24"/>
              </w:rPr>
            </w:pPr>
            <w:r>
              <w:rPr>
                <w:color w:val="000000"/>
                <w:sz w:val="24"/>
              </w:rPr>
              <w:t>3</w:t>
            </w:r>
            <w:r>
              <w:rPr>
                <w:rFonts w:hint="eastAsia"/>
                <w:color w:val="000000"/>
                <w:sz w:val="24"/>
              </w:rPr>
              <w:t>、声环境影响分析</w:t>
            </w:r>
          </w:p>
          <w:p w14:paraId="7BFBAD5F">
            <w:pPr>
              <w:ind w:firstLine="480" w:firstLineChars="200"/>
              <w:rPr>
                <w:color w:val="000000"/>
                <w:sz w:val="24"/>
              </w:rPr>
            </w:pPr>
            <w:r>
              <w:rPr>
                <w:rFonts w:hint="eastAsia"/>
                <w:color w:val="000000"/>
                <w:sz w:val="24"/>
              </w:rPr>
              <w:t>施工期噪声源主要可分为机械噪声、施工作业噪声和施工车辆噪声。机械噪声主要由施工机械所造成的，如挖土机、混凝土搅拌机、推土机等，多为点源噪声源；施工作业噪声主要是指一些零星的敲打声、装卸车辆的撞击声、吆喝声、拆装模板的撞击声等，多为瞬间噪声；施工车辆的噪声属于交通噪声。这些施工噪声中对声环境影响最大的是机械噪声。</w:t>
            </w:r>
          </w:p>
          <w:p w14:paraId="6957063E">
            <w:pPr>
              <w:ind w:firstLine="480" w:firstLineChars="200"/>
              <w:rPr>
                <w:color w:val="000000"/>
                <w:sz w:val="24"/>
              </w:rPr>
            </w:pPr>
            <w:r>
              <w:rPr>
                <w:rFonts w:hint="eastAsia"/>
                <w:color w:val="000000"/>
                <w:sz w:val="24"/>
              </w:rPr>
              <w:t>施工期噪声主要属中低频噪声，故施工期噪声对周边环境的影响只考虑距离衰减，采用点源噪声衰减模式进行预测，预测模式为：</w:t>
            </w:r>
          </w:p>
          <w:p w14:paraId="77E86106">
            <w:pPr>
              <w:ind w:firstLine="480" w:firstLineChars="200"/>
              <w:rPr>
                <w:color w:val="000000"/>
                <w:sz w:val="24"/>
                <w:lang w:val="pt-BR"/>
              </w:rPr>
            </w:pPr>
            <w:r>
              <w:rPr>
                <w:i/>
                <w:color w:val="000000"/>
                <w:sz w:val="24"/>
                <w:lang w:val="pt-BR"/>
              </w:rPr>
              <w:t>L</w:t>
            </w:r>
            <w:r>
              <w:rPr>
                <w:color w:val="000000"/>
                <w:sz w:val="24"/>
                <w:vertAlign w:val="subscript"/>
                <w:lang w:val="pt-BR"/>
              </w:rPr>
              <w:t>2</w:t>
            </w:r>
            <w:r>
              <w:rPr>
                <w:color w:val="000000"/>
                <w:sz w:val="24"/>
                <w:lang w:val="pt-BR"/>
              </w:rPr>
              <w:t xml:space="preserve"> = </w:t>
            </w:r>
            <w:r>
              <w:rPr>
                <w:i/>
                <w:color w:val="000000"/>
                <w:sz w:val="24"/>
                <w:lang w:val="pt-BR"/>
              </w:rPr>
              <w:t>L</w:t>
            </w:r>
            <w:r>
              <w:rPr>
                <w:color w:val="000000"/>
                <w:sz w:val="24"/>
                <w:vertAlign w:val="subscript"/>
                <w:lang w:val="pt-BR"/>
              </w:rPr>
              <w:t>1</w:t>
            </w:r>
            <w:r>
              <w:rPr>
                <w:color w:val="000000"/>
                <w:sz w:val="24"/>
                <w:lang w:val="pt-BR"/>
              </w:rPr>
              <w:t>-20</w:t>
            </w:r>
            <w:r>
              <w:rPr>
                <w:i/>
                <w:color w:val="000000"/>
                <w:sz w:val="24"/>
                <w:lang w:val="pt-BR"/>
              </w:rPr>
              <w:t>lg</w:t>
            </w:r>
            <w:r>
              <w:rPr>
                <w:rFonts w:hint="eastAsia"/>
                <w:color w:val="000000"/>
                <w:sz w:val="24"/>
                <w:lang w:val="pt-BR"/>
              </w:rPr>
              <w:t>（</w:t>
            </w:r>
            <w:r>
              <w:rPr>
                <w:i/>
                <w:color w:val="000000"/>
                <w:sz w:val="24"/>
                <w:lang w:val="pt-BR"/>
              </w:rPr>
              <w:t>r</w:t>
            </w:r>
            <w:r>
              <w:rPr>
                <w:color w:val="000000"/>
                <w:sz w:val="24"/>
                <w:vertAlign w:val="subscript"/>
                <w:lang w:val="pt-BR"/>
              </w:rPr>
              <w:t>2</w:t>
            </w:r>
            <w:r>
              <w:rPr>
                <w:color w:val="000000"/>
                <w:sz w:val="24"/>
                <w:lang w:val="pt-BR"/>
              </w:rPr>
              <w:t xml:space="preserve"> / </w:t>
            </w:r>
            <w:r>
              <w:rPr>
                <w:i/>
                <w:color w:val="000000"/>
                <w:sz w:val="24"/>
                <w:lang w:val="pt-BR"/>
              </w:rPr>
              <w:t>r</w:t>
            </w:r>
            <w:r>
              <w:rPr>
                <w:color w:val="000000"/>
                <w:sz w:val="24"/>
                <w:vertAlign w:val="subscript"/>
                <w:lang w:val="pt-BR"/>
              </w:rPr>
              <w:t>1</w:t>
            </w:r>
            <w:r>
              <w:rPr>
                <w:rFonts w:hint="eastAsia"/>
                <w:color w:val="000000"/>
                <w:sz w:val="24"/>
                <w:lang w:val="pt-BR"/>
              </w:rPr>
              <w:t>）</w:t>
            </w:r>
            <w:r>
              <w:rPr>
                <w:color w:val="000000"/>
                <w:sz w:val="24"/>
                <w:lang w:val="pt-BR"/>
              </w:rPr>
              <w:t xml:space="preserve"> </w:t>
            </w:r>
            <w:r>
              <w:rPr>
                <w:rFonts w:hint="eastAsia"/>
                <w:color w:val="000000"/>
                <w:sz w:val="24"/>
                <w:lang w:val="pt-BR"/>
              </w:rPr>
              <w:t>（</w:t>
            </w:r>
            <w:r>
              <w:rPr>
                <w:i/>
                <w:color w:val="000000"/>
                <w:sz w:val="24"/>
                <w:lang w:val="pt-BR"/>
              </w:rPr>
              <w:t>r</w:t>
            </w:r>
            <w:r>
              <w:rPr>
                <w:color w:val="000000"/>
                <w:sz w:val="24"/>
                <w:vertAlign w:val="subscript"/>
                <w:lang w:val="pt-BR"/>
              </w:rPr>
              <w:t>2</w:t>
            </w:r>
            <w:r>
              <w:rPr>
                <w:rFonts w:hint="eastAsia" w:ascii="宋体" w:hAnsi="宋体"/>
                <w:color w:val="000000"/>
                <w:sz w:val="24"/>
                <w:lang w:val="pt-BR"/>
              </w:rPr>
              <w:t>＞</w:t>
            </w:r>
            <w:r>
              <w:rPr>
                <w:i/>
                <w:color w:val="000000"/>
                <w:sz w:val="24"/>
                <w:lang w:val="pt-BR"/>
              </w:rPr>
              <w:t>r</w:t>
            </w:r>
            <w:r>
              <w:rPr>
                <w:color w:val="000000"/>
                <w:sz w:val="24"/>
                <w:vertAlign w:val="subscript"/>
                <w:lang w:val="pt-BR"/>
              </w:rPr>
              <w:t>1</w:t>
            </w:r>
            <w:r>
              <w:rPr>
                <w:rFonts w:hint="eastAsia"/>
                <w:color w:val="000000"/>
                <w:sz w:val="24"/>
                <w:lang w:val="pt-BR"/>
              </w:rPr>
              <w:t>）</w:t>
            </w:r>
          </w:p>
          <w:p w14:paraId="70B3DD25">
            <w:pPr>
              <w:ind w:firstLine="480" w:firstLineChars="200"/>
              <w:rPr>
                <w:color w:val="000000"/>
                <w:sz w:val="24"/>
                <w:lang w:val="pt-BR"/>
              </w:rPr>
            </w:pPr>
            <w:r>
              <w:rPr>
                <w:rFonts w:hint="eastAsia"/>
                <w:color w:val="000000"/>
                <w:sz w:val="24"/>
                <w:lang w:val="pt-BR"/>
              </w:rPr>
              <w:t>由上式可推出：</w:t>
            </w:r>
          </w:p>
          <w:p w14:paraId="7F9D8C21">
            <w:pPr>
              <w:ind w:firstLine="480" w:firstLineChars="200"/>
              <w:rPr>
                <w:color w:val="000000"/>
                <w:sz w:val="24"/>
                <w:lang w:val="pt-BR"/>
              </w:rPr>
            </w:pPr>
            <w:r>
              <w:rPr>
                <w:color w:val="000000"/>
                <w:sz w:val="24"/>
                <w:lang w:val="pt-BR"/>
              </w:rPr>
              <w:t>Δ</w:t>
            </w:r>
            <w:r>
              <w:rPr>
                <w:i/>
                <w:color w:val="000000"/>
                <w:sz w:val="24"/>
                <w:lang w:val="pt-BR"/>
              </w:rPr>
              <w:t>L</w:t>
            </w:r>
            <w:r>
              <w:rPr>
                <w:color w:val="000000"/>
                <w:sz w:val="24"/>
                <w:lang w:val="pt-BR"/>
              </w:rPr>
              <w:t xml:space="preserve"> = </w:t>
            </w:r>
            <w:r>
              <w:rPr>
                <w:i/>
                <w:color w:val="000000"/>
                <w:sz w:val="24"/>
                <w:lang w:val="pt-BR"/>
              </w:rPr>
              <w:t>L</w:t>
            </w:r>
            <w:r>
              <w:rPr>
                <w:color w:val="000000"/>
                <w:sz w:val="24"/>
                <w:vertAlign w:val="subscript"/>
                <w:lang w:val="pt-BR"/>
              </w:rPr>
              <w:t>1</w:t>
            </w:r>
            <w:r>
              <w:rPr>
                <w:color w:val="000000"/>
                <w:sz w:val="24"/>
                <w:lang w:val="pt-BR"/>
              </w:rPr>
              <w:t>-</w:t>
            </w:r>
            <w:r>
              <w:rPr>
                <w:i/>
                <w:color w:val="000000"/>
                <w:sz w:val="24"/>
                <w:lang w:val="pt-BR"/>
              </w:rPr>
              <w:t>L</w:t>
            </w:r>
            <w:r>
              <w:rPr>
                <w:color w:val="000000"/>
                <w:sz w:val="24"/>
                <w:vertAlign w:val="subscript"/>
                <w:lang w:val="pt-BR"/>
              </w:rPr>
              <w:t>2</w:t>
            </w:r>
            <w:r>
              <w:rPr>
                <w:color w:val="000000"/>
                <w:sz w:val="24"/>
                <w:lang w:val="pt-BR"/>
              </w:rPr>
              <w:t xml:space="preserve"> = 20</w:t>
            </w:r>
            <w:r>
              <w:rPr>
                <w:i/>
                <w:color w:val="000000"/>
                <w:sz w:val="24"/>
                <w:lang w:val="pt-BR"/>
              </w:rPr>
              <w:t>lg</w:t>
            </w:r>
            <w:r>
              <w:rPr>
                <w:rFonts w:hint="eastAsia"/>
                <w:color w:val="000000"/>
                <w:sz w:val="24"/>
                <w:lang w:val="pt-BR"/>
              </w:rPr>
              <w:t>（</w:t>
            </w:r>
            <w:r>
              <w:rPr>
                <w:i/>
                <w:color w:val="000000"/>
                <w:sz w:val="24"/>
                <w:lang w:val="pt-BR"/>
              </w:rPr>
              <w:t>r</w:t>
            </w:r>
            <w:r>
              <w:rPr>
                <w:color w:val="000000"/>
                <w:sz w:val="24"/>
                <w:vertAlign w:val="subscript"/>
                <w:lang w:val="pt-BR"/>
              </w:rPr>
              <w:t>2</w:t>
            </w:r>
            <w:r>
              <w:rPr>
                <w:color w:val="000000"/>
                <w:sz w:val="24"/>
                <w:lang w:val="pt-BR"/>
              </w:rPr>
              <w:t xml:space="preserve"> / </w:t>
            </w:r>
            <w:r>
              <w:rPr>
                <w:i/>
                <w:color w:val="000000"/>
                <w:sz w:val="24"/>
                <w:lang w:val="pt-BR"/>
              </w:rPr>
              <w:t>r</w:t>
            </w:r>
            <w:r>
              <w:rPr>
                <w:color w:val="000000"/>
                <w:sz w:val="24"/>
                <w:vertAlign w:val="subscript"/>
                <w:lang w:val="pt-BR"/>
              </w:rPr>
              <w:t>1</w:t>
            </w:r>
            <w:r>
              <w:rPr>
                <w:rFonts w:hint="eastAsia"/>
                <w:color w:val="000000"/>
                <w:sz w:val="24"/>
                <w:lang w:val="pt-BR"/>
              </w:rPr>
              <w:t>）</w:t>
            </w:r>
            <w:r>
              <w:rPr>
                <w:color w:val="000000"/>
                <w:sz w:val="24"/>
                <w:lang w:val="pt-BR"/>
              </w:rPr>
              <w:t xml:space="preserve">  </w:t>
            </w:r>
            <w:r>
              <w:rPr>
                <w:rFonts w:hint="eastAsia"/>
                <w:color w:val="000000"/>
                <w:sz w:val="24"/>
                <w:lang w:val="pt-BR"/>
              </w:rPr>
              <w:t>（</w:t>
            </w:r>
            <w:r>
              <w:rPr>
                <w:i/>
                <w:color w:val="000000"/>
                <w:sz w:val="24"/>
                <w:lang w:val="pt-BR"/>
              </w:rPr>
              <w:t>r</w:t>
            </w:r>
            <w:r>
              <w:rPr>
                <w:color w:val="000000"/>
                <w:sz w:val="24"/>
                <w:vertAlign w:val="subscript"/>
                <w:lang w:val="pt-BR"/>
              </w:rPr>
              <w:t>2</w:t>
            </w:r>
            <w:r>
              <w:rPr>
                <w:rFonts w:hint="eastAsia" w:ascii="宋体" w:hAnsi="宋体"/>
                <w:color w:val="000000"/>
                <w:sz w:val="24"/>
                <w:lang w:val="pt-BR"/>
              </w:rPr>
              <w:t>＞</w:t>
            </w:r>
            <w:r>
              <w:rPr>
                <w:i/>
                <w:color w:val="000000"/>
                <w:sz w:val="24"/>
                <w:lang w:val="pt-BR"/>
              </w:rPr>
              <w:t>r</w:t>
            </w:r>
            <w:r>
              <w:rPr>
                <w:color w:val="000000"/>
                <w:sz w:val="24"/>
                <w:vertAlign w:val="subscript"/>
                <w:lang w:val="pt-BR"/>
              </w:rPr>
              <w:t>1</w:t>
            </w:r>
            <w:r>
              <w:rPr>
                <w:rFonts w:hint="eastAsia"/>
                <w:color w:val="000000"/>
                <w:sz w:val="24"/>
                <w:lang w:val="pt-BR"/>
              </w:rPr>
              <w:t>）</w:t>
            </w:r>
          </w:p>
          <w:p w14:paraId="3095FA38">
            <w:pPr>
              <w:ind w:firstLine="480" w:firstLineChars="200"/>
              <w:rPr>
                <w:sz w:val="24"/>
                <w:lang w:val="pt-BR"/>
              </w:rPr>
            </w:pPr>
            <w:r>
              <w:rPr>
                <w:rFonts w:hint="eastAsia"/>
                <w:sz w:val="24"/>
              </w:rPr>
              <w:t>式中</w:t>
            </w:r>
            <w:r>
              <w:rPr>
                <w:rFonts w:hint="eastAsia"/>
                <w:sz w:val="24"/>
                <w:lang w:val="pt-BR"/>
              </w:rPr>
              <w:t>：</w:t>
            </w:r>
            <w:r>
              <w:rPr>
                <w:iCs/>
                <w:sz w:val="24"/>
              </w:rPr>
              <w:t>Δ</w:t>
            </w:r>
            <w:r>
              <w:rPr>
                <w:i/>
                <w:iCs/>
                <w:sz w:val="24"/>
                <w:lang w:val="pt-BR"/>
              </w:rPr>
              <w:t xml:space="preserve">L  </w:t>
            </w:r>
            <w:r>
              <w:rPr>
                <w:rFonts w:hint="eastAsia"/>
                <w:sz w:val="24"/>
                <w:lang w:val="pt-BR"/>
              </w:rPr>
              <w:t>—</w:t>
            </w:r>
            <w:r>
              <w:rPr>
                <w:rFonts w:hint="eastAsia"/>
                <w:sz w:val="24"/>
              </w:rPr>
              <w:t>噪声随距离增加的衰减量</w:t>
            </w:r>
            <w:r>
              <w:rPr>
                <w:rFonts w:hint="eastAsia"/>
                <w:sz w:val="24"/>
                <w:lang w:val="pt-BR"/>
              </w:rPr>
              <w:t>，</w:t>
            </w:r>
            <w:r>
              <w:rPr>
                <w:sz w:val="24"/>
                <w:lang w:val="pt-BR"/>
              </w:rPr>
              <w:t>dB</w:t>
            </w:r>
            <w:r>
              <w:rPr>
                <w:rFonts w:hint="eastAsia"/>
                <w:sz w:val="24"/>
                <w:lang w:val="pt-BR"/>
              </w:rPr>
              <w:t>（</w:t>
            </w:r>
            <w:r>
              <w:rPr>
                <w:sz w:val="24"/>
                <w:lang w:val="pt-BR"/>
              </w:rPr>
              <w:t>A</w:t>
            </w:r>
            <w:r>
              <w:rPr>
                <w:rFonts w:hint="eastAsia"/>
                <w:sz w:val="24"/>
                <w:lang w:val="pt-BR"/>
              </w:rPr>
              <w:t>）；</w:t>
            </w:r>
          </w:p>
          <w:p w14:paraId="5E84F8B5">
            <w:pPr>
              <w:ind w:firstLine="1080" w:firstLineChars="450"/>
              <w:rPr>
                <w:sz w:val="24"/>
                <w:lang w:val="pt-BR"/>
              </w:rPr>
            </w:pPr>
            <w:r>
              <w:rPr>
                <w:i/>
                <w:iCs/>
                <w:sz w:val="24"/>
                <w:lang w:val="pt-BR"/>
              </w:rPr>
              <w:t>r</w:t>
            </w:r>
            <w:r>
              <w:rPr>
                <w:iCs/>
                <w:sz w:val="24"/>
                <w:vertAlign w:val="subscript"/>
                <w:lang w:val="pt-BR"/>
              </w:rPr>
              <w:t>1</w:t>
            </w:r>
            <w:r>
              <w:rPr>
                <w:rFonts w:hint="eastAsia"/>
                <w:i/>
                <w:iCs/>
                <w:sz w:val="24"/>
              </w:rPr>
              <w:t>、</w:t>
            </w:r>
            <w:r>
              <w:rPr>
                <w:i/>
                <w:iCs/>
                <w:sz w:val="24"/>
                <w:lang w:val="pt-BR"/>
              </w:rPr>
              <w:t>r</w:t>
            </w:r>
            <w:r>
              <w:rPr>
                <w:iCs/>
                <w:sz w:val="24"/>
                <w:vertAlign w:val="subscript"/>
                <w:lang w:val="pt-BR"/>
              </w:rPr>
              <w:t>2</w:t>
            </w:r>
            <w:r>
              <w:rPr>
                <w:rFonts w:hint="eastAsia"/>
                <w:sz w:val="24"/>
                <w:lang w:val="pt-BR"/>
              </w:rPr>
              <w:t>—</w:t>
            </w:r>
            <w:r>
              <w:rPr>
                <w:rFonts w:hint="eastAsia"/>
                <w:sz w:val="24"/>
              </w:rPr>
              <w:t>距声源的距离</w:t>
            </w:r>
            <w:r>
              <w:rPr>
                <w:rFonts w:hint="eastAsia"/>
                <w:sz w:val="24"/>
                <w:lang w:val="pt-BR"/>
              </w:rPr>
              <w:t>；</w:t>
            </w:r>
          </w:p>
          <w:p w14:paraId="1EEFB115">
            <w:pPr>
              <w:ind w:firstLine="1200" w:firstLineChars="500"/>
              <w:rPr>
                <w:sz w:val="24"/>
              </w:rPr>
            </w:pPr>
            <w:r>
              <w:rPr>
                <w:i/>
                <w:iCs/>
                <w:sz w:val="24"/>
              </w:rPr>
              <w:t>L</w:t>
            </w:r>
            <w:r>
              <w:rPr>
                <w:iCs/>
                <w:sz w:val="24"/>
                <w:vertAlign w:val="subscript"/>
              </w:rPr>
              <w:t>1</w:t>
            </w:r>
            <w:r>
              <w:rPr>
                <w:i/>
                <w:iCs/>
                <w:sz w:val="24"/>
                <w:vertAlign w:val="subscript"/>
              </w:rPr>
              <w:t xml:space="preserve">   </w:t>
            </w:r>
            <w:r>
              <w:rPr>
                <w:rFonts w:hint="eastAsia"/>
                <w:sz w:val="24"/>
                <w:lang w:val="pt-BR"/>
              </w:rPr>
              <w:t>—</w:t>
            </w:r>
            <w:r>
              <w:rPr>
                <w:rFonts w:hint="eastAsia"/>
                <w:sz w:val="24"/>
              </w:rPr>
              <w:t>距声源</w:t>
            </w:r>
            <w:r>
              <w:rPr>
                <w:i/>
                <w:iCs/>
                <w:sz w:val="24"/>
              </w:rPr>
              <w:t>r</w:t>
            </w:r>
            <w:r>
              <w:rPr>
                <w:iCs/>
                <w:sz w:val="24"/>
                <w:vertAlign w:val="subscript"/>
              </w:rPr>
              <w:t>1</w:t>
            </w:r>
            <w:r>
              <w:rPr>
                <w:rFonts w:hint="eastAsia"/>
                <w:sz w:val="24"/>
              </w:rPr>
              <w:t>处声级，</w:t>
            </w:r>
            <w:r>
              <w:rPr>
                <w:sz w:val="24"/>
              </w:rPr>
              <w:t>dB</w:t>
            </w:r>
            <w:r>
              <w:rPr>
                <w:rFonts w:hint="eastAsia"/>
                <w:sz w:val="24"/>
                <w:lang w:val="pt-BR"/>
              </w:rPr>
              <w:t>（</w:t>
            </w:r>
            <w:r>
              <w:rPr>
                <w:sz w:val="24"/>
                <w:lang w:val="pt-BR"/>
              </w:rPr>
              <w:t>A</w:t>
            </w:r>
            <w:r>
              <w:rPr>
                <w:rFonts w:hint="eastAsia"/>
                <w:sz w:val="24"/>
                <w:lang w:val="pt-BR"/>
              </w:rPr>
              <w:t>）</w:t>
            </w:r>
            <w:r>
              <w:rPr>
                <w:rFonts w:hint="eastAsia"/>
                <w:sz w:val="24"/>
              </w:rPr>
              <w:t>；</w:t>
            </w:r>
          </w:p>
          <w:p w14:paraId="782824FE">
            <w:pPr>
              <w:ind w:firstLine="1200" w:firstLineChars="500"/>
              <w:rPr>
                <w:color w:val="000000"/>
                <w:sz w:val="24"/>
                <w:lang w:val="pt-BR"/>
              </w:rPr>
            </w:pPr>
            <w:r>
              <w:rPr>
                <w:i/>
                <w:iCs/>
                <w:sz w:val="24"/>
              </w:rPr>
              <w:t>L</w:t>
            </w:r>
            <w:r>
              <w:rPr>
                <w:iCs/>
                <w:sz w:val="24"/>
                <w:vertAlign w:val="subscript"/>
              </w:rPr>
              <w:t>2</w:t>
            </w:r>
            <w:r>
              <w:rPr>
                <w:sz w:val="24"/>
              </w:rPr>
              <w:t xml:space="preserve">  —</w:t>
            </w:r>
            <w:r>
              <w:rPr>
                <w:rFonts w:hint="eastAsia"/>
                <w:sz w:val="24"/>
              </w:rPr>
              <w:t>距声源</w:t>
            </w:r>
            <w:r>
              <w:rPr>
                <w:i/>
                <w:iCs/>
                <w:sz w:val="24"/>
              </w:rPr>
              <w:t>r</w:t>
            </w:r>
            <w:r>
              <w:rPr>
                <w:iCs/>
                <w:sz w:val="24"/>
                <w:vertAlign w:val="subscript"/>
              </w:rPr>
              <w:t>2</w:t>
            </w:r>
            <w:r>
              <w:rPr>
                <w:rFonts w:hint="eastAsia"/>
                <w:sz w:val="24"/>
              </w:rPr>
              <w:t>处声级，</w:t>
            </w:r>
            <w:r>
              <w:rPr>
                <w:sz w:val="24"/>
              </w:rPr>
              <w:t>dB</w:t>
            </w:r>
            <w:r>
              <w:rPr>
                <w:rFonts w:hint="eastAsia"/>
                <w:sz w:val="24"/>
                <w:lang w:val="pt-BR"/>
              </w:rPr>
              <w:t>（</w:t>
            </w:r>
            <w:r>
              <w:rPr>
                <w:sz w:val="24"/>
                <w:lang w:val="pt-BR"/>
              </w:rPr>
              <w:t>A</w:t>
            </w:r>
            <w:r>
              <w:rPr>
                <w:rFonts w:hint="eastAsia"/>
                <w:sz w:val="24"/>
                <w:lang w:val="pt-BR"/>
              </w:rPr>
              <w:t>）</w:t>
            </w:r>
            <w:r>
              <w:rPr>
                <w:rFonts w:hint="eastAsia"/>
                <w:sz w:val="24"/>
              </w:rPr>
              <w:t>。</w:t>
            </w:r>
          </w:p>
          <w:p w14:paraId="4E798EAB">
            <w:pPr>
              <w:ind w:firstLine="480" w:firstLineChars="200"/>
              <w:rPr>
                <w:color w:val="000000"/>
                <w:sz w:val="24"/>
                <w:lang w:val="pt-BR"/>
              </w:rPr>
            </w:pPr>
            <w:r>
              <w:rPr>
                <w:rFonts w:hint="eastAsia"/>
                <w:color w:val="000000"/>
                <w:sz w:val="24"/>
                <w:lang w:val="pt-BR"/>
              </w:rPr>
              <w:t>各主要施工设备在不同距离处的噪声值（未与现状值叠加）预测结果见表</w:t>
            </w:r>
            <w:r>
              <w:rPr>
                <w:color w:val="000000"/>
                <w:sz w:val="24"/>
                <w:lang w:val="pt-BR"/>
              </w:rPr>
              <w:t>21</w:t>
            </w:r>
            <w:r>
              <w:rPr>
                <w:rFonts w:hint="eastAsia"/>
                <w:color w:val="000000"/>
                <w:sz w:val="24"/>
                <w:lang w:val="pt-BR"/>
              </w:rPr>
              <w:t>。</w:t>
            </w:r>
          </w:p>
          <w:p w14:paraId="23119342">
            <w:pPr>
              <w:ind w:firstLine="480" w:firstLineChars="200"/>
              <w:rPr>
                <w:color w:val="000000"/>
                <w:sz w:val="24"/>
                <w:lang w:val="pt-BR"/>
              </w:rPr>
            </w:pPr>
          </w:p>
          <w:p w14:paraId="1C2F7649">
            <w:pPr>
              <w:ind w:firstLine="480" w:firstLineChars="200"/>
              <w:rPr>
                <w:rFonts w:ascii="黑体" w:hAnsi="黑体" w:eastAsia="黑体"/>
                <w:color w:val="000000"/>
                <w:sz w:val="24"/>
              </w:rPr>
            </w:pPr>
            <w:r>
              <w:rPr>
                <w:rFonts w:hint="eastAsia" w:ascii="黑体" w:hAnsi="黑体" w:eastAsia="黑体"/>
                <w:color w:val="000000"/>
                <w:sz w:val="24"/>
              </w:rPr>
              <w:t>表21           各类施工机械在不同距离处的噪声预测值      单位：dB(A)</w:t>
            </w:r>
          </w:p>
          <w:tbl>
            <w:tblPr>
              <w:tblStyle w:val="26"/>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28" w:type="dxa"/>
                <w:bottom w:w="0" w:type="dxa"/>
                <w:right w:w="28" w:type="dxa"/>
              </w:tblCellMar>
            </w:tblPr>
            <w:tblGrid>
              <w:gridCol w:w="665"/>
              <w:gridCol w:w="1512"/>
              <w:gridCol w:w="662"/>
              <w:gridCol w:w="662"/>
              <w:gridCol w:w="661"/>
              <w:gridCol w:w="661"/>
              <w:gridCol w:w="661"/>
              <w:gridCol w:w="661"/>
              <w:gridCol w:w="661"/>
              <w:gridCol w:w="661"/>
              <w:gridCol w:w="661"/>
              <w:gridCol w:w="661"/>
            </w:tblGrid>
            <w:tr w14:paraId="4A8B88D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665" w:type="dxa"/>
                  <w:vMerge w:val="restart"/>
                  <w:tcBorders>
                    <w:top w:val="single" w:color="auto" w:sz="8" w:space="0"/>
                    <w:left w:val="single" w:color="auto" w:sz="8" w:space="0"/>
                    <w:bottom w:val="single" w:color="auto" w:sz="4" w:space="0"/>
                    <w:right w:val="single" w:color="auto" w:sz="4" w:space="0"/>
                  </w:tcBorders>
                  <w:vAlign w:val="center"/>
                </w:tcPr>
                <w:p w14:paraId="00DA521E">
                  <w:pPr>
                    <w:pStyle w:val="126"/>
                    <w:rPr>
                      <w:kern w:val="2"/>
                      <w:sz w:val="20"/>
                    </w:rPr>
                  </w:pPr>
                  <w:r>
                    <w:rPr>
                      <w:rFonts w:hint="eastAsia"/>
                      <w:kern w:val="0"/>
                      <w:sz w:val="20"/>
                    </w:rPr>
                    <w:t>序号</w:t>
                  </w:r>
                </w:p>
              </w:tc>
              <w:tc>
                <w:tcPr>
                  <w:tcW w:w="1512" w:type="dxa"/>
                  <w:vMerge w:val="restart"/>
                  <w:tcBorders>
                    <w:top w:val="single" w:color="auto" w:sz="8" w:space="0"/>
                    <w:left w:val="single" w:color="auto" w:sz="4" w:space="0"/>
                    <w:bottom w:val="single" w:color="auto" w:sz="4" w:space="0"/>
                    <w:right w:val="single" w:color="auto" w:sz="4" w:space="0"/>
                  </w:tcBorders>
                  <w:vAlign w:val="center"/>
                </w:tcPr>
                <w:p w14:paraId="529A358D">
                  <w:pPr>
                    <w:spacing w:line="0" w:lineRule="atLeast"/>
                    <w:jc w:val="center"/>
                    <w:rPr>
                      <w:kern w:val="2"/>
                      <w:sz w:val="21"/>
                    </w:rPr>
                  </w:pPr>
                  <w:r>
                    <w:rPr>
                      <w:rFonts w:hint="eastAsia"/>
                      <w:kern w:val="0"/>
                      <w:sz w:val="20"/>
                    </w:rPr>
                    <w:t>机械类型</w:t>
                  </w:r>
                </w:p>
              </w:tc>
              <w:tc>
                <w:tcPr>
                  <w:tcW w:w="6612" w:type="dxa"/>
                  <w:gridSpan w:val="10"/>
                  <w:tcBorders>
                    <w:top w:val="single" w:color="auto" w:sz="8" w:space="0"/>
                    <w:left w:val="single" w:color="auto" w:sz="4" w:space="0"/>
                    <w:bottom w:val="single" w:color="auto" w:sz="4" w:space="0"/>
                    <w:right w:val="single" w:color="auto" w:sz="8" w:space="0"/>
                  </w:tcBorders>
                  <w:vAlign w:val="center"/>
                </w:tcPr>
                <w:p w14:paraId="1F2F9D44">
                  <w:pPr>
                    <w:spacing w:line="0" w:lineRule="atLeast"/>
                    <w:ind w:left="-105" w:leftChars="-50" w:right="-105" w:rightChars="-50"/>
                    <w:jc w:val="center"/>
                    <w:rPr>
                      <w:color w:val="000000"/>
                      <w:kern w:val="2"/>
                      <w:sz w:val="21"/>
                      <w:szCs w:val="21"/>
                    </w:rPr>
                  </w:pPr>
                  <w:r>
                    <w:rPr>
                      <w:rFonts w:hint="eastAsia"/>
                      <w:kern w:val="0"/>
                      <w:sz w:val="20"/>
                    </w:rPr>
                    <w:t>噪声预测值</w:t>
                  </w:r>
                </w:p>
              </w:tc>
            </w:tr>
            <w:tr w14:paraId="283852A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665" w:type="dxa"/>
                  <w:vMerge w:val="continue"/>
                  <w:tcBorders>
                    <w:top w:val="single" w:color="auto" w:sz="8" w:space="0"/>
                    <w:left w:val="single" w:color="auto" w:sz="8" w:space="0"/>
                    <w:bottom w:val="single" w:color="auto" w:sz="4" w:space="0"/>
                    <w:right w:val="single" w:color="auto" w:sz="4" w:space="0"/>
                  </w:tcBorders>
                  <w:vAlign w:val="center"/>
                </w:tcPr>
                <w:p w14:paraId="1DB9F09F">
                  <w:pPr>
                    <w:widowControl/>
                    <w:spacing w:line="240" w:lineRule="auto"/>
                    <w:jc w:val="left"/>
                    <w:rPr>
                      <w:kern w:val="2"/>
                      <w:sz w:val="21"/>
                    </w:rPr>
                  </w:pPr>
                </w:p>
              </w:tc>
              <w:tc>
                <w:tcPr>
                  <w:tcW w:w="1512" w:type="dxa"/>
                  <w:vMerge w:val="continue"/>
                  <w:tcBorders>
                    <w:top w:val="single" w:color="auto" w:sz="8" w:space="0"/>
                    <w:left w:val="single" w:color="auto" w:sz="4" w:space="0"/>
                    <w:bottom w:val="single" w:color="auto" w:sz="4" w:space="0"/>
                    <w:right w:val="single" w:color="auto" w:sz="4" w:space="0"/>
                  </w:tcBorders>
                  <w:vAlign w:val="center"/>
                </w:tcPr>
                <w:p w14:paraId="7EAF4AAA">
                  <w:pPr>
                    <w:widowControl/>
                    <w:spacing w:line="240" w:lineRule="auto"/>
                    <w:jc w:val="left"/>
                    <w:rPr>
                      <w:kern w:val="2"/>
                      <w:sz w:val="21"/>
                    </w:rPr>
                  </w:pPr>
                </w:p>
              </w:tc>
              <w:tc>
                <w:tcPr>
                  <w:tcW w:w="662" w:type="dxa"/>
                  <w:tcBorders>
                    <w:top w:val="single" w:color="auto" w:sz="4" w:space="0"/>
                    <w:left w:val="single" w:color="auto" w:sz="4" w:space="0"/>
                    <w:bottom w:val="single" w:color="auto" w:sz="4" w:space="0"/>
                    <w:right w:val="single" w:color="auto" w:sz="4" w:space="0"/>
                  </w:tcBorders>
                  <w:vAlign w:val="center"/>
                </w:tcPr>
                <w:p w14:paraId="5DDE604B">
                  <w:pPr>
                    <w:spacing w:line="0" w:lineRule="atLeast"/>
                    <w:ind w:left="-105" w:leftChars="-50" w:right="-105" w:rightChars="-50"/>
                    <w:jc w:val="center"/>
                    <w:rPr>
                      <w:color w:val="000000"/>
                      <w:kern w:val="2"/>
                      <w:sz w:val="21"/>
                      <w:szCs w:val="21"/>
                    </w:rPr>
                  </w:pPr>
                  <w:r>
                    <w:rPr>
                      <w:kern w:val="0"/>
                      <w:sz w:val="20"/>
                    </w:rPr>
                    <w:t>5m</w:t>
                  </w:r>
                </w:p>
              </w:tc>
              <w:tc>
                <w:tcPr>
                  <w:tcW w:w="662" w:type="dxa"/>
                  <w:tcBorders>
                    <w:top w:val="single" w:color="auto" w:sz="4" w:space="0"/>
                    <w:left w:val="single" w:color="auto" w:sz="4" w:space="0"/>
                    <w:bottom w:val="single" w:color="auto" w:sz="4" w:space="0"/>
                    <w:right w:val="single" w:color="auto" w:sz="4" w:space="0"/>
                  </w:tcBorders>
                  <w:vAlign w:val="center"/>
                </w:tcPr>
                <w:p w14:paraId="169C7089">
                  <w:pPr>
                    <w:spacing w:line="0" w:lineRule="atLeast"/>
                    <w:ind w:left="-105" w:leftChars="-50" w:right="-105" w:rightChars="-50"/>
                    <w:jc w:val="center"/>
                    <w:rPr>
                      <w:color w:val="000000"/>
                      <w:kern w:val="2"/>
                      <w:sz w:val="21"/>
                      <w:szCs w:val="21"/>
                    </w:rPr>
                  </w:pPr>
                  <w:r>
                    <w:rPr>
                      <w:color w:val="000000"/>
                      <w:kern w:val="0"/>
                      <w:sz w:val="20"/>
                      <w:szCs w:val="21"/>
                    </w:rPr>
                    <w:t>10</w:t>
                  </w:r>
                  <w:r>
                    <w:rPr>
                      <w:kern w:val="0"/>
                      <w:sz w:val="20"/>
                    </w:rPr>
                    <w:t>m</w:t>
                  </w:r>
                </w:p>
              </w:tc>
              <w:tc>
                <w:tcPr>
                  <w:tcW w:w="661" w:type="dxa"/>
                  <w:tcBorders>
                    <w:top w:val="single" w:color="auto" w:sz="4" w:space="0"/>
                    <w:left w:val="single" w:color="auto" w:sz="4" w:space="0"/>
                    <w:bottom w:val="single" w:color="auto" w:sz="4" w:space="0"/>
                    <w:right w:val="single" w:color="auto" w:sz="4" w:space="0"/>
                  </w:tcBorders>
                  <w:vAlign w:val="center"/>
                </w:tcPr>
                <w:p w14:paraId="423BEC96">
                  <w:pPr>
                    <w:spacing w:line="0" w:lineRule="atLeast"/>
                    <w:ind w:left="-105" w:leftChars="-50" w:right="-105" w:rightChars="-50"/>
                    <w:jc w:val="center"/>
                    <w:rPr>
                      <w:kern w:val="2"/>
                      <w:sz w:val="21"/>
                    </w:rPr>
                  </w:pPr>
                  <w:r>
                    <w:rPr>
                      <w:kern w:val="0"/>
                      <w:sz w:val="20"/>
                    </w:rPr>
                    <w:t>20m</w:t>
                  </w:r>
                </w:p>
              </w:tc>
              <w:tc>
                <w:tcPr>
                  <w:tcW w:w="661" w:type="dxa"/>
                  <w:tcBorders>
                    <w:top w:val="single" w:color="auto" w:sz="4" w:space="0"/>
                    <w:left w:val="single" w:color="auto" w:sz="4" w:space="0"/>
                    <w:bottom w:val="single" w:color="auto" w:sz="4" w:space="0"/>
                    <w:right w:val="single" w:color="auto" w:sz="4" w:space="0"/>
                  </w:tcBorders>
                  <w:vAlign w:val="center"/>
                </w:tcPr>
                <w:p w14:paraId="571D5E67">
                  <w:pPr>
                    <w:spacing w:line="0" w:lineRule="atLeast"/>
                    <w:ind w:left="-105" w:leftChars="-50" w:right="-105" w:rightChars="-50"/>
                    <w:jc w:val="center"/>
                    <w:rPr>
                      <w:kern w:val="2"/>
                      <w:sz w:val="21"/>
                    </w:rPr>
                  </w:pPr>
                  <w:r>
                    <w:rPr>
                      <w:kern w:val="0"/>
                      <w:sz w:val="20"/>
                    </w:rPr>
                    <w:t>40m</w:t>
                  </w:r>
                </w:p>
              </w:tc>
              <w:tc>
                <w:tcPr>
                  <w:tcW w:w="661" w:type="dxa"/>
                  <w:tcBorders>
                    <w:top w:val="single" w:color="auto" w:sz="4" w:space="0"/>
                    <w:left w:val="single" w:color="auto" w:sz="4" w:space="0"/>
                    <w:bottom w:val="single" w:color="auto" w:sz="4" w:space="0"/>
                    <w:right w:val="single" w:color="auto" w:sz="4" w:space="0"/>
                  </w:tcBorders>
                  <w:vAlign w:val="center"/>
                </w:tcPr>
                <w:p w14:paraId="17E08B62">
                  <w:pPr>
                    <w:spacing w:line="0" w:lineRule="atLeast"/>
                    <w:ind w:left="-105" w:leftChars="-50" w:right="-105" w:rightChars="-50"/>
                    <w:jc w:val="center"/>
                    <w:rPr>
                      <w:kern w:val="2"/>
                      <w:sz w:val="21"/>
                    </w:rPr>
                  </w:pPr>
                  <w:r>
                    <w:rPr>
                      <w:kern w:val="0"/>
                      <w:sz w:val="20"/>
                    </w:rPr>
                    <w:t>50m</w:t>
                  </w:r>
                </w:p>
              </w:tc>
              <w:tc>
                <w:tcPr>
                  <w:tcW w:w="661" w:type="dxa"/>
                  <w:tcBorders>
                    <w:top w:val="single" w:color="auto" w:sz="4" w:space="0"/>
                    <w:left w:val="single" w:color="auto" w:sz="4" w:space="0"/>
                    <w:bottom w:val="single" w:color="auto" w:sz="4" w:space="0"/>
                    <w:right w:val="single" w:color="auto" w:sz="4" w:space="0"/>
                  </w:tcBorders>
                  <w:vAlign w:val="center"/>
                </w:tcPr>
                <w:p w14:paraId="782E0236">
                  <w:pPr>
                    <w:spacing w:line="0" w:lineRule="atLeast"/>
                    <w:ind w:left="-105" w:leftChars="-50" w:right="-105" w:rightChars="-50"/>
                    <w:jc w:val="center"/>
                    <w:rPr>
                      <w:color w:val="000000"/>
                      <w:kern w:val="2"/>
                      <w:sz w:val="21"/>
                      <w:szCs w:val="21"/>
                    </w:rPr>
                  </w:pPr>
                  <w:r>
                    <w:rPr>
                      <w:color w:val="000000"/>
                      <w:kern w:val="0"/>
                      <w:sz w:val="20"/>
                      <w:szCs w:val="21"/>
                    </w:rPr>
                    <w:t>80m</w:t>
                  </w:r>
                </w:p>
              </w:tc>
              <w:tc>
                <w:tcPr>
                  <w:tcW w:w="661" w:type="dxa"/>
                  <w:tcBorders>
                    <w:top w:val="single" w:color="auto" w:sz="4" w:space="0"/>
                    <w:left w:val="single" w:color="auto" w:sz="4" w:space="0"/>
                    <w:bottom w:val="single" w:color="auto" w:sz="4" w:space="0"/>
                    <w:right w:val="single" w:color="auto" w:sz="4" w:space="0"/>
                  </w:tcBorders>
                  <w:vAlign w:val="center"/>
                </w:tcPr>
                <w:p w14:paraId="2E519D68">
                  <w:pPr>
                    <w:spacing w:line="0" w:lineRule="atLeast"/>
                    <w:ind w:left="-105" w:leftChars="-50" w:right="-105" w:rightChars="-50"/>
                    <w:jc w:val="center"/>
                    <w:rPr>
                      <w:color w:val="000000"/>
                      <w:kern w:val="2"/>
                      <w:sz w:val="21"/>
                      <w:szCs w:val="21"/>
                    </w:rPr>
                  </w:pPr>
                  <w:r>
                    <w:rPr>
                      <w:color w:val="000000"/>
                      <w:kern w:val="0"/>
                      <w:sz w:val="20"/>
                      <w:szCs w:val="21"/>
                    </w:rPr>
                    <w:t>100m</w:t>
                  </w:r>
                </w:p>
              </w:tc>
              <w:tc>
                <w:tcPr>
                  <w:tcW w:w="661" w:type="dxa"/>
                  <w:tcBorders>
                    <w:top w:val="single" w:color="auto" w:sz="4" w:space="0"/>
                    <w:left w:val="single" w:color="auto" w:sz="4" w:space="0"/>
                    <w:bottom w:val="single" w:color="auto" w:sz="4" w:space="0"/>
                    <w:right w:val="single" w:color="auto" w:sz="4" w:space="0"/>
                  </w:tcBorders>
                  <w:vAlign w:val="center"/>
                </w:tcPr>
                <w:p w14:paraId="352D70C1">
                  <w:pPr>
                    <w:spacing w:line="0" w:lineRule="atLeast"/>
                    <w:ind w:left="-105" w:leftChars="-50" w:right="-105" w:rightChars="-50"/>
                    <w:jc w:val="center"/>
                    <w:rPr>
                      <w:color w:val="000000"/>
                      <w:kern w:val="2"/>
                      <w:sz w:val="21"/>
                      <w:szCs w:val="21"/>
                    </w:rPr>
                  </w:pPr>
                  <w:r>
                    <w:rPr>
                      <w:color w:val="000000"/>
                      <w:kern w:val="0"/>
                      <w:sz w:val="20"/>
                      <w:szCs w:val="21"/>
                    </w:rPr>
                    <w:t>150m</w:t>
                  </w:r>
                </w:p>
              </w:tc>
              <w:tc>
                <w:tcPr>
                  <w:tcW w:w="661" w:type="dxa"/>
                  <w:tcBorders>
                    <w:top w:val="single" w:color="auto" w:sz="4" w:space="0"/>
                    <w:left w:val="single" w:color="auto" w:sz="4" w:space="0"/>
                    <w:bottom w:val="single" w:color="auto" w:sz="4" w:space="0"/>
                    <w:right w:val="single" w:color="auto" w:sz="4" w:space="0"/>
                  </w:tcBorders>
                  <w:vAlign w:val="center"/>
                </w:tcPr>
                <w:p w14:paraId="44197ECE">
                  <w:pPr>
                    <w:spacing w:line="0" w:lineRule="atLeast"/>
                    <w:ind w:left="-105" w:leftChars="-50" w:right="-105" w:rightChars="-50"/>
                    <w:jc w:val="center"/>
                    <w:rPr>
                      <w:color w:val="000000"/>
                      <w:kern w:val="2"/>
                      <w:sz w:val="21"/>
                      <w:szCs w:val="21"/>
                    </w:rPr>
                  </w:pPr>
                  <w:r>
                    <w:rPr>
                      <w:color w:val="000000"/>
                      <w:kern w:val="0"/>
                      <w:sz w:val="20"/>
                      <w:szCs w:val="21"/>
                    </w:rPr>
                    <w:t>200m</w:t>
                  </w:r>
                </w:p>
              </w:tc>
              <w:tc>
                <w:tcPr>
                  <w:tcW w:w="661" w:type="dxa"/>
                  <w:tcBorders>
                    <w:top w:val="single" w:color="auto" w:sz="4" w:space="0"/>
                    <w:left w:val="single" w:color="auto" w:sz="4" w:space="0"/>
                    <w:bottom w:val="single" w:color="auto" w:sz="4" w:space="0"/>
                    <w:right w:val="single" w:color="auto" w:sz="8" w:space="0"/>
                  </w:tcBorders>
                  <w:vAlign w:val="center"/>
                </w:tcPr>
                <w:p w14:paraId="2BB6F722">
                  <w:pPr>
                    <w:spacing w:line="0" w:lineRule="atLeast"/>
                    <w:ind w:left="-105" w:leftChars="-50" w:right="-105" w:rightChars="-50"/>
                    <w:jc w:val="center"/>
                    <w:rPr>
                      <w:color w:val="000000"/>
                      <w:kern w:val="2"/>
                      <w:sz w:val="21"/>
                      <w:szCs w:val="21"/>
                    </w:rPr>
                  </w:pPr>
                  <w:r>
                    <w:rPr>
                      <w:color w:val="000000"/>
                      <w:kern w:val="0"/>
                      <w:sz w:val="20"/>
                      <w:szCs w:val="21"/>
                    </w:rPr>
                    <w:t>300m</w:t>
                  </w:r>
                </w:p>
              </w:tc>
            </w:tr>
            <w:tr w14:paraId="1AAC8EF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665" w:type="dxa"/>
                  <w:tcBorders>
                    <w:top w:val="single" w:color="auto" w:sz="4" w:space="0"/>
                    <w:left w:val="single" w:color="auto" w:sz="8" w:space="0"/>
                    <w:bottom w:val="single" w:color="auto" w:sz="4" w:space="0"/>
                    <w:right w:val="single" w:color="auto" w:sz="4" w:space="0"/>
                  </w:tcBorders>
                  <w:vAlign w:val="center"/>
                </w:tcPr>
                <w:p w14:paraId="5E1A040A">
                  <w:pPr>
                    <w:spacing w:line="0" w:lineRule="atLeast"/>
                    <w:jc w:val="center"/>
                    <w:rPr>
                      <w:kern w:val="2"/>
                      <w:sz w:val="21"/>
                    </w:rPr>
                  </w:pPr>
                  <w:r>
                    <w:rPr>
                      <w:kern w:val="0"/>
                      <w:sz w:val="20"/>
                    </w:rPr>
                    <w:t>1</w:t>
                  </w:r>
                </w:p>
              </w:tc>
              <w:tc>
                <w:tcPr>
                  <w:tcW w:w="1512" w:type="dxa"/>
                  <w:tcBorders>
                    <w:top w:val="single" w:color="auto" w:sz="4" w:space="0"/>
                    <w:left w:val="single" w:color="auto" w:sz="4" w:space="0"/>
                    <w:bottom w:val="single" w:color="auto" w:sz="4" w:space="0"/>
                    <w:right w:val="single" w:color="auto" w:sz="4" w:space="0"/>
                  </w:tcBorders>
                  <w:vAlign w:val="center"/>
                </w:tcPr>
                <w:p w14:paraId="76CE16D7">
                  <w:pPr>
                    <w:spacing w:line="0" w:lineRule="atLeast"/>
                    <w:ind w:left="-105" w:leftChars="-50" w:right="-105" w:rightChars="-50"/>
                    <w:jc w:val="center"/>
                    <w:rPr>
                      <w:color w:val="000000"/>
                      <w:kern w:val="2"/>
                      <w:sz w:val="21"/>
                      <w:szCs w:val="21"/>
                    </w:rPr>
                  </w:pPr>
                  <w:r>
                    <w:rPr>
                      <w:rFonts w:hint="eastAsia"/>
                      <w:color w:val="000000"/>
                      <w:kern w:val="0"/>
                      <w:sz w:val="20"/>
                      <w:szCs w:val="21"/>
                    </w:rPr>
                    <w:t>推土机</w:t>
                  </w:r>
                </w:p>
              </w:tc>
              <w:tc>
                <w:tcPr>
                  <w:tcW w:w="662" w:type="dxa"/>
                  <w:tcBorders>
                    <w:top w:val="single" w:color="auto" w:sz="4" w:space="0"/>
                    <w:left w:val="single" w:color="auto" w:sz="4" w:space="0"/>
                    <w:bottom w:val="single" w:color="auto" w:sz="4" w:space="0"/>
                    <w:right w:val="single" w:color="auto" w:sz="4" w:space="0"/>
                  </w:tcBorders>
                  <w:vAlign w:val="center"/>
                </w:tcPr>
                <w:p w14:paraId="61174AE3">
                  <w:pPr>
                    <w:spacing w:line="0" w:lineRule="atLeast"/>
                    <w:ind w:left="-105" w:leftChars="-50" w:right="-105" w:rightChars="-50"/>
                    <w:jc w:val="center"/>
                    <w:rPr>
                      <w:color w:val="000000"/>
                      <w:kern w:val="2"/>
                      <w:sz w:val="21"/>
                      <w:szCs w:val="21"/>
                    </w:rPr>
                  </w:pPr>
                  <w:r>
                    <w:rPr>
                      <w:color w:val="000000"/>
                      <w:kern w:val="0"/>
                      <w:sz w:val="20"/>
                      <w:szCs w:val="21"/>
                    </w:rPr>
                    <w:t>86</w:t>
                  </w:r>
                </w:p>
              </w:tc>
              <w:tc>
                <w:tcPr>
                  <w:tcW w:w="662" w:type="dxa"/>
                  <w:tcBorders>
                    <w:top w:val="single" w:color="auto" w:sz="4" w:space="0"/>
                    <w:left w:val="single" w:color="auto" w:sz="4" w:space="0"/>
                    <w:bottom w:val="single" w:color="auto" w:sz="4" w:space="0"/>
                    <w:right w:val="single" w:color="auto" w:sz="4" w:space="0"/>
                  </w:tcBorders>
                  <w:vAlign w:val="center"/>
                </w:tcPr>
                <w:p w14:paraId="109889CB">
                  <w:pPr>
                    <w:spacing w:line="0" w:lineRule="atLeast"/>
                    <w:ind w:left="-105" w:leftChars="-50" w:right="-105" w:rightChars="-50"/>
                    <w:jc w:val="center"/>
                    <w:rPr>
                      <w:color w:val="000000"/>
                      <w:kern w:val="2"/>
                      <w:sz w:val="21"/>
                      <w:szCs w:val="21"/>
                    </w:rPr>
                  </w:pPr>
                  <w:r>
                    <w:rPr>
                      <w:color w:val="000000"/>
                      <w:kern w:val="0"/>
                      <w:sz w:val="20"/>
                      <w:szCs w:val="21"/>
                    </w:rPr>
                    <w:t>80</w:t>
                  </w:r>
                </w:p>
              </w:tc>
              <w:tc>
                <w:tcPr>
                  <w:tcW w:w="661" w:type="dxa"/>
                  <w:tcBorders>
                    <w:top w:val="single" w:color="auto" w:sz="4" w:space="0"/>
                    <w:left w:val="single" w:color="auto" w:sz="4" w:space="0"/>
                    <w:bottom w:val="single" w:color="auto" w:sz="4" w:space="0"/>
                    <w:right w:val="single" w:color="auto" w:sz="4" w:space="0"/>
                  </w:tcBorders>
                  <w:vAlign w:val="center"/>
                </w:tcPr>
                <w:p w14:paraId="0BFED687">
                  <w:pPr>
                    <w:spacing w:line="0" w:lineRule="atLeast"/>
                    <w:ind w:left="-105" w:leftChars="-50" w:right="-105" w:rightChars="-50"/>
                    <w:jc w:val="center"/>
                    <w:rPr>
                      <w:color w:val="000000"/>
                      <w:kern w:val="2"/>
                      <w:sz w:val="21"/>
                      <w:szCs w:val="21"/>
                    </w:rPr>
                  </w:pPr>
                  <w:r>
                    <w:rPr>
                      <w:color w:val="000000"/>
                      <w:kern w:val="0"/>
                      <w:sz w:val="20"/>
                      <w:szCs w:val="21"/>
                    </w:rPr>
                    <w:t>74</w:t>
                  </w:r>
                </w:p>
              </w:tc>
              <w:tc>
                <w:tcPr>
                  <w:tcW w:w="661" w:type="dxa"/>
                  <w:tcBorders>
                    <w:top w:val="single" w:color="auto" w:sz="4" w:space="0"/>
                    <w:left w:val="single" w:color="auto" w:sz="4" w:space="0"/>
                    <w:bottom w:val="single" w:color="auto" w:sz="4" w:space="0"/>
                    <w:right w:val="single" w:color="auto" w:sz="4" w:space="0"/>
                  </w:tcBorders>
                  <w:vAlign w:val="center"/>
                </w:tcPr>
                <w:p w14:paraId="6EC239E8">
                  <w:pPr>
                    <w:spacing w:line="0" w:lineRule="atLeast"/>
                    <w:ind w:left="-105" w:leftChars="-50" w:right="-105" w:rightChars="-50"/>
                    <w:jc w:val="center"/>
                    <w:rPr>
                      <w:color w:val="000000"/>
                      <w:kern w:val="2"/>
                      <w:sz w:val="21"/>
                      <w:szCs w:val="21"/>
                    </w:rPr>
                  </w:pPr>
                  <w:r>
                    <w:rPr>
                      <w:color w:val="000000"/>
                      <w:kern w:val="0"/>
                      <w:sz w:val="20"/>
                      <w:szCs w:val="21"/>
                    </w:rPr>
                    <w:t>68</w:t>
                  </w:r>
                </w:p>
              </w:tc>
              <w:tc>
                <w:tcPr>
                  <w:tcW w:w="661" w:type="dxa"/>
                  <w:tcBorders>
                    <w:top w:val="single" w:color="auto" w:sz="4" w:space="0"/>
                    <w:left w:val="single" w:color="auto" w:sz="4" w:space="0"/>
                    <w:bottom w:val="single" w:color="auto" w:sz="4" w:space="0"/>
                    <w:right w:val="single" w:color="auto" w:sz="4" w:space="0"/>
                  </w:tcBorders>
                  <w:vAlign w:val="center"/>
                </w:tcPr>
                <w:p w14:paraId="55C088A0">
                  <w:pPr>
                    <w:spacing w:line="0" w:lineRule="atLeast"/>
                    <w:ind w:left="-105" w:leftChars="-50" w:right="-105" w:rightChars="-50"/>
                    <w:jc w:val="center"/>
                    <w:rPr>
                      <w:color w:val="000000"/>
                      <w:kern w:val="2"/>
                      <w:sz w:val="21"/>
                      <w:szCs w:val="21"/>
                    </w:rPr>
                  </w:pPr>
                  <w:r>
                    <w:rPr>
                      <w:color w:val="000000"/>
                      <w:kern w:val="0"/>
                      <w:sz w:val="20"/>
                      <w:szCs w:val="21"/>
                    </w:rPr>
                    <w:t>66</w:t>
                  </w:r>
                </w:p>
              </w:tc>
              <w:tc>
                <w:tcPr>
                  <w:tcW w:w="661" w:type="dxa"/>
                  <w:tcBorders>
                    <w:top w:val="single" w:color="auto" w:sz="4" w:space="0"/>
                    <w:left w:val="single" w:color="auto" w:sz="4" w:space="0"/>
                    <w:bottom w:val="single" w:color="auto" w:sz="4" w:space="0"/>
                    <w:right w:val="single" w:color="auto" w:sz="4" w:space="0"/>
                  </w:tcBorders>
                  <w:vAlign w:val="center"/>
                </w:tcPr>
                <w:p w14:paraId="2AC9B6AC">
                  <w:pPr>
                    <w:spacing w:line="0" w:lineRule="atLeast"/>
                    <w:ind w:left="-105" w:leftChars="-50" w:right="-105" w:rightChars="-50"/>
                    <w:jc w:val="center"/>
                    <w:rPr>
                      <w:color w:val="000000"/>
                      <w:kern w:val="2"/>
                      <w:sz w:val="21"/>
                      <w:szCs w:val="21"/>
                    </w:rPr>
                  </w:pPr>
                  <w:r>
                    <w:rPr>
                      <w:color w:val="000000"/>
                      <w:kern w:val="0"/>
                      <w:sz w:val="20"/>
                      <w:szCs w:val="21"/>
                    </w:rPr>
                    <w:t>62</w:t>
                  </w:r>
                </w:p>
              </w:tc>
              <w:tc>
                <w:tcPr>
                  <w:tcW w:w="661" w:type="dxa"/>
                  <w:tcBorders>
                    <w:top w:val="single" w:color="auto" w:sz="4" w:space="0"/>
                    <w:left w:val="single" w:color="auto" w:sz="4" w:space="0"/>
                    <w:bottom w:val="single" w:color="auto" w:sz="4" w:space="0"/>
                    <w:right w:val="single" w:color="auto" w:sz="4" w:space="0"/>
                  </w:tcBorders>
                  <w:vAlign w:val="center"/>
                </w:tcPr>
                <w:p w14:paraId="0FF9D184">
                  <w:pPr>
                    <w:spacing w:line="0" w:lineRule="atLeast"/>
                    <w:ind w:left="-105" w:leftChars="-50" w:right="-105" w:rightChars="-50"/>
                    <w:jc w:val="center"/>
                    <w:rPr>
                      <w:color w:val="000000"/>
                      <w:kern w:val="2"/>
                      <w:sz w:val="21"/>
                      <w:szCs w:val="21"/>
                    </w:rPr>
                  </w:pPr>
                  <w:r>
                    <w:rPr>
                      <w:color w:val="000000"/>
                      <w:kern w:val="0"/>
                      <w:sz w:val="20"/>
                      <w:szCs w:val="21"/>
                    </w:rPr>
                    <w:t>60</w:t>
                  </w:r>
                </w:p>
              </w:tc>
              <w:tc>
                <w:tcPr>
                  <w:tcW w:w="661" w:type="dxa"/>
                  <w:tcBorders>
                    <w:top w:val="single" w:color="auto" w:sz="4" w:space="0"/>
                    <w:left w:val="single" w:color="auto" w:sz="4" w:space="0"/>
                    <w:bottom w:val="single" w:color="auto" w:sz="4" w:space="0"/>
                    <w:right w:val="single" w:color="auto" w:sz="4" w:space="0"/>
                  </w:tcBorders>
                  <w:vAlign w:val="center"/>
                </w:tcPr>
                <w:p w14:paraId="5F275B1D">
                  <w:pPr>
                    <w:spacing w:line="0" w:lineRule="atLeast"/>
                    <w:ind w:left="-105" w:leftChars="-50" w:right="-105" w:rightChars="-50"/>
                    <w:jc w:val="center"/>
                    <w:rPr>
                      <w:color w:val="000000"/>
                      <w:kern w:val="2"/>
                      <w:sz w:val="21"/>
                      <w:szCs w:val="21"/>
                    </w:rPr>
                  </w:pPr>
                  <w:r>
                    <w:rPr>
                      <w:color w:val="000000"/>
                      <w:kern w:val="0"/>
                      <w:sz w:val="20"/>
                      <w:szCs w:val="21"/>
                    </w:rPr>
                    <w:t>57</w:t>
                  </w:r>
                </w:p>
              </w:tc>
              <w:tc>
                <w:tcPr>
                  <w:tcW w:w="661" w:type="dxa"/>
                  <w:tcBorders>
                    <w:top w:val="single" w:color="auto" w:sz="4" w:space="0"/>
                    <w:left w:val="single" w:color="auto" w:sz="4" w:space="0"/>
                    <w:bottom w:val="single" w:color="auto" w:sz="4" w:space="0"/>
                    <w:right w:val="single" w:color="auto" w:sz="4" w:space="0"/>
                  </w:tcBorders>
                  <w:vAlign w:val="center"/>
                </w:tcPr>
                <w:p w14:paraId="293403BE">
                  <w:pPr>
                    <w:spacing w:line="0" w:lineRule="atLeast"/>
                    <w:ind w:left="-105" w:leftChars="-50" w:right="-105" w:rightChars="-50"/>
                    <w:jc w:val="center"/>
                    <w:rPr>
                      <w:color w:val="000000"/>
                      <w:kern w:val="2"/>
                      <w:sz w:val="21"/>
                      <w:szCs w:val="21"/>
                    </w:rPr>
                  </w:pPr>
                  <w:r>
                    <w:rPr>
                      <w:color w:val="000000"/>
                      <w:kern w:val="0"/>
                      <w:sz w:val="20"/>
                      <w:szCs w:val="21"/>
                    </w:rPr>
                    <w:t>54</w:t>
                  </w:r>
                </w:p>
              </w:tc>
              <w:tc>
                <w:tcPr>
                  <w:tcW w:w="661" w:type="dxa"/>
                  <w:tcBorders>
                    <w:top w:val="single" w:color="auto" w:sz="4" w:space="0"/>
                    <w:left w:val="single" w:color="auto" w:sz="4" w:space="0"/>
                    <w:bottom w:val="single" w:color="auto" w:sz="4" w:space="0"/>
                    <w:right w:val="single" w:color="auto" w:sz="8" w:space="0"/>
                  </w:tcBorders>
                  <w:vAlign w:val="center"/>
                </w:tcPr>
                <w:p w14:paraId="55E9AF79">
                  <w:pPr>
                    <w:spacing w:line="0" w:lineRule="atLeast"/>
                    <w:ind w:left="-105" w:leftChars="-50" w:right="-105" w:rightChars="-50"/>
                    <w:jc w:val="center"/>
                    <w:rPr>
                      <w:color w:val="000000"/>
                      <w:kern w:val="2"/>
                      <w:sz w:val="21"/>
                      <w:szCs w:val="21"/>
                    </w:rPr>
                  </w:pPr>
                  <w:r>
                    <w:rPr>
                      <w:color w:val="000000"/>
                      <w:kern w:val="0"/>
                      <w:sz w:val="20"/>
                      <w:szCs w:val="21"/>
                    </w:rPr>
                    <w:t>51</w:t>
                  </w:r>
                </w:p>
              </w:tc>
            </w:tr>
            <w:tr w14:paraId="723019F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665" w:type="dxa"/>
                  <w:tcBorders>
                    <w:top w:val="single" w:color="auto" w:sz="4" w:space="0"/>
                    <w:left w:val="single" w:color="auto" w:sz="8" w:space="0"/>
                    <w:bottom w:val="single" w:color="auto" w:sz="4" w:space="0"/>
                    <w:right w:val="single" w:color="auto" w:sz="4" w:space="0"/>
                  </w:tcBorders>
                  <w:vAlign w:val="center"/>
                </w:tcPr>
                <w:p w14:paraId="3AE65981">
                  <w:pPr>
                    <w:spacing w:line="0" w:lineRule="atLeast"/>
                    <w:jc w:val="center"/>
                    <w:rPr>
                      <w:kern w:val="2"/>
                      <w:sz w:val="21"/>
                    </w:rPr>
                  </w:pPr>
                  <w:r>
                    <w:rPr>
                      <w:kern w:val="0"/>
                      <w:sz w:val="20"/>
                    </w:rPr>
                    <w:t>2</w:t>
                  </w:r>
                </w:p>
              </w:tc>
              <w:tc>
                <w:tcPr>
                  <w:tcW w:w="1512" w:type="dxa"/>
                  <w:tcBorders>
                    <w:top w:val="single" w:color="auto" w:sz="4" w:space="0"/>
                    <w:left w:val="single" w:color="auto" w:sz="4" w:space="0"/>
                    <w:bottom w:val="single" w:color="auto" w:sz="4" w:space="0"/>
                    <w:right w:val="single" w:color="auto" w:sz="4" w:space="0"/>
                  </w:tcBorders>
                  <w:vAlign w:val="center"/>
                </w:tcPr>
                <w:p w14:paraId="54A3F1EE">
                  <w:pPr>
                    <w:spacing w:line="0" w:lineRule="atLeast"/>
                    <w:ind w:left="-105" w:leftChars="-50" w:right="-105" w:rightChars="-50"/>
                    <w:jc w:val="center"/>
                    <w:rPr>
                      <w:color w:val="000000"/>
                      <w:kern w:val="2"/>
                      <w:sz w:val="21"/>
                      <w:szCs w:val="21"/>
                    </w:rPr>
                  </w:pPr>
                  <w:r>
                    <w:rPr>
                      <w:rFonts w:hint="eastAsia"/>
                      <w:color w:val="000000"/>
                      <w:kern w:val="0"/>
                      <w:sz w:val="20"/>
                      <w:szCs w:val="21"/>
                    </w:rPr>
                    <w:t>装载机</w:t>
                  </w:r>
                </w:p>
              </w:tc>
              <w:tc>
                <w:tcPr>
                  <w:tcW w:w="662" w:type="dxa"/>
                  <w:tcBorders>
                    <w:top w:val="single" w:color="auto" w:sz="4" w:space="0"/>
                    <w:left w:val="single" w:color="auto" w:sz="4" w:space="0"/>
                    <w:bottom w:val="single" w:color="auto" w:sz="4" w:space="0"/>
                    <w:right w:val="single" w:color="auto" w:sz="4" w:space="0"/>
                  </w:tcBorders>
                  <w:vAlign w:val="center"/>
                </w:tcPr>
                <w:p w14:paraId="7FCEB693">
                  <w:pPr>
                    <w:spacing w:line="0" w:lineRule="atLeast"/>
                    <w:ind w:left="-105" w:leftChars="-50" w:right="-105" w:rightChars="-50"/>
                    <w:jc w:val="center"/>
                    <w:rPr>
                      <w:color w:val="000000"/>
                      <w:kern w:val="2"/>
                      <w:sz w:val="21"/>
                      <w:szCs w:val="21"/>
                    </w:rPr>
                  </w:pPr>
                  <w:r>
                    <w:rPr>
                      <w:color w:val="000000"/>
                      <w:kern w:val="0"/>
                      <w:sz w:val="20"/>
                      <w:szCs w:val="21"/>
                    </w:rPr>
                    <w:t>86</w:t>
                  </w:r>
                </w:p>
              </w:tc>
              <w:tc>
                <w:tcPr>
                  <w:tcW w:w="662" w:type="dxa"/>
                  <w:tcBorders>
                    <w:top w:val="single" w:color="auto" w:sz="4" w:space="0"/>
                    <w:left w:val="single" w:color="auto" w:sz="4" w:space="0"/>
                    <w:bottom w:val="single" w:color="auto" w:sz="4" w:space="0"/>
                    <w:right w:val="single" w:color="auto" w:sz="4" w:space="0"/>
                  </w:tcBorders>
                  <w:vAlign w:val="center"/>
                </w:tcPr>
                <w:p w14:paraId="755BE064">
                  <w:pPr>
                    <w:spacing w:line="0" w:lineRule="atLeast"/>
                    <w:ind w:left="-105" w:leftChars="-50" w:right="-105" w:rightChars="-50"/>
                    <w:jc w:val="center"/>
                    <w:rPr>
                      <w:color w:val="000000"/>
                      <w:kern w:val="2"/>
                      <w:sz w:val="21"/>
                      <w:szCs w:val="21"/>
                    </w:rPr>
                  </w:pPr>
                  <w:r>
                    <w:rPr>
                      <w:color w:val="000000"/>
                      <w:kern w:val="0"/>
                      <w:sz w:val="20"/>
                      <w:szCs w:val="21"/>
                    </w:rPr>
                    <w:t>80</w:t>
                  </w:r>
                </w:p>
              </w:tc>
              <w:tc>
                <w:tcPr>
                  <w:tcW w:w="661" w:type="dxa"/>
                  <w:tcBorders>
                    <w:top w:val="single" w:color="auto" w:sz="4" w:space="0"/>
                    <w:left w:val="single" w:color="auto" w:sz="4" w:space="0"/>
                    <w:bottom w:val="single" w:color="auto" w:sz="4" w:space="0"/>
                    <w:right w:val="single" w:color="auto" w:sz="4" w:space="0"/>
                  </w:tcBorders>
                  <w:vAlign w:val="center"/>
                </w:tcPr>
                <w:p w14:paraId="4AAF819A">
                  <w:pPr>
                    <w:spacing w:line="0" w:lineRule="atLeast"/>
                    <w:ind w:left="-105" w:leftChars="-50" w:right="-105" w:rightChars="-50"/>
                    <w:jc w:val="center"/>
                    <w:rPr>
                      <w:color w:val="000000"/>
                      <w:kern w:val="2"/>
                      <w:sz w:val="21"/>
                      <w:szCs w:val="21"/>
                    </w:rPr>
                  </w:pPr>
                  <w:r>
                    <w:rPr>
                      <w:color w:val="000000"/>
                      <w:kern w:val="0"/>
                      <w:sz w:val="20"/>
                      <w:szCs w:val="21"/>
                    </w:rPr>
                    <w:t>74</w:t>
                  </w:r>
                </w:p>
              </w:tc>
              <w:tc>
                <w:tcPr>
                  <w:tcW w:w="661" w:type="dxa"/>
                  <w:tcBorders>
                    <w:top w:val="single" w:color="auto" w:sz="4" w:space="0"/>
                    <w:left w:val="single" w:color="auto" w:sz="4" w:space="0"/>
                    <w:bottom w:val="single" w:color="auto" w:sz="4" w:space="0"/>
                    <w:right w:val="single" w:color="auto" w:sz="4" w:space="0"/>
                  </w:tcBorders>
                  <w:vAlign w:val="center"/>
                </w:tcPr>
                <w:p w14:paraId="5228F6B2">
                  <w:pPr>
                    <w:spacing w:line="0" w:lineRule="atLeast"/>
                    <w:ind w:left="-105" w:leftChars="-50" w:right="-105" w:rightChars="-50"/>
                    <w:jc w:val="center"/>
                    <w:rPr>
                      <w:color w:val="000000"/>
                      <w:kern w:val="2"/>
                      <w:sz w:val="21"/>
                      <w:szCs w:val="21"/>
                    </w:rPr>
                  </w:pPr>
                  <w:r>
                    <w:rPr>
                      <w:color w:val="000000"/>
                      <w:kern w:val="0"/>
                      <w:sz w:val="20"/>
                      <w:szCs w:val="21"/>
                    </w:rPr>
                    <w:t>68</w:t>
                  </w:r>
                </w:p>
              </w:tc>
              <w:tc>
                <w:tcPr>
                  <w:tcW w:w="661" w:type="dxa"/>
                  <w:tcBorders>
                    <w:top w:val="single" w:color="auto" w:sz="4" w:space="0"/>
                    <w:left w:val="single" w:color="auto" w:sz="4" w:space="0"/>
                    <w:bottom w:val="single" w:color="auto" w:sz="4" w:space="0"/>
                    <w:right w:val="single" w:color="auto" w:sz="4" w:space="0"/>
                  </w:tcBorders>
                  <w:vAlign w:val="center"/>
                </w:tcPr>
                <w:p w14:paraId="5074B24B">
                  <w:pPr>
                    <w:spacing w:line="0" w:lineRule="atLeast"/>
                    <w:ind w:left="-105" w:leftChars="-50" w:right="-105" w:rightChars="-50"/>
                    <w:jc w:val="center"/>
                    <w:rPr>
                      <w:color w:val="000000"/>
                      <w:kern w:val="2"/>
                      <w:sz w:val="21"/>
                      <w:szCs w:val="21"/>
                    </w:rPr>
                  </w:pPr>
                  <w:r>
                    <w:rPr>
                      <w:color w:val="000000"/>
                      <w:kern w:val="0"/>
                      <w:sz w:val="20"/>
                      <w:szCs w:val="21"/>
                    </w:rPr>
                    <w:t>66</w:t>
                  </w:r>
                </w:p>
              </w:tc>
              <w:tc>
                <w:tcPr>
                  <w:tcW w:w="661" w:type="dxa"/>
                  <w:tcBorders>
                    <w:top w:val="single" w:color="auto" w:sz="4" w:space="0"/>
                    <w:left w:val="single" w:color="auto" w:sz="4" w:space="0"/>
                    <w:bottom w:val="single" w:color="auto" w:sz="4" w:space="0"/>
                    <w:right w:val="single" w:color="auto" w:sz="4" w:space="0"/>
                  </w:tcBorders>
                  <w:vAlign w:val="center"/>
                </w:tcPr>
                <w:p w14:paraId="3729DEF0">
                  <w:pPr>
                    <w:spacing w:line="0" w:lineRule="atLeast"/>
                    <w:ind w:left="-105" w:leftChars="-50" w:right="-105" w:rightChars="-50"/>
                    <w:jc w:val="center"/>
                    <w:rPr>
                      <w:color w:val="000000"/>
                      <w:kern w:val="2"/>
                      <w:sz w:val="21"/>
                      <w:szCs w:val="21"/>
                    </w:rPr>
                  </w:pPr>
                  <w:r>
                    <w:rPr>
                      <w:color w:val="000000"/>
                      <w:kern w:val="0"/>
                      <w:sz w:val="20"/>
                      <w:szCs w:val="21"/>
                    </w:rPr>
                    <w:t>62</w:t>
                  </w:r>
                </w:p>
              </w:tc>
              <w:tc>
                <w:tcPr>
                  <w:tcW w:w="661" w:type="dxa"/>
                  <w:tcBorders>
                    <w:top w:val="single" w:color="auto" w:sz="4" w:space="0"/>
                    <w:left w:val="single" w:color="auto" w:sz="4" w:space="0"/>
                    <w:bottom w:val="single" w:color="auto" w:sz="4" w:space="0"/>
                    <w:right w:val="single" w:color="auto" w:sz="4" w:space="0"/>
                  </w:tcBorders>
                  <w:vAlign w:val="center"/>
                </w:tcPr>
                <w:p w14:paraId="6C0AB1D6">
                  <w:pPr>
                    <w:spacing w:line="0" w:lineRule="atLeast"/>
                    <w:ind w:left="-105" w:leftChars="-50" w:right="-105" w:rightChars="-50"/>
                    <w:jc w:val="center"/>
                    <w:rPr>
                      <w:color w:val="000000"/>
                      <w:kern w:val="2"/>
                      <w:sz w:val="21"/>
                      <w:szCs w:val="21"/>
                    </w:rPr>
                  </w:pPr>
                  <w:r>
                    <w:rPr>
                      <w:color w:val="000000"/>
                      <w:kern w:val="0"/>
                      <w:sz w:val="20"/>
                      <w:szCs w:val="21"/>
                    </w:rPr>
                    <w:t>60</w:t>
                  </w:r>
                </w:p>
              </w:tc>
              <w:tc>
                <w:tcPr>
                  <w:tcW w:w="661" w:type="dxa"/>
                  <w:tcBorders>
                    <w:top w:val="single" w:color="auto" w:sz="4" w:space="0"/>
                    <w:left w:val="single" w:color="auto" w:sz="4" w:space="0"/>
                    <w:bottom w:val="single" w:color="auto" w:sz="4" w:space="0"/>
                    <w:right w:val="single" w:color="auto" w:sz="4" w:space="0"/>
                  </w:tcBorders>
                  <w:vAlign w:val="center"/>
                </w:tcPr>
                <w:p w14:paraId="1E6DDFB3">
                  <w:pPr>
                    <w:spacing w:line="0" w:lineRule="atLeast"/>
                    <w:ind w:left="-105" w:leftChars="-50" w:right="-105" w:rightChars="-50"/>
                    <w:jc w:val="center"/>
                    <w:rPr>
                      <w:color w:val="000000"/>
                      <w:kern w:val="2"/>
                      <w:sz w:val="21"/>
                      <w:szCs w:val="21"/>
                    </w:rPr>
                  </w:pPr>
                  <w:r>
                    <w:rPr>
                      <w:color w:val="000000"/>
                      <w:kern w:val="0"/>
                      <w:sz w:val="20"/>
                      <w:szCs w:val="21"/>
                    </w:rPr>
                    <w:t>57</w:t>
                  </w:r>
                </w:p>
              </w:tc>
              <w:tc>
                <w:tcPr>
                  <w:tcW w:w="661" w:type="dxa"/>
                  <w:tcBorders>
                    <w:top w:val="single" w:color="auto" w:sz="4" w:space="0"/>
                    <w:left w:val="single" w:color="auto" w:sz="4" w:space="0"/>
                    <w:bottom w:val="single" w:color="auto" w:sz="4" w:space="0"/>
                    <w:right w:val="single" w:color="auto" w:sz="4" w:space="0"/>
                  </w:tcBorders>
                  <w:vAlign w:val="center"/>
                </w:tcPr>
                <w:p w14:paraId="2DD2F60F">
                  <w:pPr>
                    <w:spacing w:line="0" w:lineRule="atLeast"/>
                    <w:ind w:left="-105" w:leftChars="-50" w:right="-105" w:rightChars="-50"/>
                    <w:jc w:val="center"/>
                    <w:rPr>
                      <w:color w:val="000000"/>
                      <w:kern w:val="2"/>
                      <w:sz w:val="21"/>
                      <w:szCs w:val="21"/>
                    </w:rPr>
                  </w:pPr>
                  <w:r>
                    <w:rPr>
                      <w:color w:val="000000"/>
                      <w:kern w:val="0"/>
                      <w:sz w:val="20"/>
                      <w:szCs w:val="21"/>
                    </w:rPr>
                    <w:t>54</w:t>
                  </w:r>
                </w:p>
              </w:tc>
              <w:tc>
                <w:tcPr>
                  <w:tcW w:w="661" w:type="dxa"/>
                  <w:tcBorders>
                    <w:top w:val="single" w:color="auto" w:sz="4" w:space="0"/>
                    <w:left w:val="single" w:color="auto" w:sz="4" w:space="0"/>
                    <w:bottom w:val="single" w:color="auto" w:sz="4" w:space="0"/>
                    <w:right w:val="single" w:color="auto" w:sz="8" w:space="0"/>
                  </w:tcBorders>
                  <w:vAlign w:val="center"/>
                </w:tcPr>
                <w:p w14:paraId="266FB03B">
                  <w:pPr>
                    <w:spacing w:line="0" w:lineRule="atLeast"/>
                    <w:ind w:left="-105" w:leftChars="-50" w:right="-105" w:rightChars="-50"/>
                    <w:jc w:val="center"/>
                    <w:rPr>
                      <w:color w:val="000000"/>
                      <w:kern w:val="2"/>
                      <w:sz w:val="21"/>
                      <w:szCs w:val="21"/>
                    </w:rPr>
                  </w:pPr>
                  <w:r>
                    <w:rPr>
                      <w:color w:val="000000"/>
                      <w:kern w:val="0"/>
                      <w:sz w:val="20"/>
                      <w:szCs w:val="21"/>
                    </w:rPr>
                    <w:t>51</w:t>
                  </w:r>
                </w:p>
              </w:tc>
            </w:tr>
            <w:tr w14:paraId="4650E1A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665" w:type="dxa"/>
                  <w:tcBorders>
                    <w:top w:val="single" w:color="auto" w:sz="4" w:space="0"/>
                    <w:left w:val="single" w:color="auto" w:sz="8" w:space="0"/>
                    <w:bottom w:val="single" w:color="auto" w:sz="4" w:space="0"/>
                    <w:right w:val="single" w:color="auto" w:sz="4" w:space="0"/>
                  </w:tcBorders>
                  <w:vAlign w:val="center"/>
                </w:tcPr>
                <w:p w14:paraId="229EDDA6">
                  <w:pPr>
                    <w:spacing w:line="0" w:lineRule="atLeast"/>
                    <w:jc w:val="center"/>
                    <w:rPr>
                      <w:kern w:val="2"/>
                      <w:sz w:val="21"/>
                    </w:rPr>
                  </w:pPr>
                  <w:r>
                    <w:rPr>
                      <w:kern w:val="0"/>
                      <w:sz w:val="20"/>
                    </w:rPr>
                    <w:t>3</w:t>
                  </w:r>
                </w:p>
              </w:tc>
              <w:tc>
                <w:tcPr>
                  <w:tcW w:w="1512" w:type="dxa"/>
                  <w:tcBorders>
                    <w:top w:val="single" w:color="auto" w:sz="4" w:space="0"/>
                    <w:left w:val="single" w:color="auto" w:sz="4" w:space="0"/>
                    <w:bottom w:val="single" w:color="auto" w:sz="4" w:space="0"/>
                    <w:right w:val="single" w:color="auto" w:sz="4" w:space="0"/>
                  </w:tcBorders>
                  <w:vAlign w:val="center"/>
                </w:tcPr>
                <w:p w14:paraId="040AED89">
                  <w:pPr>
                    <w:spacing w:line="0" w:lineRule="atLeast"/>
                    <w:ind w:left="-105" w:leftChars="-50" w:right="-105" w:rightChars="-50"/>
                    <w:jc w:val="center"/>
                    <w:rPr>
                      <w:color w:val="000000"/>
                      <w:kern w:val="2"/>
                      <w:sz w:val="21"/>
                      <w:szCs w:val="21"/>
                    </w:rPr>
                  </w:pPr>
                  <w:r>
                    <w:rPr>
                      <w:rFonts w:hint="eastAsia"/>
                      <w:color w:val="000000"/>
                      <w:kern w:val="0"/>
                      <w:sz w:val="20"/>
                      <w:szCs w:val="21"/>
                    </w:rPr>
                    <w:t>挖掘机</w:t>
                  </w:r>
                </w:p>
              </w:tc>
              <w:tc>
                <w:tcPr>
                  <w:tcW w:w="662" w:type="dxa"/>
                  <w:tcBorders>
                    <w:top w:val="single" w:color="auto" w:sz="4" w:space="0"/>
                    <w:left w:val="single" w:color="auto" w:sz="4" w:space="0"/>
                    <w:bottom w:val="single" w:color="auto" w:sz="4" w:space="0"/>
                    <w:right w:val="single" w:color="auto" w:sz="4" w:space="0"/>
                  </w:tcBorders>
                  <w:vAlign w:val="center"/>
                </w:tcPr>
                <w:p w14:paraId="2BFD0E85">
                  <w:pPr>
                    <w:spacing w:line="0" w:lineRule="atLeast"/>
                    <w:ind w:left="-105" w:leftChars="-50" w:right="-105" w:rightChars="-50"/>
                    <w:jc w:val="center"/>
                    <w:rPr>
                      <w:color w:val="000000"/>
                      <w:kern w:val="2"/>
                      <w:sz w:val="21"/>
                      <w:szCs w:val="21"/>
                    </w:rPr>
                  </w:pPr>
                  <w:r>
                    <w:rPr>
                      <w:color w:val="000000"/>
                      <w:kern w:val="0"/>
                      <w:sz w:val="20"/>
                      <w:szCs w:val="21"/>
                    </w:rPr>
                    <w:t>84</w:t>
                  </w:r>
                </w:p>
              </w:tc>
              <w:tc>
                <w:tcPr>
                  <w:tcW w:w="662" w:type="dxa"/>
                  <w:tcBorders>
                    <w:top w:val="single" w:color="auto" w:sz="4" w:space="0"/>
                    <w:left w:val="single" w:color="auto" w:sz="4" w:space="0"/>
                    <w:bottom w:val="single" w:color="auto" w:sz="4" w:space="0"/>
                    <w:right w:val="single" w:color="auto" w:sz="4" w:space="0"/>
                  </w:tcBorders>
                  <w:vAlign w:val="center"/>
                </w:tcPr>
                <w:p w14:paraId="66ECABC9">
                  <w:pPr>
                    <w:spacing w:line="0" w:lineRule="atLeast"/>
                    <w:ind w:left="-105" w:leftChars="-50" w:right="-105" w:rightChars="-50"/>
                    <w:jc w:val="center"/>
                    <w:rPr>
                      <w:color w:val="000000"/>
                      <w:kern w:val="2"/>
                      <w:sz w:val="21"/>
                      <w:szCs w:val="21"/>
                    </w:rPr>
                  </w:pPr>
                  <w:r>
                    <w:rPr>
                      <w:color w:val="000000"/>
                      <w:kern w:val="0"/>
                      <w:sz w:val="20"/>
                      <w:szCs w:val="21"/>
                    </w:rPr>
                    <w:t>78</w:t>
                  </w:r>
                </w:p>
              </w:tc>
              <w:tc>
                <w:tcPr>
                  <w:tcW w:w="661" w:type="dxa"/>
                  <w:tcBorders>
                    <w:top w:val="single" w:color="auto" w:sz="4" w:space="0"/>
                    <w:left w:val="single" w:color="auto" w:sz="4" w:space="0"/>
                    <w:bottom w:val="single" w:color="auto" w:sz="4" w:space="0"/>
                    <w:right w:val="single" w:color="auto" w:sz="4" w:space="0"/>
                  </w:tcBorders>
                  <w:vAlign w:val="center"/>
                </w:tcPr>
                <w:p w14:paraId="13781BF2">
                  <w:pPr>
                    <w:spacing w:line="0" w:lineRule="atLeast"/>
                    <w:ind w:left="-105" w:leftChars="-50" w:right="-105" w:rightChars="-50"/>
                    <w:jc w:val="center"/>
                    <w:rPr>
                      <w:color w:val="000000"/>
                      <w:kern w:val="2"/>
                      <w:sz w:val="21"/>
                      <w:szCs w:val="21"/>
                    </w:rPr>
                  </w:pPr>
                  <w:r>
                    <w:rPr>
                      <w:color w:val="000000"/>
                      <w:kern w:val="0"/>
                      <w:sz w:val="20"/>
                      <w:szCs w:val="21"/>
                    </w:rPr>
                    <w:t>72</w:t>
                  </w:r>
                </w:p>
              </w:tc>
              <w:tc>
                <w:tcPr>
                  <w:tcW w:w="661" w:type="dxa"/>
                  <w:tcBorders>
                    <w:top w:val="single" w:color="auto" w:sz="4" w:space="0"/>
                    <w:left w:val="single" w:color="auto" w:sz="4" w:space="0"/>
                    <w:bottom w:val="single" w:color="auto" w:sz="4" w:space="0"/>
                    <w:right w:val="single" w:color="auto" w:sz="4" w:space="0"/>
                  </w:tcBorders>
                  <w:vAlign w:val="center"/>
                </w:tcPr>
                <w:p w14:paraId="0B912B7A">
                  <w:pPr>
                    <w:spacing w:line="0" w:lineRule="atLeast"/>
                    <w:ind w:left="-105" w:leftChars="-50" w:right="-105" w:rightChars="-50"/>
                    <w:jc w:val="center"/>
                    <w:rPr>
                      <w:color w:val="000000"/>
                      <w:kern w:val="2"/>
                      <w:sz w:val="21"/>
                      <w:szCs w:val="21"/>
                    </w:rPr>
                  </w:pPr>
                  <w:r>
                    <w:rPr>
                      <w:color w:val="000000"/>
                      <w:kern w:val="0"/>
                      <w:sz w:val="20"/>
                      <w:szCs w:val="21"/>
                    </w:rPr>
                    <w:t>66</w:t>
                  </w:r>
                </w:p>
              </w:tc>
              <w:tc>
                <w:tcPr>
                  <w:tcW w:w="661" w:type="dxa"/>
                  <w:tcBorders>
                    <w:top w:val="single" w:color="auto" w:sz="4" w:space="0"/>
                    <w:left w:val="single" w:color="auto" w:sz="4" w:space="0"/>
                    <w:bottom w:val="single" w:color="auto" w:sz="4" w:space="0"/>
                    <w:right w:val="single" w:color="auto" w:sz="4" w:space="0"/>
                  </w:tcBorders>
                  <w:vAlign w:val="center"/>
                </w:tcPr>
                <w:p w14:paraId="47A79FD0">
                  <w:pPr>
                    <w:spacing w:line="0" w:lineRule="atLeast"/>
                    <w:ind w:left="-105" w:leftChars="-50" w:right="-105" w:rightChars="-50"/>
                    <w:jc w:val="center"/>
                    <w:rPr>
                      <w:color w:val="000000"/>
                      <w:kern w:val="2"/>
                      <w:sz w:val="21"/>
                      <w:szCs w:val="21"/>
                    </w:rPr>
                  </w:pPr>
                  <w:r>
                    <w:rPr>
                      <w:color w:val="000000"/>
                      <w:kern w:val="0"/>
                      <w:sz w:val="20"/>
                      <w:szCs w:val="21"/>
                    </w:rPr>
                    <w:t>64</w:t>
                  </w:r>
                </w:p>
              </w:tc>
              <w:tc>
                <w:tcPr>
                  <w:tcW w:w="661" w:type="dxa"/>
                  <w:tcBorders>
                    <w:top w:val="single" w:color="auto" w:sz="4" w:space="0"/>
                    <w:left w:val="single" w:color="auto" w:sz="4" w:space="0"/>
                    <w:bottom w:val="single" w:color="auto" w:sz="4" w:space="0"/>
                    <w:right w:val="single" w:color="auto" w:sz="4" w:space="0"/>
                  </w:tcBorders>
                  <w:vAlign w:val="center"/>
                </w:tcPr>
                <w:p w14:paraId="4EBF852F">
                  <w:pPr>
                    <w:spacing w:line="0" w:lineRule="atLeast"/>
                    <w:ind w:left="-105" w:leftChars="-50" w:right="-105" w:rightChars="-50"/>
                    <w:jc w:val="center"/>
                    <w:rPr>
                      <w:color w:val="000000"/>
                      <w:kern w:val="2"/>
                      <w:sz w:val="21"/>
                      <w:szCs w:val="21"/>
                    </w:rPr>
                  </w:pPr>
                  <w:r>
                    <w:rPr>
                      <w:color w:val="000000"/>
                      <w:kern w:val="0"/>
                      <w:sz w:val="20"/>
                      <w:szCs w:val="21"/>
                    </w:rPr>
                    <w:t>60</w:t>
                  </w:r>
                </w:p>
              </w:tc>
              <w:tc>
                <w:tcPr>
                  <w:tcW w:w="661" w:type="dxa"/>
                  <w:tcBorders>
                    <w:top w:val="single" w:color="auto" w:sz="4" w:space="0"/>
                    <w:left w:val="single" w:color="auto" w:sz="4" w:space="0"/>
                    <w:bottom w:val="single" w:color="auto" w:sz="4" w:space="0"/>
                    <w:right w:val="single" w:color="auto" w:sz="4" w:space="0"/>
                  </w:tcBorders>
                  <w:vAlign w:val="center"/>
                </w:tcPr>
                <w:p w14:paraId="7BEFA656">
                  <w:pPr>
                    <w:spacing w:line="0" w:lineRule="atLeast"/>
                    <w:ind w:left="-105" w:leftChars="-50" w:right="-105" w:rightChars="-50"/>
                    <w:jc w:val="center"/>
                    <w:rPr>
                      <w:color w:val="000000"/>
                      <w:kern w:val="2"/>
                      <w:sz w:val="21"/>
                      <w:szCs w:val="21"/>
                    </w:rPr>
                  </w:pPr>
                  <w:r>
                    <w:rPr>
                      <w:color w:val="000000"/>
                      <w:kern w:val="0"/>
                      <w:sz w:val="20"/>
                      <w:szCs w:val="21"/>
                    </w:rPr>
                    <w:t>58</w:t>
                  </w:r>
                </w:p>
              </w:tc>
              <w:tc>
                <w:tcPr>
                  <w:tcW w:w="661" w:type="dxa"/>
                  <w:tcBorders>
                    <w:top w:val="single" w:color="auto" w:sz="4" w:space="0"/>
                    <w:left w:val="single" w:color="auto" w:sz="4" w:space="0"/>
                    <w:bottom w:val="single" w:color="auto" w:sz="4" w:space="0"/>
                    <w:right w:val="single" w:color="auto" w:sz="4" w:space="0"/>
                  </w:tcBorders>
                  <w:vAlign w:val="center"/>
                </w:tcPr>
                <w:p w14:paraId="3628AB6A">
                  <w:pPr>
                    <w:spacing w:line="0" w:lineRule="atLeast"/>
                    <w:ind w:left="-105" w:leftChars="-50" w:right="-105" w:rightChars="-50"/>
                    <w:jc w:val="center"/>
                    <w:rPr>
                      <w:color w:val="000000"/>
                      <w:kern w:val="2"/>
                      <w:sz w:val="21"/>
                      <w:szCs w:val="21"/>
                    </w:rPr>
                  </w:pPr>
                  <w:r>
                    <w:rPr>
                      <w:color w:val="000000"/>
                      <w:kern w:val="0"/>
                      <w:sz w:val="20"/>
                      <w:szCs w:val="21"/>
                    </w:rPr>
                    <w:t>55</w:t>
                  </w:r>
                </w:p>
              </w:tc>
              <w:tc>
                <w:tcPr>
                  <w:tcW w:w="661" w:type="dxa"/>
                  <w:tcBorders>
                    <w:top w:val="single" w:color="auto" w:sz="4" w:space="0"/>
                    <w:left w:val="single" w:color="auto" w:sz="4" w:space="0"/>
                    <w:bottom w:val="single" w:color="auto" w:sz="4" w:space="0"/>
                    <w:right w:val="single" w:color="auto" w:sz="4" w:space="0"/>
                  </w:tcBorders>
                  <w:vAlign w:val="center"/>
                </w:tcPr>
                <w:p w14:paraId="61A22213">
                  <w:pPr>
                    <w:spacing w:line="0" w:lineRule="atLeast"/>
                    <w:ind w:left="-105" w:leftChars="-50" w:right="-105" w:rightChars="-50"/>
                    <w:jc w:val="center"/>
                    <w:rPr>
                      <w:color w:val="000000"/>
                      <w:kern w:val="2"/>
                      <w:sz w:val="21"/>
                      <w:szCs w:val="21"/>
                    </w:rPr>
                  </w:pPr>
                  <w:r>
                    <w:rPr>
                      <w:color w:val="000000"/>
                      <w:kern w:val="0"/>
                      <w:sz w:val="20"/>
                      <w:szCs w:val="21"/>
                    </w:rPr>
                    <w:t>52</w:t>
                  </w:r>
                </w:p>
              </w:tc>
              <w:tc>
                <w:tcPr>
                  <w:tcW w:w="661" w:type="dxa"/>
                  <w:tcBorders>
                    <w:top w:val="single" w:color="auto" w:sz="4" w:space="0"/>
                    <w:left w:val="single" w:color="auto" w:sz="4" w:space="0"/>
                    <w:bottom w:val="single" w:color="auto" w:sz="4" w:space="0"/>
                    <w:right w:val="single" w:color="auto" w:sz="8" w:space="0"/>
                  </w:tcBorders>
                  <w:vAlign w:val="center"/>
                </w:tcPr>
                <w:p w14:paraId="5A5F33F6">
                  <w:pPr>
                    <w:spacing w:line="0" w:lineRule="atLeast"/>
                    <w:ind w:left="-105" w:leftChars="-50" w:right="-105" w:rightChars="-50"/>
                    <w:jc w:val="center"/>
                    <w:rPr>
                      <w:color w:val="000000"/>
                      <w:kern w:val="2"/>
                      <w:sz w:val="21"/>
                      <w:szCs w:val="21"/>
                    </w:rPr>
                  </w:pPr>
                  <w:r>
                    <w:rPr>
                      <w:color w:val="000000"/>
                      <w:kern w:val="0"/>
                      <w:sz w:val="20"/>
                      <w:szCs w:val="21"/>
                    </w:rPr>
                    <w:t>49</w:t>
                  </w:r>
                </w:p>
              </w:tc>
            </w:tr>
            <w:tr w14:paraId="7DDF64B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665" w:type="dxa"/>
                  <w:tcBorders>
                    <w:top w:val="single" w:color="auto" w:sz="4" w:space="0"/>
                    <w:left w:val="single" w:color="auto" w:sz="8" w:space="0"/>
                    <w:bottom w:val="single" w:color="auto" w:sz="4" w:space="0"/>
                    <w:right w:val="single" w:color="auto" w:sz="4" w:space="0"/>
                  </w:tcBorders>
                  <w:vAlign w:val="center"/>
                </w:tcPr>
                <w:p w14:paraId="044E43C0">
                  <w:pPr>
                    <w:spacing w:line="0" w:lineRule="atLeast"/>
                    <w:jc w:val="center"/>
                    <w:rPr>
                      <w:kern w:val="2"/>
                      <w:sz w:val="21"/>
                    </w:rPr>
                  </w:pPr>
                  <w:r>
                    <w:rPr>
                      <w:kern w:val="0"/>
                      <w:sz w:val="20"/>
                    </w:rPr>
                    <w:t>4</w:t>
                  </w:r>
                </w:p>
              </w:tc>
              <w:tc>
                <w:tcPr>
                  <w:tcW w:w="1512" w:type="dxa"/>
                  <w:tcBorders>
                    <w:top w:val="single" w:color="auto" w:sz="4" w:space="0"/>
                    <w:left w:val="single" w:color="auto" w:sz="4" w:space="0"/>
                    <w:bottom w:val="single" w:color="auto" w:sz="4" w:space="0"/>
                    <w:right w:val="single" w:color="auto" w:sz="4" w:space="0"/>
                  </w:tcBorders>
                  <w:vAlign w:val="center"/>
                </w:tcPr>
                <w:p w14:paraId="283043A9">
                  <w:pPr>
                    <w:spacing w:line="0" w:lineRule="atLeast"/>
                    <w:ind w:left="-105" w:leftChars="-50" w:right="-105" w:rightChars="-50"/>
                    <w:jc w:val="center"/>
                    <w:rPr>
                      <w:color w:val="000000"/>
                      <w:kern w:val="2"/>
                      <w:sz w:val="21"/>
                      <w:szCs w:val="21"/>
                    </w:rPr>
                  </w:pPr>
                  <w:r>
                    <w:rPr>
                      <w:rFonts w:hint="eastAsia"/>
                      <w:color w:val="000000"/>
                      <w:kern w:val="0"/>
                      <w:sz w:val="20"/>
                      <w:szCs w:val="21"/>
                    </w:rPr>
                    <w:t>运输汽车</w:t>
                  </w:r>
                </w:p>
              </w:tc>
              <w:tc>
                <w:tcPr>
                  <w:tcW w:w="662" w:type="dxa"/>
                  <w:tcBorders>
                    <w:top w:val="single" w:color="auto" w:sz="4" w:space="0"/>
                    <w:left w:val="single" w:color="auto" w:sz="4" w:space="0"/>
                    <w:bottom w:val="single" w:color="auto" w:sz="4" w:space="0"/>
                    <w:right w:val="single" w:color="auto" w:sz="4" w:space="0"/>
                  </w:tcBorders>
                  <w:vAlign w:val="center"/>
                </w:tcPr>
                <w:p w14:paraId="0D637E67">
                  <w:pPr>
                    <w:spacing w:line="0" w:lineRule="atLeast"/>
                    <w:ind w:left="-105" w:leftChars="-50" w:right="-105" w:rightChars="-50"/>
                    <w:jc w:val="center"/>
                    <w:rPr>
                      <w:color w:val="000000"/>
                      <w:kern w:val="2"/>
                      <w:sz w:val="21"/>
                      <w:szCs w:val="21"/>
                    </w:rPr>
                  </w:pPr>
                  <w:r>
                    <w:rPr>
                      <w:color w:val="000000"/>
                      <w:kern w:val="0"/>
                      <w:sz w:val="20"/>
                      <w:szCs w:val="21"/>
                    </w:rPr>
                    <w:t>88</w:t>
                  </w:r>
                </w:p>
              </w:tc>
              <w:tc>
                <w:tcPr>
                  <w:tcW w:w="662" w:type="dxa"/>
                  <w:tcBorders>
                    <w:top w:val="single" w:color="auto" w:sz="4" w:space="0"/>
                    <w:left w:val="single" w:color="auto" w:sz="4" w:space="0"/>
                    <w:bottom w:val="single" w:color="auto" w:sz="4" w:space="0"/>
                    <w:right w:val="single" w:color="auto" w:sz="4" w:space="0"/>
                  </w:tcBorders>
                  <w:vAlign w:val="center"/>
                </w:tcPr>
                <w:p w14:paraId="59367079">
                  <w:pPr>
                    <w:spacing w:line="0" w:lineRule="atLeast"/>
                    <w:ind w:left="-105" w:leftChars="-50" w:right="-105" w:rightChars="-50"/>
                    <w:jc w:val="center"/>
                    <w:rPr>
                      <w:color w:val="000000"/>
                      <w:kern w:val="2"/>
                      <w:sz w:val="21"/>
                      <w:szCs w:val="21"/>
                    </w:rPr>
                  </w:pPr>
                  <w:r>
                    <w:rPr>
                      <w:color w:val="000000"/>
                      <w:kern w:val="0"/>
                      <w:sz w:val="20"/>
                      <w:szCs w:val="21"/>
                    </w:rPr>
                    <w:t>82</w:t>
                  </w:r>
                </w:p>
              </w:tc>
              <w:tc>
                <w:tcPr>
                  <w:tcW w:w="661" w:type="dxa"/>
                  <w:tcBorders>
                    <w:top w:val="single" w:color="auto" w:sz="4" w:space="0"/>
                    <w:left w:val="single" w:color="auto" w:sz="4" w:space="0"/>
                    <w:bottom w:val="single" w:color="auto" w:sz="4" w:space="0"/>
                    <w:right w:val="single" w:color="auto" w:sz="4" w:space="0"/>
                  </w:tcBorders>
                  <w:vAlign w:val="center"/>
                </w:tcPr>
                <w:p w14:paraId="1EA5BC6D">
                  <w:pPr>
                    <w:spacing w:line="0" w:lineRule="atLeast"/>
                    <w:ind w:left="-105" w:leftChars="-50" w:right="-105" w:rightChars="-50"/>
                    <w:jc w:val="center"/>
                    <w:rPr>
                      <w:color w:val="000000"/>
                      <w:kern w:val="2"/>
                      <w:sz w:val="21"/>
                      <w:szCs w:val="21"/>
                    </w:rPr>
                  </w:pPr>
                  <w:r>
                    <w:rPr>
                      <w:color w:val="000000"/>
                      <w:kern w:val="0"/>
                      <w:sz w:val="20"/>
                      <w:szCs w:val="21"/>
                    </w:rPr>
                    <w:t>76</w:t>
                  </w:r>
                </w:p>
              </w:tc>
              <w:tc>
                <w:tcPr>
                  <w:tcW w:w="661" w:type="dxa"/>
                  <w:tcBorders>
                    <w:top w:val="single" w:color="auto" w:sz="4" w:space="0"/>
                    <w:left w:val="single" w:color="auto" w:sz="4" w:space="0"/>
                    <w:bottom w:val="single" w:color="auto" w:sz="4" w:space="0"/>
                    <w:right w:val="single" w:color="auto" w:sz="4" w:space="0"/>
                  </w:tcBorders>
                  <w:vAlign w:val="center"/>
                </w:tcPr>
                <w:p w14:paraId="2D171784">
                  <w:pPr>
                    <w:spacing w:line="0" w:lineRule="atLeast"/>
                    <w:ind w:left="-105" w:leftChars="-50" w:right="-105" w:rightChars="-50"/>
                    <w:jc w:val="center"/>
                    <w:rPr>
                      <w:color w:val="000000"/>
                      <w:kern w:val="2"/>
                      <w:sz w:val="21"/>
                      <w:szCs w:val="21"/>
                    </w:rPr>
                  </w:pPr>
                  <w:r>
                    <w:rPr>
                      <w:color w:val="000000"/>
                      <w:kern w:val="0"/>
                      <w:sz w:val="20"/>
                      <w:szCs w:val="21"/>
                    </w:rPr>
                    <w:t>70</w:t>
                  </w:r>
                </w:p>
              </w:tc>
              <w:tc>
                <w:tcPr>
                  <w:tcW w:w="661" w:type="dxa"/>
                  <w:tcBorders>
                    <w:top w:val="single" w:color="auto" w:sz="4" w:space="0"/>
                    <w:left w:val="single" w:color="auto" w:sz="4" w:space="0"/>
                    <w:bottom w:val="single" w:color="auto" w:sz="4" w:space="0"/>
                    <w:right w:val="single" w:color="auto" w:sz="4" w:space="0"/>
                  </w:tcBorders>
                  <w:vAlign w:val="center"/>
                </w:tcPr>
                <w:p w14:paraId="1FB856B7">
                  <w:pPr>
                    <w:spacing w:line="0" w:lineRule="atLeast"/>
                    <w:ind w:left="-105" w:leftChars="-50" w:right="-105" w:rightChars="-50"/>
                    <w:jc w:val="center"/>
                    <w:rPr>
                      <w:color w:val="000000"/>
                      <w:kern w:val="2"/>
                      <w:sz w:val="21"/>
                      <w:szCs w:val="21"/>
                    </w:rPr>
                  </w:pPr>
                  <w:r>
                    <w:rPr>
                      <w:color w:val="000000"/>
                      <w:kern w:val="0"/>
                      <w:sz w:val="20"/>
                      <w:szCs w:val="21"/>
                    </w:rPr>
                    <w:t>68</w:t>
                  </w:r>
                </w:p>
              </w:tc>
              <w:tc>
                <w:tcPr>
                  <w:tcW w:w="661" w:type="dxa"/>
                  <w:tcBorders>
                    <w:top w:val="single" w:color="auto" w:sz="4" w:space="0"/>
                    <w:left w:val="single" w:color="auto" w:sz="4" w:space="0"/>
                    <w:bottom w:val="single" w:color="auto" w:sz="4" w:space="0"/>
                    <w:right w:val="single" w:color="auto" w:sz="4" w:space="0"/>
                  </w:tcBorders>
                  <w:vAlign w:val="center"/>
                </w:tcPr>
                <w:p w14:paraId="1256BBC8">
                  <w:pPr>
                    <w:spacing w:line="0" w:lineRule="atLeast"/>
                    <w:ind w:left="-105" w:leftChars="-50" w:right="-105" w:rightChars="-50"/>
                    <w:jc w:val="center"/>
                    <w:rPr>
                      <w:color w:val="000000"/>
                      <w:kern w:val="2"/>
                      <w:sz w:val="21"/>
                      <w:szCs w:val="21"/>
                    </w:rPr>
                  </w:pPr>
                  <w:r>
                    <w:rPr>
                      <w:color w:val="000000"/>
                      <w:kern w:val="0"/>
                      <w:sz w:val="20"/>
                      <w:szCs w:val="21"/>
                    </w:rPr>
                    <w:t>64</w:t>
                  </w:r>
                </w:p>
              </w:tc>
              <w:tc>
                <w:tcPr>
                  <w:tcW w:w="661" w:type="dxa"/>
                  <w:tcBorders>
                    <w:top w:val="single" w:color="auto" w:sz="4" w:space="0"/>
                    <w:left w:val="single" w:color="auto" w:sz="4" w:space="0"/>
                    <w:bottom w:val="single" w:color="auto" w:sz="4" w:space="0"/>
                    <w:right w:val="single" w:color="auto" w:sz="4" w:space="0"/>
                  </w:tcBorders>
                  <w:vAlign w:val="center"/>
                </w:tcPr>
                <w:p w14:paraId="22C08F97">
                  <w:pPr>
                    <w:spacing w:line="0" w:lineRule="atLeast"/>
                    <w:ind w:left="-105" w:leftChars="-50" w:right="-105" w:rightChars="-50"/>
                    <w:jc w:val="center"/>
                    <w:rPr>
                      <w:color w:val="000000"/>
                      <w:kern w:val="2"/>
                      <w:sz w:val="21"/>
                      <w:szCs w:val="21"/>
                    </w:rPr>
                  </w:pPr>
                  <w:r>
                    <w:rPr>
                      <w:color w:val="000000"/>
                      <w:kern w:val="0"/>
                      <w:sz w:val="20"/>
                      <w:szCs w:val="21"/>
                    </w:rPr>
                    <w:t>62</w:t>
                  </w:r>
                </w:p>
              </w:tc>
              <w:tc>
                <w:tcPr>
                  <w:tcW w:w="661" w:type="dxa"/>
                  <w:tcBorders>
                    <w:top w:val="single" w:color="auto" w:sz="4" w:space="0"/>
                    <w:left w:val="single" w:color="auto" w:sz="4" w:space="0"/>
                    <w:bottom w:val="single" w:color="auto" w:sz="4" w:space="0"/>
                    <w:right w:val="single" w:color="auto" w:sz="4" w:space="0"/>
                  </w:tcBorders>
                  <w:vAlign w:val="center"/>
                </w:tcPr>
                <w:p w14:paraId="7DDFB21E">
                  <w:pPr>
                    <w:spacing w:line="0" w:lineRule="atLeast"/>
                    <w:ind w:left="-105" w:leftChars="-50" w:right="-105" w:rightChars="-50"/>
                    <w:jc w:val="center"/>
                    <w:rPr>
                      <w:color w:val="000000"/>
                      <w:kern w:val="2"/>
                      <w:sz w:val="21"/>
                      <w:szCs w:val="21"/>
                    </w:rPr>
                  </w:pPr>
                  <w:r>
                    <w:rPr>
                      <w:color w:val="000000"/>
                      <w:kern w:val="0"/>
                      <w:sz w:val="20"/>
                      <w:szCs w:val="21"/>
                    </w:rPr>
                    <w:t>59</w:t>
                  </w:r>
                </w:p>
              </w:tc>
              <w:tc>
                <w:tcPr>
                  <w:tcW w:w="661" w:type="dxa"/>
                  <w:tcBorders>
                    <w:top w:val="single" w:color="auto" w:sz="4" w:space="0"/>
                    <w:left w:val="single" w:color="auto" w:sz="4" w:space="0"/>
                    <w:bottom w:val="single" w:color="auto" w:sz="4" w:space="0"/>
                    <w:right w:val="single" w:color="auto" w:sz="4" w:space="0"/>
                  </w:tcBorders>
                  <w:vAlign w:val="center"/>
                </w:tcPr>
                <w:p w14:paraId="2786C8EA">
                  <w:pPr>
                    <w:spacing w:line="0" w:lineRule="atLeast"/>
                    <w:ind w:left="-105" w:leftChars="-50" w:right="-105" w:rightChars="-50"/>
                    <w:jc w:val="center"/>
                    <w:rPr>
                      <w:color w:val="000000"/>
                      <w:kern w:val="2"/>
                      <w:sz w:val="21"/>
                      <w:szCs w:val="21"/>
                    </w:rPr>
                  </w:pPr>
                  <w:r>
                    <w:rPr>
                      <w:color w:val="000000"/>
                      <w:kern w:val="0"/>
                      <w:sz w:val="20"/>
                      <w:szCs w:val="21"/>
                    </w:rPr>
                    <w:t>56</w:t>
                  </w:r>
                </w:p>
              </w:tc>
              <w:tc>
                <w:tcPr>
                  <w:tcW w:w="661" w:type="dxa"/>
                  <w:tcBorders>
                    <w:top w:val="single" w:color="auto" w:sz="4" w:space="0"/>
                    <w:left w:val="single" w:color="auto" w:sz="4" w:space="0"/>
                    <w:bottom w:val="single" w:color="auto" w:sz="4" w:space="0"/>
                    <w:right w:val="single" w:color="auto" w:sz="8" w:space="0"/>
                  </w:tcBorders>
                  <w:vAlign w:val="center"/>
                </w:tcPr>
                <w:p w14:paraId="561A5D5E">
                  <w:pPr>
                    <w:spacing w:line="0" w:lineRule="atLeast"/>
                    <w:ind w:left="-105" w:leftChars="-50" w:right="-105" w:rightChars="-50"/>
                    <w:jc w:val="center"/>
                    <w:rPr>
                      <w:color w:val="000000"/>
                      <w:kern w:val="2"/>
                      <w:sz w:val="21"/>
                      <w:szCs w:val="21"/>
                    </w:rPr>
                  </w:pPr>
                  <w:r>
                    <w:rPr>
                      <w:color w:val="000000"/>
                      <w:kern w:val="0"/>
                      <w:sz w:val="20"/>
                      <w:szCs w:val="21"/>
                    </w:rPr>
                    <w:t>53</w:t>
                  </w:r>
                </w:p>
              </w:tc>
            </w:tr>
            <w:tr w14:paraId="18F540A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665" w:type="dxa"/>
                  <w:tcBorders>
                    <w:top w:val="single" w:color="auto" w:sz="4" w:space="0"/>
                    <w:left w:val="single" w:color="auto" w:sz="8" w:space="0"/>
                    <w:bottom w:val="single" w:color="auto" w:sz="4" w:space="0"/>
                    <w:right w:val="single" w:color="auto" w:sz="4" w:space="0"/>
                  </w:tcBorders>
                  <w:vAlign w:val="center"/>
                </w:tcPr>
                <w:p w14:paraId="02F64E2E">
                  <w:pPr>
                    <w:spacing w:line="0" w:lineRule="atLeast"/>
                    <w:jc w:val="center"/>
                    <w:rPr>
                      <w:kern w:val="2"/>
                      <w:sz w:val="21"/>
                    </w:rPr>
                  </w:pPr>
                  <w:r>
                    <w:rPr>
                      <w:kern w:val="0"/>
                      <w:sz w:val="20"/>
                    </w:rPr>
                    <w:t>5</w:t>
                  </w:r>
                </w:p>
              </w:tc>
              <w:tc>
                <w:tcPr>
                  <w:tcW w:w="1512" w:type="dxa"/>
                  <w:tcBorders>
                    <w:top w:val="single" w:color="auto" w:sz="4" w:space="0"/>
                    <w:left w:val="single" w:color="auto" w:sz="4" w:space="0"/>
                    <w:bottom w:val="single" w:color="auto" w:sz="4" w:space="0"/>
                    <w:right w:val="single" w:color="auto" w:sz="4" w:space="0"/>
                  </w:tcBorders>
                  <w:vAlign w:val="center"/>
                </w:tcPr>
                <w:p w14:paraId="7344860F">
                  <w:pPr>
                    <w:spacing w:line="0" w:lineRule="atLeast"/>
                    <w:ind w:left="-105" w:leftChars="-50" w:right="-105" w:rightChars="-50"/>
                    <w:jc w:val="center"/>
                    <w:rPr>
                      <w:color w:val="000000"/>
                      <w:kern w:val="2"/>
                      <w:sz w:val="21"/>
                      <w:szCs w:val="21"/>
                    </w:rPr>
                  </w:pPr>
                  <w:r>
                    <w:rPr>
                      <w:rFonts w:hint="eastAsia"/>
                      <w:color w:val="000000"/>
                      <w:kern w:val="0"/>
                      <w:sz w:val="20"/>
                      <w:szCs w:val="21"/>
                    </w:rPr>
                    <w:t>空气压缩机</w:t>
                  </w:r>
                </w:p>
              </w:tc>
              <w:tc>
                <w:tcPr>
                  <w:tcW w:w="662" w:type="dxa"/>
                  <w:tcBorders>
                    <w:top w:val="single" w:color="auto" w:sz="4" w:space="0"/>
                    <w:left w:val="single" w:color="auto" w:sz="4" w:space="0"/>
                    <w:bottom w:val="single" w:color="auto" w:sz="4" w:space="0"/>
                    <w:right w:val="single" w:color="auto" w:sz="4" w:space="0"/>
                  </w:tcBorders>
                  <w:vAlign w:val="center"/>
                </w:tcPr>
                <w:p w14:paraId="0605CF55">
                  <w:pPr>
                    <w:spacing w:line="0" w:lineRule="atLeast"/>
                    <w:ind w:left="-105" w:leftChars="-50" w:right="-105" w:rightChars="-50"/>
                    <w:jc w:val="center"/>
                    <w:rPr>
                      <w:color w:val="000000"/>
                      <w:kern w:val="2"/>
                      <w:sz w:val="21"/>
                      <w:szCs w:val="21"/>
                    </w:rPr>
                  </w:pPr>
                  <w:r>
                    <w:rPr>
                      <w:color w:val="000000"/>
                      <w:kern w:val="0"/>
                      <w:sz w:val="20"/>
                      <w:szCs w:val="21"/>
                    </w:rPr>
                    <w:t>90</w:t>
                  </w:r>
                </w:p>
              </w:tc>
              <w:tc>
                <w:tcPr>
                  <w:tcW w:w="662" w:type="dxa"/>
                  <w:tcBorders>
                    <w:top w:val="single" w:color="auto" w:sz="4" w:space="0"/>
                    <w:left w:val="single" w:color="auto" w:sz="4" w:space="0"/>
                    <w:bottom w:val="single" w:color="auto" w:sz="4" w:space="0"/>
                    <w:right w:val="single" w:color="auto" w:sz="4" w:space="0"/>
                  </w:tcBorders>
                  <w:vAlign w:val="center"/>
                </w:tcPr>
                <w:p w14:paraId="6449F56B">
                  <w:pPr>
                    <w:spacing w:line="0" w:lineRule="atLeast"/>
                    <w:ind w:left="-105" w:leftChars="-50" w:right="-105" w:rightChars="-50"/>
                    <w:jc w:val="center"/>
                    <w:rPr>
                      <w:color w:val="000000"/>
                      <w:kern w:val="2"/>
                      <w:sz w:val="21"/>
                      <w:szCs w:val="21"/>
                    </w:rPr>
                  </w:pPr>
                  <w:r>
                    <w:rPr>
                      <w:color w:val="000000"/>
                      <w:kern w:val="0"/>
                      <w:sz w:val="20"/>
                      <w:szCs w:val="21"/>
                    </w:rPr>
                    <w:t>84</w:t>
                  </w:r>
                </w:p>
              </w:tc>
              <w:tc>
                <w:tcPr>
                  <w:tcW w:w="661" w:type="dxa"/>
                  <w:tcBorders>
                    <w:top w:val="single" w:color="auto" w:sz="4" w:space="0"/>
                    <w:left w:val="single" w:color="auto" w:sz="4" w:space="0"/>
                    <w:bottom w:val="single" w:color="auto" w:sz="4" w:space="0"/>
                    <w:right w:val="single" w:color="auto" w:sz="4" w:space="0"/>
                  </w:tcBorders>
                  <w:vAlign w:val="center"/>
                </w:tcPr>
                <w:p w14:paraId="7F69AD4A">
                  <w:pPr>
                    <w:spacing w:line="0" w:lineRule="atLeast"/>
                    <w:ind w:left="-105" w:leftChars="-50" w:right="-105" w:rightChars="-50"/>
                    <w:jc w:val="center"/>
                    <w:rPr>
                      <w:color w:val="000000"/>
                      <w:kern w:val="2"/>
                      <w:sz w:val="21"/>
                      <w:szCs w:val="21"/>
                    </w:rPr>
                  </w:pPr>
                  <w:r>
                    <w:rPr>
                      <w:color w:val="000000"/>
                      <w:kern w:val="0"/>
                      <w:sz w:val="20"/>
                      <w:szCs w:val="21"/>
                    </w:rPr>
                    <w:t>78</w:t>
                  </w:r>
                </w:p>
              </w:tc>
              <w:tc>
                <w:tcPr>
                  <w:tcW w:w="661" w:type="dxa"/>
                  <w:tcBorders>
                    <w:top w:val="single" w:color="auto" w:sz="4" w:space="0"/>
                    <w:left w:val="single" w:color="auto" w:sz="4" w:space="0"/>
                    <w:bottom w:val="single" w:color="auto" w:sz="4" w:space="0"/>
                    <w:right w:val="single" w:color="auto" w:sz="4" w:space="0"/>
                  </w:tcBorders>
                  <w:vAlign w:val="center"/>
                </w:tcPr>
                <w:p w14:paraId="1B27D21D">
                  <w:pPr>
                    <w:spacing w:line="0" w:lineRule="atLeast"/>
                    <w:ind w:left="-105" w:leftChars="-50" w:right="-105" w:rightChars="-50"/>
                    <w:jc w:val="center"/>
                    <w:rPr>
                      <w:color w:val="000000"/>
                      <w:kern w:val="2"/>
                      <w:sz w:val="21"/>
                      <w:szCs w:val="21"/>
                    </w:rPr>
                  </w:pPr>
                  <w:r>
                    <w:rPr>
                      <w:color w:val="000000"/>
                      <w:kern w:val="0"/>
                      <w:sz w:val="20"/>
                      <w:szCs w:val="21"/>
                    </w:rPr>
                    <w:t>72</w:t>
                  </w:r>
                </w:p>
              </w:tc>
              <w:tc>
                <w:tcPr>
                  <w:tcW w:w="661" w:type="dxa"/>
                  <w:tcBorders>
                    <w:top w:val="single" w:color="auto" w:sz="4" w:space="0"/>
                    <w:left w:val="single" w:color="auto" w:sz="4" w:space="0"/>
                    <w:bottom w:val="single" w:color="auto" w:sz="4" w:space="0"/>
                    <w:right w:val="single" w:color="auto" w:sz="4" w:space="0"/>
                  </w:tcBorders>
                  <w:vAlign w:val="center"/>
                </w:tcPr>
                <w:p w14:paraId="26C38649">
                  <w:pPr>
                    <w:spacing w:line="0" w:lineRule="atLeast"/>
                    <w:ind w:left="-105" w:leftChars="-50" w:right="-105" w:rightChars="-50"/>
                    <w:jc w:val="center"/>
                    <w:rPr>
                      <w:color w:val="000000"/>
                      <w:kern w:val="2"/>
                      <w:sz w:val="21"/>
                      <w:szCs w:val="21"/>
                    </w:rPr>
                  </w:pPr>
                  <w:r>
                    <w:rPr>
                      <w:color w:val="000000"/>
                      <w:kern w:val="0"/>
                      <w:sz w:val="20"/>
                      <w:szCs w:val="21"/>
                    </w:rPr>
                    <w:t>70</w:t>
                  </w:r>
                </w:p>
              </w:tc>
              <w:tc>
                <w:tcPr>
                  <w:tcW w:w="661" w:type="dxa"/>
                  <w:tcBorders>
                    <w:top w:val="single" w:color="auto" w:sz="4" w:space="0"/>
                    <w:left w:val="single" w:color="auto" w:sz="4" w:space="0"/>
                    <w:bottom w:val="single" w:color="auto" w:sz="4" w:space="0"/>
                    <w:right w:val="single" w:color="auto" w:sz="4" w:space="0"/>
                  </w:tcBorders>
                  <w:vAlign w:val="center"/>
                </w:tcPr>
                <w:p w14:paraId="38A597CD">
                  <w:pPr>
                    <w:spacing w:line="0" w:lineRule="atLeast"/>
                    <w:ind w:left="-105" w:leftChars="-50" w:right="-105" w:rightChars="-50"/>
                    <w:jc w:val="center"/>
                    <w:rPr>
                      <w:color w:val="000000"/>
                      <w:kern w:val="2"/>
                      <w:sz w:val="21"/>
                      <w:szCs w:val="21"/>
                    </w:rPr>
                  </w:pPr>
                  <w:r>
                    <w:rPr>
                      <w:color w:val="000000"/>
                      <w:kern w:val="0"/>
                      <w:sz w:val="20"/>
                      <w:szCs w:val="21"/>
                    </w:rPr>
                    <w:t>66</w:t>
                  </w:r>
                </w:p>
              </w:tc>
              <w:tc>
                <w:tcPr>
                  <w:tcW w:w="661" w:type="dxa"/>
                  <w:tcBorders>
                    <w:top w:val="single" w:color="auto" w:sz="4" w:space="0"/>
                    <w:left w:val="single" w:color="auto" w:sz="4" w:space="0"/>
                    <w:bottom w:val="single" w:color="auto" w:sz="4" w:space="0"/>
                    <w:right w:val="single" w:color="auto" w:sz="4" w:space="0"/>
                  </w:tcBorders>
                  <w:vAlign w:val="center"/>
                </w:tcPr>
                <w:p w14:paraId="7F286649">
                  <w:pPr>
                    <w:spacing w:line="0" w:lineRule="atLeast"/>
                    <w:ind w:left="-105" w:leftChars="-50" w:right="-105" w:rightChars="-50"/>
                    <w:jc w:val="center"/>
                    <w:rPr>
                      <w:color w:val="000000"/>
                      <w:kern w:val="2"/>
                      <w:sz w:val="21"/>
                      <w:szCs w:val="21"/>
                    </w:rPr>
                  </w:pPr>
                  <w:r>
                    <w:rPr>
                      <w:color w:val="000000"/>
                      <w:kern w:val="0"/>
                      <w:sz w:val="20"/>
                      <w:szCs w:val="21"/>
                    </w:rPr>
                    <w:t>64</w:t>
                  </w:r>
                </w:p>
              </w:tc>
              <w:tc>
                <w:tcPr>
                  <w:tcW w:w="661" w:type="dxa"/>
                  <w:tcBorders>
                    <w:top w:val="single" w:color="auto" w:sz="4" w:space="0"/>
                    <w:left w:val="single" w:color="auto" w:sz="4" w:space="0"/>
                    <w:bottom w:val="single" w:color="auto" w:sz="4" w:space="0"/>
                    <w:right w:val="single" w:color="auto" w:sz="4" w:space="0"/>
                  </w:tcBorders>
                  <w:vAlign w:val="center"/>
                </w:tcPr>
                <w:p w14:paraId="439D6041">
                  <w:pPr>
                    <w:spacing w:line="0" w:lineRule="atLeast"/>
                    <w:ind w:left="-105" w:leftChars="-50" w:right="-105" w:rightChars="-50"/>
                    <w:jc w:val="center"/>
                    <w:rPr>
                      <w:color w:val="000000"/>
                      <w:kern w:val="2"/>
                      <w:sz w:val="21"/>
                      <w:szCs w:val="21"/>
                    </w:rPr>
                  </w:pPr>
                  <w:r>
                    <w:rPr>
                      <w:color w:val="000000"/>
                      <w:kern w:val="0"/>
                      <w:sz w:val="20"/>
                      <w:szCs w:val="21"/>
                    </w:rPr>
                    <w:t>61</w:t>
                  </w:r>
                </w:p>
              </w:tc>
              <w:tc>
                <w:tcPr>
                  <w:tcW w:w="661" w:type="dxa"/>
                  <w:tcBorders>
                    <w:top w:val="single" w:color="auto" w:sz="4" w:space="0"/>
                    <w:left w:val="single" w:color="auto" w:sz="4" w:space="0"/>
                    <w:bottom w:val="single" w:color="auto" w:sz="4" w:space="0"/>
                    <w:right w:val="single" w:color="auto" w:sz="4" w:space="0"/>
                  </w:tcBorders>
                  <w:vAlign w:val="center"/>
                </w:tcPr>
                <w:p w14:paraId="1A85529E">
                  <w:pPr>
                    <w:spacing w:line="0" w:lineRule="atLeast"/>
                    <w:ind w:left="-105" w:leftChars="-50" w:right="-105" w:rightChars="-50"/>
                    <w:jc w:val="center"/>
                    <w:rPr>
                      <w:color w:val="000000"/>
                      <w:kern w:val="2"/>
                      <w:sz w:val="21"/>
                      <w:szCs w:val="21"/>
                    </w:rPr>
                  </w:pPr>
                  <w:r>
                    <w:rPr>
                      <w:color w:val="000000"/>
                      <w:kern w:val="0"/>
                      <w:sz w:val="20"/>
                      <w:szCs w:val="21"/>
                    </w:rPr>
                    <w:t>58</w:t>
                  </w:r>
                </w:p>
              </w:tc>
              <w:tc>
                <w:tcPr>
                  <w:tcW w:w="661" w:type="dxa"/>
                  <w:tcBorders>
                    <w:top w:val="single" w:color="auto" w:sz="4" w:space="0"/>
                    <w:left w:val="single" w:color="auto" w:sz="4" w:space="0"/>
                    <w:bottom w:val="single" w:color="auto" w:sz="4" w:space="0"/>
                    <w:right w:val="single" w:color="auto" w:sz="8" w:space="0"/>
                  </w:tcBorders>
                  <w:vAlign w:val="center"/>
                </w:tcPr>
                <w:p w14:paraId="5B47C998">
                  <w:pPr>
                    <w:spacing w:line="0" w:lineRule="atLeast"/>
                    <w:ind w:left="-105" w:leftChars="-50" w:right="-105" w:rightChars="-50"/>
                    <w:jc w:val="center"/>
                    <w:rPr>
                      <w:color w:val="000000"/>
                      <w:kern w:val="2"/>
                      <w:sz w:val="21"/>
                      <w:szCs w:val="21"/>
                    </w:rPr>
                  </w:pPr>
                  <w:r>
                    <w:rPr>
                      <w:color w:val="000000"/>
                      <w:kern w:val="0"/>
                      <w:sz w:val="20"/>
                      <w:szCs w:val="21"/>
                    </w:rPr>
                    <w:t>55</w:t>
                  </w:r>
                </w:p>
              </w:tc>
            </w:tr>
            <w:tr w14:paraId="00BED83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665" w:type="dxa"/>
                  <w:tcBorders>
                    <w:top w:val="single" w:color="auto" w:sz="4" w:space="0"/>
                    <w:left w:val="single" w:color="auto" w:sz="8" w:space="0"/>
                    <w:bottom w:val="single" w:color="auto" w:sz="8" w:space="0"/>
                    <w:right w:val="single" w:color="auto" w:sz="4" w:space="0"/>
                  </w:tcBorders>
                  <w:vAlign w:val="center"/>
                </w:tcPr>
                <w:p w14:paraId="65943A60">
                  <w:pPr>
                    <w:spacing w:line="0" w:lineRule="atLeast"/>
                    <w:jc w:val="center"/>
                    <w:rPr>
                      <w:kern w:val="2"/>
                      <w:sz w:val="21"/>
                    </w:rPr>
                  </w:pPr>
                  <w:r>
                    <w:rPr>
                      <w:kern w:val="0"/>
                      <w:sz w:val="20"/>
                    </w:rPr>
                    <w:t>6</w:t>
                  </w:r>
                </w:p>
              </w:tc>
              <w:tc>
                <w:tcPr>
                  <w:tcW w:w="1512" w:type="dxa"/>
                  <w:tcBorders>
                    <w:top w:val="single" w:color="auto" w:sz="4" w:space="0"/>
                    <w:left w:val="single" w:color="auto" w:sz="4" w:space="0"/>
                    <w:bottom w:val="single" w:color="auto" w:sz="8" w:space="0"/>
                    <w:right w:val="single" w:color="auto" w:sz="4" w:space="0"/>
                  </w:tcBorders>
                  <w:vAlign w:val="center"/>
                </w:tcPr>
                <w:p w14:paraId="4EC57803">
                  <w:pPr>
                    <w:spacing w:line="0" w:lineRule="atLeast"/>
                    <w:ind w:left="-105" w:leftChars="-50" w:right="-105" w:rightChars="-50"/>
                    <w:jc w:val="center"/>
                    <w:rPr>
                      <w:color w:val="000000"/>
                      <w:kern w:val="2"/>
                      <w:sz w:val="21"/>
                      <w:szCs w:val="21"/>
                    </w:rPr>
                  </w:pPr>
                  <w:r>
                    <w:rPr>
                      <w:rFonts w:hint="eastAsia"/>
                      <w:color w:val="000000"/>
                      <w:kern w:val="0"/>
                      <w:sz w:val="20"/>
                      <w:szCs w:val="21"/>
                    </w:rPr>
                    <w:t>插入式振捣器</w:t>
                  </w:r>
                </w:p>
              </w:tc>
              <w:tc>
                <w:tcPr>
                  <w:tcW w:w="662" w:type="dxa"/>
                  <w:tcBorders>
                    <w:top w:val="single" w:color="auto" w:sz="4" w:space="0"/>
                    <w:left w:val="single" w:color="auto" w:sz="4" w:space="0"/>
                    <w:bottom w:val="single" w:color="auto" w:sz="8" w:space="0"/>
                    <w:right w:val="single" w:color="auto" w:sz="4" w:space="0"/>
                  </w:tcBorders>
                  <w:vAlign w:val="center"/>
                </w:tcPr>
                <w:p w14:paraId="0E242E2A">
                  <w:pPr>
                    <w:spacing w:line="0" w:lineRule="atLeast"/>
                    <w:ind w:left="-105" w:leftChars="-50" w:right="-105" w:rightChars="-50"/>
                    <w:jc w:val="center"/>
                    <w:rPr>
                      <w:color w:val="000000"/>
                      <w:kern w:val="2"/>
                      <w:sz w:val="21"/>
                      <w:szCs w:val="21"/>
                    </w:rPr>
                  </w:pPr>
                  <w:r>
                    <w:rPr>
                      <w:color w:val="000000"/>
                      <w:kern w:val="0"/>
                      <w:sz w:val="20"/>
                      <w:szCs w:val="21"/>
                    </w:rPr>
                    <w:t>79</w:t>
                  </w:r>
                </w:p>
              </w:tc>
              <w:tc>
                <w:tcPr>
                  <w:tcW w:w="662" w:type="dxa"/>
                  <w:tcBorders>
                    <w:top w:val="single" w:color="auto" w:sz="4" w:space="0"/>
                    <w:left w:val="single" w:color="auto" w:sz="4" w:space="0"/>
                    <w:bottom w:val="single" w:color="auto" w:sz="8" w:space="0"/>
                    <w:right w:val="single" w:color="auto" w:sz="4" w:space="0"/>
                  </w:tcBorders>
                  <w:vAlign w:val="center"/>
                </w:tcPr>
                <w:p w14:paraId="14F11C2B">
                  <w:pPr>
                    <w:spacing w:line="0" w:lineRule="atLeast"/>
                    <w:ind w:left="-105" w:leftChars="-50" w:right="-105" w:rightChars="-50"/>
                    <w:jc w:val="center"/>
                    <w:rPr>
                      <w:color w:val="000000"/>
                      <w:kern w:val="2"/>
                      <w:sz w:val="21"/>
                      <w:szCs w:val="21"/>
                    </w:rPr>
                  </w:pPr>
                  <w:r>
                    <w:rPr>
                      <w:color w:val="000000"/>
                      <w:kern w:val="0"/>
                      <w:sz w:val="20"/>
                      <w:szCs w:val="21"/>
                    </w:rPr>
                    <w:t>73</w:t>
                  </w:r>
                </w:p>
              </w:tc>
              <w:tc>
                <w:tcPr>
                  <w:tcW w:w="661" w:type="dxa"/>
                  <w:tcBorders>
                    <w:top w:val="single" w:color="auto" w:sz="4" w:space="0"/>
                    <w:left w:val="single" w:color="auto" w:sz="4" w:space="0"/>
                    <w:bottom w:val="single" w:color="auto" w:sz="8" w:space="0"/>
                    <w:right w:val="single" w:color="auto" w:sz="4" w:space="0"/>
                  </w:tcBorders>
                  <w:vAlign w:val="center"/>
                </w:tcPr>
                <w:p w14:paraId="59E66A29">
                  <w:pPr>
                    <w:spacing w:line="0" w:lineRule="atLeast"/>
                    <w:ind w:left="-105" w:leftChars="-50" w:right="-105" w:rightChars="-50"/>
                    <w:jc w:val="center"/>
                    <w:rPr>
                      <w:color w:val="000000"/>
                      <w:kern w:val="2"/>
                      <w:sz w:val="21"/>
                      <w:szCs w:val="21"/>
                    </w:rPr>
                  </w:pPr>
                  <w:r>
                    <w:rPr>
                      <w:color w:val="000000"/>
                      <w:kern w:val="0"/>
                      <w:sz w:val="20"/>
                      <w:szCs w:val="21"/>
                    </w:rPr>
                    <w:t>67</w:t>
                  </w:r>
                </w:p>
              </w:tc>
              <w:tc>
                <w:tcPr>
                  <w:tcW w:w="661" w:type="dxa"/>
                  <w:tcBorders>
                    <w:top w:val="single" w:color="auto" w:sz="4" w:space="0"/>
                    <w:left w:val="single" w:color="auto" w:sz="4" w:space="0"/>
                    <w:bottom w:val="single" w:color="auto" w:sz="8" w:space="0"/>
                    <w:right w:val="single" w:color="auto" w:sz="4" w:space="0"/>
                  </w:tcBorders>
                  <w:vAlign w:val="center"/>
                </w:tcPr>
                <w:p w14:paraId="5AD9E1CF">
                  <w:pPr>
                    <w:spacing w:line="0" w:lineRule="atLeast"/>
                    <w:ind w:left="-105" w:leftChars="-50" w:right="-105" w:rightChars="-50"/>
                    <w:jc w:val="center"/>
                    <w:rPr>
                      <w:color w:val="000000"/>
                      <w:kern w:val="2"/>
                      <w:sz w:val="21"/>
                      <w:szCs w:val="21"/>
                    </w:rPr>
                  </w:pPr>
                  <w:r>
                    <w:rPr>
                      <w:color w:val="000000"/>
                      <w:kern w:val="0"/>
                      <w:sz w:val="20"/>
                      <w:szCs w:val="21"/>
                    </w:rPr>
                    <w:t>61</w:t>
                  </w:r>
                </w:p>
              </w:tc>
              <w:tc>
                <w:tcPr>
                  <w:tcW w:w="661" w:type="dxa"/>
                  <w:tcBorders>
                    <w:top w:val="single" w:color="auto" w:sz="4" w:space="0"/>
                    <w:left w:val="single" w:color="auto" w:sz="4" w:space="0"/>
                    <w:bottom w:val="single" w:color="auto" w:sz="8" w:space="0"/>
                    <w:right w:val="single" w:color="auto" w:sz="4" w:space="0"/>
                  </w:tcBorders>
                  <w:vAlign w:val="center"/>
                </w:tcPr>
                <w:p w14:paraId="66006DD3">
                  <w:pPr>
                    <w:spacing w:line="0" w:lineRule="atLeast"/>
                    <w:ind w:left="-105" w:leftChars="-50" w:right="-105" w:rightChars="-50"/>
                    <w:jc w:val="center"/>
                    <w:rPr>
                      <w:color w:val="000000"/>
                      <w:kern w:val="2"/>
                      <w:sz w:val="21"/>
                      <w:szCs w:val="21"/>
                    </w:rPr>
                  </w:pPr>
                  <w:r>
                    <w:rPr>
                      <w:color w:val="000000"/>
                      <w:kern w:val="0"/>
                      <w:sz w:val="20"/>
                      <w:szCs w:val="21"/>
                    </w:rPr>
                    <w:t>59</w:t>
                  </w:r>
                </w:p>
              </w:tc>
              <w:tc>
                <w:tcPr>
                  <w:tcW w:w="661" w:type="dxa"/>
                  <w:tcBorders>
                    <w:top w:val="single" w:color="auto" w:sz="4" w:space="0"/>
                    <w:left w:val="single" w:color="auto" w:sz="4" w:space="0"/>
                    <w:bottom w:val="single" w:color="auto" w:sz="8" w:space="0"/>
                    <w:right w:val="single" w:color="auto" w:sz="4" w:space="0"/>
                  </w:tcBorders>
                  <w:vAlign w:val="center"/>
                </w:tcPr>
                <w:p w14:paraId="714DB7E1">
                  <w:pPr>
                    <w:spacing w:line="0" w:lineRule="atLeast"/>
                    <w:ind w:left="-105" w:leftChars="-50" w:right="-105" w:rightChars="-50"/>
                    <w:jc w:val="center"/>
                    <w:rPr>
                      <w:color w:val="000000"/>
                      <w:kern w:val="2"/>
                      <w:sz w:val="21"/>
                      <w:szCs w:val="21"/>
                    </w:rPr>
                  </w:pPr>
                  <w:r>
                    <w:rPr>
                      <w:color w:val="000000"/>
                      <w:kern w:val="0"/>
                      <w:sz w:val="20"/>
                      <w:szCs w:val="21"/>
                    </w:rPr>
                    <w:t>55</w:t>
                  </w:r>
                </w:p>
              </w:tc>
              <w:tc>
                <w:tcPr>
                  <w:tcW w:w="661" w:type="dxa"/>
                  <w:tcBorders>
                    <w:top w:val="single" w:color="auto" w:sz="4" w:space="0"/>
                    <w:left w:val="single" w:color="auto" w:sz="4" w:space="0"/>
                    <w:bottom w:val="single" w:color="auto" w:sz="8" w:space="0"/>
                    <w:right w:val="single" w:color="auto" w:sz="4" w:space="0"/>
                  </w:tcBorders>
                  <w:vAlign w:val="center"/>
                </w:tcPr>
                <w:p w14:paraId="0436A474">
                  <w:pPr>
                    <w:spacing w:line="0" w:lineRule="atLeast"/>
                    <w:ind w:left="-105" w:leftChars="-50" w:right="-105" w:rightChars="-50"/>
                    <w:jc w:val="center"/>
                    <w:rPr>
                      <w:color w:val="000000"/>
                      <w:kern w:val="2"/>
                      <w:sz w:val="21"/>
                      <w:szCs w:val="21"/>
                    </w:rPr>
                  </w:pPr>
                  <w:r>
                    <w:rPr>
                      <w:color w:val="000000"/>
                      <w:kern w:val="0"/>
                      <w:sz w:val="20"/>
                      <w:szCs w:val="21"/>
                    </w:rPr>
                    <w:t>53</w:t>
                  </w:r>
                </w:p>
              </w:tc>
              <w:tc>
                <w:tcPr>
                  <w:tcW w:w="661" w:type="dxa"/>
                  <w:tcBorders>
                    <w:top w:val="single" w:color="auto" w:sz="4" w:space="0"/>
                    <w:left w:val="single" w:color="auto" w:sz="4" w:space="0"/>
                    <w:bottom w:val="single" w:color="auto" w:sz="8" w:space="0"/>
                    <w:right w:val="single" w:color="auto" w:sz="4" w:space="0"/>
                  </w:tcBorders>
                  <w:vAlign w:val="center"/>
                </w:tcPr>
                <w:p w14:paraId="71551086">
                  <w:pPr>
                    <w:spacing w:line="0" w:lineRule="atLeast"/>
                    <w:ind w:left="-105" w:leftChars="-50" w:right="-105" w:rightChars="-50"/>
                    <w:jc w:val="center"/>
                    <w:rPr>
                      <w:color w:val="000000"/>
                      <w:kern w:val="2"/>
                      <w:sz w:val="21"/>
                      <w:szCs w:val="21"/>
                    </w:rPr>
                  </w:pPr>
                  <w:r>
                    <w:rPr>
                      <w:color w:val="000000"/>
                      <w:kern w:val="0"/>
                      <w:sz w:val="20"/>
                      <w:szCs w:val="21"/>
                    </w:rPr>
                    <w:t>50</w:t>
                  </w:r>
                </w:p>
              </w:tc>
              <w:tc>
                <w:tcPr>
                  <w:tcW w:w="661" w:type="dxa"/>
                  <w:tcBorders>
                    <w:top w:val="single" w:color="auto" w:sz="4" w:space="0"/>
                    <w:left w:val="single" w:color="auto" w:sz="4" w:space="0"/>
                    <w:bottom w:val="single" w:color="auto" w:sz="8" w:space="0"/>
                    <w:right w:val="single" w:color="auto" w:sz="4" w:space="0"/>
                  </w:tcBorders>
                  <w:vAlign w:val="center"/>
                </w:tcPr>
                <w:p w14:paraId="52FA5F99">
                  <w:pPr>
                    <w:spacing w:line="0" w:lineRule="atLeast"/>
                    <w:ind w:left="-105" w:leftChars="-50" w:right="-105" w:rightChars="-50"/>
                    <w:jc w:val="center"/>
                    <w:rPr>
                      <w:color w:val="000000"/>
                      <w:kern w:val="2"/>
                      <w:sz w:val="21"/>
                      <w:szCs w:val="21"/>
                    </w:rPr>
                  </w:pPr>
                  <w:r>
                    <w:rPr>
                      <w:color w:val="000000"/>
                      <w:kern w:val="0"/>
                      <w:sz w:val="20"/>
                      <w:szCs w:val="21"/>
                    </w:rPr>
                    <w:t>47</w:t>
                  </w:r>
                </w:p>
              </w:tc>
              <w:tc>
                <w:tcPr>
                  <w:tcW w:w="661" w:type="dxa"/>
                  <w:tcBorders>
                    <w:top w:val="single" w:color="auto" w:sz="4" w:space="0"/>
                    <w:left w:val="single" w:color="auto" w:sz="4" w:space="0"/>
                    <w:bottom w:val="single" w:color="auto" w:sz="8" w:space="0"/>
                    <w:right w:val="single" w:color="auto" w:sz="8" w:space="0"/>
                  </w:tcBorders>
                  <w:vAlign w:val="center"/>
                </w:tcPr>
                <w:p w14:paraId="47A5EECD">
                  <w:pPr>
                    <w:spacing w:line="0" w:lineRule="atLeast"/>
                    <w:ind w:left="-105" w:leftChars="-50" w:right="-105" w:rightChars="-50"/>
                    <w:jc w:val="center"/>
                    <w:rPr>
                      <w:color w:val="000000"/>
                      <w:kern w:val="2"/>
                      <w:sz w:val="21"/>
                      <w:szCs w:val="21"/>
                    </w:rPr>
                  </w:pPr>
                  <w:r>
                    <w:rPr>
                      <w:color w:val="000000"/>
                      <w:kern w:val="0"/>
                      <w:sz w:val="20"/>
                      <w:szCs w:val="21"/>
                    </w:rPr>
                    <w:t>44</w:t>
                  </w:r>
                </w:p>
              </w:tc>
            </w:tr>
          </w:tbl>
          <w:p w14:paraId="185A427B">
            <w:pPr>
              <w:spacing w:beforeLines="50"/>
              <w:ind w:firstLine="480" w:firstLineChars="200"/>
              <w:rPr>
                <w:color w:val="000000"/>
                <w:sz w:val="24"/>
                <w:lang w:val="pt-BR"/>
              </w:rPr>
            </w:pPr>
            <w:r>
              <w:rPr>
                <w:rFonts w:hint="eastAsia"/>
                <w:color w:val="000000"/>
                <w:sz w:val="24"/>
                <w:lang w:val="pt-BR"/>
              </w:rPr>
              <w:t>以《建筑施工场界环境噪声排放标准》（</w:t>
            </w:r>
            <w:r>
              <w:rPr>
                <w:color w:val="000000"/>
                <w:sz w:val="24"/>
                <w:lang w:val="pt-BR"/>
              </w:rPr>
              <w:t>GB12523-2011</w:t>
            </w:r>
            <w:r>
              <w:rPr>
                <w:rFonts w:hint="eastAsia"/>
                <w:color w:val="000000"/>
                <w:sz w:val="24"/>
                <w:lang w:val="pt-BR"/>
              </w:rPr>
              <w:t>）评价，距主要设备噪声</w:t>
            </w:r>
            <w:r>
              <w:rPr>
                <w:color w:val="000000"/>
                <w:sz w:val="24"/>
                <w:lang w:val="pt-BR"/>
              </w:rPr>
              <w:t>50m</w:t>
            </w:r>
            <w:r>
              <w:rPr>
                <w:rFonts w:hint="eastAsia"/>
                <w:color w:val="000000"/>
                <w:sz w:val="24"/>
                <w:lang w:val="pt-BR"/>
              </w:rPr>
              <w:t>处的昼间噪声可以达到</w:t>
            </w:r>
            <w:r>
              <w:rPr>
                <w:color w:val="000000"/>
                <w:sz w:val="24"/>
                <w:lang w:val="pt-BR"/>
              </w:rPr>
              <w:t>70dB</w:t>
            </w:r>
            <w:r>
              <w:rPr>
                <w:rFonts w:hint="eastAsia"/>
                <w:color w:val="000000"/>
                <w:sz w:val="24"/>
                <w:lang w:val="pt-BR"/>
              </w:rPr>
              <w:t>（</w:t>
            </w:r>
            <w:r>
              <w:rPr>
                <w:color w:val="000000"/>
                <w:sz w:val="24"/>
                <w:lang w:val="pt-BR"/>
              </w:rPr>
              <w:t>A</w:t>
            </w:r>
            <w:r>
              <w:rPr>
                <w:rFonts w:hint="eastAsia"/>
                <w:color w:val="000000"/>
                <w:sz w:val="24"/>
                <w:lang w:val="pt-BR"/>
              </w:rPr>
              <w:t>）的要求；若夜间施工，</w:t>
            </w:r>
            <w:r>
              <w:rPr>
                <w:color w:val="000000"/>
                <w:sz w:val="24"/>
                <w:lang w:val="pt-BR"/>
              </w:rPr>
              <w:t>300m</w:t>
            </w:r>
            <w:r>
              <w:rPr>
                <w:rFonts w:hint="eastAsia"/>
                <w:color w:val="000000"/>
                <w:sz w:val="24"/>
                <w:lang w:val="pt-BR"/>
              </w:rPr>
              <w:t>以外的环境噪声基本能满足</w:t>
            </w:r>
            <w:r>
              <w:rPr>
                <w:color w:val="000000"/>
                <w:sz w:val="24"/>
                <w:lang w:val="pt-BR"/>
              </w:rPr>
              <w:t>55dB</w:t>
            </w:r>
            <w:r>
              <w:rPr>
                <w:rFonts w:hint="eastAsia"/>
                <w:color w:val="000000"/>
                <w:sz w:val="24"/>
                <w:lang w:val="pt-BR"/>
              </w:rPr>
              <w:t>（</w:t>
            </w:r>
            <w:r>
              <w:rPr>
                <w:color w:val="000000"/>
                <w:sz w:val="24"/>
                <w:lang w:val="pt-BR"/>
              </w:rPr>
              <w:t>A</w:t>
            </w:r>
            <w:r>
              <w:rPr>
                <w:rFonts w:hint="eastAsia"/>
                <w:color w:val="000000"/>
                <w:sz w:val="24"/>
                <w:lang w:val="pt-BR"/>
              </w:rPr>
              <w:t>）的夜间标准值。</w:t>
            </w:r>
          </w:p>
          <w:p w14:paraId="3B30B666">
            <w:pPr>
              <w:ind w:firstLine="480" w:firstLineChars="200"/>
              <w:rPr>
                <w:color w:val="000000"/>
                <w:sz w:val="24"/>
                <w:lang w:val="pt-BR"/>
              </w:rPr>
            </w:pPr>
            <w:r>
              <w:rPr>
                <w:rFonts w:hint="eastAsia"/>
                <w:color w:val="000000"/>
                <w:sz w:val="24"/>
                <w:lang w:val="pt-BR"/>
              </w:rPr>
              <w:t>根据现场实地踏勘和设计资料可知，本项目施工现场</w:t>
            </w:r>
            <w:r>
              <w:rPr>
                <w:color w:val="000000"/>
                <w:sz w:val="24"/>
                <w:lang w:val="pt-BR"/>
              </w:rPr>
              <w:t>300m</w:t>
            </w:r>
            <w:r>
              <w:rPr>
                <w:rFonts w:hint="eastAsia"/>
                <w:color w:val="000000"/>
                <w:sz w:val="24"/>
                <w:lang w:val="pt-BR"/>
              </w:rPr>
              <w:t>范围内无居民，距离本项目最近的居民点为</w:t>
            </w:r>
            <w:r>
              <w:rPr>
                <w:color w:val="000000"/>
                <w:sz w:val="24"/>
                <w:lang w:val="pt-BR"/>
              </w:rPr>
              <w:t>19</w:t>
            </w:r>
            <w:r>
              <w:rPr>
                <w:rFonts w:hint="eastAsia"/>
                <w:color w:val="000000"/>
                <w:sz w:val="24"/>
                <w:lang w:val="pt-BR"/>
              </w:rPr>
              <w:t>号风电机西南方向</w:t>
            </w:r>
            <w:r>
              <w:rPr>
                <w:color w:val="000000"/>
                <w:sz w:val="24"/>
                <w:lang w:val="pt-BR"/>
              </w:rPr>
              <w:t>532m</w:t>
            </w:r>
            <w:r>
              <w:rPr>
                <w:rFonts w:hint="eastAsia"/>
                <w:color w:val="000000"/>
                <w:sz w:val="24"/>
                <w:lang w:val="pt-BR"/>
              </w:rPr>
              <w:t>的德热木其音敖包，故施工噪声不会对周围居民生活产生不良影响。且施工噪声影响特点为短期性、暂时性，一旦施工活动结束，施工噪声也就随之结束。</w:t>
            </w:r>
          </w:p>
          <w:p w14:paraId="31D4F397">
            <w:pPr>
              <w:ind w:firstLine="480" w:firstLineChars="200"/>
              <w:rPr>
                <w:color w:val="000000"/>
                <w:sz w:val="24"/>
                <w:lang w:val="pt-BR"/>
              </w:rPr>
            </w:pPr>
            <w:r>
              <w:rPr>
                <w:rFonts w:hint="eastAsia"/>
                <w:color w:val="000000"/>
                <w:sz w:val="24"/>
                <w:lang w:val="pt-BR"/>
              </w:rPr>
              <w:t>本项目利用原有自然道路作为施工运输道路，途径居民区包括</w:t>
            </w:r>
            <w:r>
              <w:rPr>
                <w:rFonts w:hint="eastAsia"/>
                <w:color w:val="000000"/>
                <w:sz w:val="24"/>
              </w:rPr>
              <w:t>德热木其音敖包、郭达图音额博勒者、芒格勒音胡日勒、和热楚鲁、塔尔干、阿钦郭勒、哈日陶勒盖等</w:t>
            </w:r>
            <w:r>
              <w:rPr>
                <w:rFonts w:hint="eastAsia"/>
                <w:color w:val="000000"/>
                <w:sz w:val="24"/>
                <w:lang w:val="pt-BR"/>
              </w:rPr>
              <w:t>，其中距离施工运输道路最近为</w:t>
            </w:r>
            <w:r>
              <w:rPr>
                <w:color w:val="000000"/>
                <w:sz w:val="24"/>
                <w:lang w:val="pt-BR"/>
              </w:rPr>
              <w:t>28m</w:t>
            </w:r>
            <w:r>
              <w:rPr>
                <w:rFonts w:hint="eastAsia"/>
                <w:color w:val="000000"/>
                <w:sz w:val="24"/>
                <w:lang w:val="pt-BR"/>
              </w:rPr>
              <w:t>的</w:t>
            </w:r>
            <w:r>
              <w:rPr>
                <w:rFonts w:hint="eastAsia"/>
                <w:color w:val="000000"/>
                <w:sz w:val="24"/>
              </w:rPr>
              <w:t>阿钦郭勒</w:t>
            </w:r>
            <w:r>
              <w:rPr>
                <w:rFonts w:hint="eastAsia"/>
                <w:color w:val="000000"/>
                <w:sz w:val="24"/>
                <w:lang w:val="pt-BR"/>
              </w:rPr>
              <w:t>。施工运输车辆将对沿线居民点产生一定影响。为最大限度地减小噪声对环境的影响，建议施工期采取以下噪声防治措施：</w:t>
            </w:r>
          </w:p>
          <w:p w14:paraId="6770AED1">
            <w:pPr>
              <w:ind w:firstLine="480" w:firstLineChars="200"/>
              <w:rPr>
                <w:color w:val="000000"/>
                <w:sz w:val="24"/>
                <w:lang w:val="pt-BR"/>
              </w:rPr>
            </w:pPr>
            <w:r>
              <w:rPr>
                <w:rFonts w:hint="eastAsia"/>
                <w:color w:val="000000"/>
                <w:sz w:val="24"/>
                <w:lang w:val="pt-BR"/>
              </w:rPr>
              <w:t>（</w:t>
            </w:r>
            <w:r>
              <w:rPr>
                <w:color w:val="000000"/>
                <w:sz w:val="24"/>
                <w:lang w:val="pt-BR"/>
              </w:rPr>
              <w:t>1</w:t>
            </w:r>
            <w:r>
              <w:rPr>
                <w:rFonts w:hint="eastAsia"/>
                <w:color w:val="000000"/>
                <w:sz w:val="24"/>
                <w:lang w:val="pt-BR"/>
              </w:rPr>
              <w:t>）科学安排工作时间，制定施工计划，尽可能避免大量高噪声设备同时施工，高噪声设备施工时间应安排在昼间，禁止夜间施工。</w:t>
            </w:r>
          </w:p>
          <w:p w14:paraId="00270C21">
            <w:pPr>
              <w:ind w:firstLine="480" w:firstLineChars="200"/>
              <w:rPr>
                <w:color w:val="000000"/>
                <w:sz w:val="24"/>
                <w:lang w:val="pt-BR"/>
              </w:rPr>
            </w:pPr>
            <w:r>
              <w:rPr>
                <w:rFonts w:hint="eastAsia"/>
                <w:color w:val="000000"/>
                <w:sz w:val="24"/>
                <w:lang w:val="pt-BR"/>
              </w:rPr>
              <w:t>（</w:t>
            </w:r>
            <w:r>
              <w:rPr>
                <w:color w:val="000000"/>
                <w:sz w:val="24"/>
                <w:lang w:val="pt-BR"/>
              </w:rPr>
              <w:t>2</w:t>
            </w:r>
            <w:r>
              <w:rPr>
                <w:rFonts w:hint="eastAsia"/>
                <w:color w:val="000000"/>
                <w:sz w:val="24"/>
                <w:lang w:val="pt-BR"/>
              </w:rPr>
              <w:t>）合理布置施工现场，避免在同一地点安排大量的动力机械设备以避免局部噪声级过高。</w:t>
            </w:r>
          </w:p>
          <w:p w14:paraId="607E31E3">
            <w:pPr>
              <w:ind w:firstLine="480" w:firstLineChars="200"/>
              <w:rPr>
                <w:color w:val="000000"/>
                <w:sz w:val="24"/>
                <w:lang w:val="pt-BR"/>
              </w:rPr>
            </w:pPr>
            <w:r>
              <w:rPr>
                <w:rFonts w:hint="eastAsia"/>
                <w:color w:val="000000"/>
                <w:sz w:val="24"/>
                <w:lang w:val="pt-BR"/>
              </w:rPr>
              <w:t>（</w:t>
            </w:r>
            <w:r>
              <w:rPr>
                <w:color w:val="000000"/>
                <w:sz w:val="24"/>
                <w:lang w:val="pt-BR"/>
              </w:rPr>
              <w:t>3</w:t>
            </w:r>
            <w:r>
              <w:rPr>
                <w:rFonts w:hint="eastAsia"/>
                <w:color w:val="000000"/>
                <w:sz w:val="24"/>
                <w:lang w:val="pt-BR"/>
              </w:rPr>
              <w:t>）加强车辆保养，合理规划施工运输路线，尽可能避免途径居民区。施工运输车辆应安排在昼间，必须途径居民区时，应减速慢行，并禁止鸣笛。</w:t>
            </w:r>
          </w:p>
          <w:p w14:paraId="78FBD56A">
            <w:pPr>
              <w:ind w:firstLine="480" w:firstLineChars="200"/>
              <w:rPr>
                <w:sz w:val="24"/>
                <w:lang w:val="pt-BR"/>
              </w:rPr>
            </w:pPr>
            <w:r>
              <w:rPr>
                <w:sz w:val="24"/>
                <w:lang w:val="pt-BR"/>
              </w:rPr>
              <w:t>4</w:t>
            </w:r>
            <w:r>
              <w:rPr>
                <w:rFonts w:hint="eastAsia"/>
                <w:sz w:val="24"/>
                <w:lang w:val="pt-BR"/>
              </w:rPr>
              <w:t>、固体废物影响分析</w:t>
            </w:r>
          </w:p>
          <w:p w14:paraId="5B18A65F">
            <w:pPr>
              <w:ind w:firstLine="480" w:firstLineChars="200"/>
              <w:rPr>
                <w:sz w:val="24"/>
                <w:lang w:val="pt-BR"/>
              </w:rPr>
            </w:pPr>
            <w:r>
              <w:rPr>
                <w:rFonts w:hint="eastAsia"/>
                <w:sz w:val="24"/>
                <w:lang w:val="pt-BR"/>
              </w:rPr>
              <w:t>施工期的固体废物主要为废土石、建筑垃圾和生活垃圾。</w:t>
            </w:r>
          </w:p>
          <w:p w14:paraId="7FC2BF4F">
            <w:pPr>
              <w:ind w:firstLine="480" w:firstLineChars="200"/>
              <w:rPr>
                <w:color w:val="000000"/>
                <w:sz w:val="24"/>
                <w:lang w:val="pt-BR"/>
              </w:rPr>
            </w:pPr>
            <w:r>
              <w:rPr>
                <w:rFonts w:hint="eastAsia"/>
                <w:sz w:val="24"/>
                <w:lang w:val="pt-BR"/>
              </w:rPr>
              <w:t>工程共动用土石方总量</w:t>
            </w:r>
            <w:r>
              <w:rPr>
                <w:sz w:val="24"/>
              </w:rPr>
              <w:t>98.539</w:t>
            </w:r>
            <w:r>
              <w:rPr>
                <w:rFonts w:hint="eastAsia"/>
                <w:sz w:val="24"/>
                <w:lang w:val="pt-BR"/>
              </w:rPr>
              <w:t>万</w:t>
            </w:r>
            <w:r>
              <w:rPr>
                <w:sz w:val="24"/>
                <w:lang w:val="pt-BR"/>
              </w:rPr>
              <w:t>m</w:t>
            </w:r>
            <w:r>
              <w:rPr>
                <w:sz w:val="24"/>
                <w:vertAlign w:val="superscript"/>
                <w:lang w:val="pt-BR"/>
              </w:rPr>
              <w:t>3</w:t>
            </w:r>
            <w:r>
              <w:rPr>
                <w:rFonts w:hint="eastAsia"/>
                <w:sz w:val="24"/>
                <w:lang w:val="pt-BR"/>
              </w:rPr>
              <w:t>。其中挖方</w:t>
            </w:r>
            <w:r>
              <w:rPr>
                <w:sz w:val="24"/>
              </w:rPr>
              <w:t>49.2695</w:t>
            </w:r>
            <w:r>
              <w:rPr>
                <w:rFonts w:hint="eastAsia"/>
                <w:sz w:val="24"/>
                <w:lang w:val="pt-BR"/>
              </w:rPr>
              <w:t>万</w:t>
            </w:r>
            <w:r>
              <w:rPr>
                <w:sz w:val="24"/>
                <w:lang w:val="pt-BR"/>
              </w:rPr>
              <w:t>m</w:t>
            </w:r>
            <w:r>
              <w:rPr>
                <w:sz w:val="24"/>
                <w:vertAlign w:val="superscript"/>
                <w:lang w:val="pt-BR"/>
              </w:rPr>
              <w:t>3</w:t>
            </w:r>
            <w:r>
              <w:rPr>
                <w:rFonts w:hint="eastAsia"/>
                <w:sz w:val="24"/>
                <w:lang w:val="pt-BR"/>
              </w:rPr>
              <w:t>，填方</w:t>
            </w:r>
            <w:r>
              <w:rPr>
                <w:sz w:val="24"/>
              </w:rPr>
              <w:t>49.2695</w:t>
            </w:r>
            <w:r>
              <w:rPr>
                <w:rFonts w:hint="eastAsia"/>
                <w:sz w:val="24"/>
                <w:lang w:val="pt-BR"/>
              </w:rPr>
              <w:t>万</w:t>
            </w:r>
            <w:r>
              <w:rPr>
                <w:sz w:val="24"/>
                <w:lang w:val="pt-BR"/>
              </w:rPr>
              <w:t>m</w:t>
            </w:r>
            <w:r>
              <w:rPr>
                <w:sz w:val="24"/>
                <w:vertAlign w:val="superscript"/>
                <w:lang w:val="pt-BR"/>
              </w:rPr>
              <w:t>3</w:t>
            </w:r>
            <w:r>
              <w:rPr>
                <w:rFonts w:hint="eastAsia"/>
                <w:sz w:val="24"/>
                <w:lang w:val="pt-BR"/>
              </w:rPr>
              <w:t>，无弃方。施工</w:t>
            </w:r>
            <w:r>
              <w:rPr>
                <w:rFonts w:hint="eastAsia"/>
                <w:color w:val="000000"/>
                <w:sz w:val="24"/>
                <w:lang w:val="pt-BR"/>
              </w:rPr>
              <w:t>过程中要求加强对废土石临时堆存的管理，不得随意堆放压占草地及破坏植被，对临时弃土场采取临时防护措施，如土袋挡护、拍实、表层覆盖草垫或其它覆盖物，避免对周围环境造成影响。</w:t>
            </w:r>
          </w:p>
          <w:p w14:paraId="2BDC393F">
            <w:pPr>
              <w:ind w:firstLine="480" w:firstLineChars="200"/>
              <w:rPr>
                <w:color w:val="000000"/>
                <w:sz w:val="24"/>
                <w:lang w:val="pt-BR"/>
              </w:rPr>
            </w:pPr>
            <w:r>
              <w:rPr>
                <w:rFonts w:hint="eastAsia"/>
                <w:color w:val="000000"/>
                <w:sz w:val="24"/>
                <w:lang w:val="pt-BR"/>
              </w:rPr>
              <w:t>施工期建筑垃圾建筑垃圾若处理不当，影响景观、占用土地、产生扬尘等影响环境。因此，应及时进行清运、填埋或回收利用，防止长期堆放后干燥而产生扬尘；实在用不完的，不能随意丢弃，随意丢弃会占领一定的空间或影响景观，应运到指定地点集中处理，同时要求规范运输，不得随路洒落，不能随意倾倒堆放等。</w:t>
            </w:r>
          </w:p>
          <w:p w14:paraId="7EC7728C">
            <w:pPr>
              <w:ind w:firstLine="480" w:firstLineChars="200"/>
              <w:rPr>
                <w:color w:val="000000"/>
                <w:sz w:val="24"/>
                <w:lang w:val="pt-BR"/>
              </w:rPr>
            </w:pPr>
            <w:r>
              <w:rPr>
                <w:rFonts w:hint="eastAsia"/>
                <w:color w:val="000000"/>
                <w:sz w:val="24"/>
                <w:lang w:val="pt-BR"/>
              </w:rPr>
              <w:t>生活垃圾除清理不及时，会在微生物的作用下发生腐烂，发出恶臭，成为蚊蝇滋生、病菌繁衍、鼠类肆虐的场所，是引发流行性疾病的重要发生源，对人体健康以及大气环境产生影响。本项目施工期生活垃圾产生量约为</w:t>
            </w:r>
            <w:r>
              <w:rPr>
                <w:color w:val="000000"/>
                <w:sz w:val="24"/>
                <w:lang w:val="pt-BR"/>
              </w:rPr>
              <w:t>64.8t</w:t>
            </w:r>
            <w:r>
              <w:rPr>
                <w:rFonts w:hint="eastAsia"/>
                <w:color w:val="000000"/>
                <w:sz w:val="24"/>
                <w:lang w:val="pt-BR"/>
              </w:rPr>
              <w:t>，场区内经垃圾箱集中收集后定期清运至当地环保部门指定地点集中处置，不会对周围环境和人员健康带来不利影响。</w:t>
            </w:r>
          </w:p>
          <w:p w14:paraId="3B65B335">
            <w:pPr>
              <w:ind w:firstLine="480" w:firstLineChars="200"/>
              <w:rPr>
                <w:color w:val="000000"/>
                <w:sz w:val="24"/>
                <w:lang w:val="pt-BR"/>
              </w:rPr>
            </w:pPr>
            <w:r>
              <w:rPr>
                <w:rFonts w:hint="eastAsia"/>
                <w:color w:val="000000"/>
                <w:sz w:val="24"/>
                <w:lang w:val="pt-BR"/>
              </w:rPr>
              <w:t>本项目建设期产生的固体废物均不直接外排环境，不会造成二次污染。</w:t>
            </w:r>
          </w:p>
          <w:p w14:paraId="2979A1BA">
            <w:pPr>
              <w:ind w:firstLine="480" w:firstLineChars="200"/>
              <w:rPr>
                <w:sz w:val="24"/>
                <w:lang w:val="pt-BR"/>
              </w:rPr>
            </w:pPr>
            <w:r>
              <w:rPr>
                <w:sz w:val="24"/>
                <w:lang w:val="pt-BR"/>
              </w:rPr>
              <w:t>5</w:t>
            </w:r>
            <w:r>
              <w:rPr>
                <w:rFonts w:hint="eastAsia"/>
                <w:sz w:val="24"/>
                <w:lang w:val="pt-BR"/>
              </w:rPr>
              <w:t>、生态影响分析</w:t>
            </w:r>
          </w:p>
          <w:p w14:paraId="7E176D18">
            <w:pPr>
              <w:ind w:firstLine="480" w:firstLineChars="200"/>
              <w:rPr>
                <w:color w:val="000000"/>
                <w:sz w:val="24"/>
                <w:lang w:val="pt-BR"/>
              </w:rPr>
            </w:pPr>
            <w:r>
              <w:rPr>
                <w:rFonts w:hint="eastAsia"/>
                <w:color w:val="000000"/>
                <w:sz w:val="24"/>
                <w:lang w:val="pt-BR"/>
              </w:rPr>
              <w:t>（</w:t>
            </w:r>
            <w:r>
              <w:rPr>
                <w:color w:val="000000"/>
                <w:sz w:val="24"/>
                <w:lang w:val="pt-BR"/>
              </w:rPr>
              <w:t>1</w:t>
            </w:r>
            <w:r>
              <w:rPr>
                <w:rFonts w:hint="eastAsia"/>
                <w:color w:val="000000"/>
                <w:sz w:val="24"/>
                <w:lang w:val="pt-BR"/>
              </w:rPr>
              <w:t>）对植物的影响分析</w:t>
            </w:r>
          </w:p>
          <w:p w14:paraId="33E2356B">
            <w:pPr>
              <w:ind w:firstLine="480" w:firstLineChars="200"/>
              <w:rPr>
                <w:color w:val="000000"/>
                <w:sz w:val="24"/>
                <w:lang w:val="pt-BR"/>
              </w:rPr>
            </w:pPr>
            <w:r>
              <w:rPr>
                <w:rFonts w:hint="eastAsia"/>
                <w:color w:val="000000"/>
                <w:sz w:val="24"/>
                <w:lang w:val="pt-BR"/>
              </w:rPr>
              <w:t>①</w:t>
            </w:r>
            <w:r>
              <w:rPr>
                <w:color w:val="000000"/>
                <w:sz w:val="24"/>
                <w:lang w:val="pt-BR"/>
              </w:rPr>
              <w:t xml:space="preserve"> </w:t>
            </w:r>
            <w:r>
              <w:rPr>
                <w:rFonts w:hint="eastAsia"/>
                <w:color w:val="000000"/>
                <w:sz w:val="24"/>
                <w:lang w:val="pt-BR"/>
              </w:rPr>
              <w:t>对生物量影响分析</w:t>
            </w:r>
          </w:p>
          <w:p w14:paraId="41BDA1FE">
            <w:pPr>
              <w:ind w:firstLine="480" w:firstLineChars="200"/>
              <w:rPr>
                <w:color w:val="000000"/>
                <w:sz w:val="24"/>
                <w:lang w:val="pt-BR"/>
              </w:rPr>
            </w:pPr>
            <w:r>
              <w:rPr>
                <w:rFonts w:hint="eastAsia"/>
                <w:color w:val="000000"/>
                <w:sz w:val="24"/>
                <w:lang w:val="pt-BR"/>
              </w:rPr>
              <w:t>施工过程中扰动土地，风机基础、箱式变压器等工程永久占用土地，永久占地上的植被基本完全损失。评价区域面积共</w:t>
            </w:r>
            <w:r>
              <w:rPr>
                <w:sz w:val="24"/>
                <w:lang w:val="pt-BR"/>
              </w:rPr>
              <w:t>15532.22h</w:t>
            </w:r>
            <w:r>
              <w:rPr>
                <w:color w:val="000000"/>
                <w:sz w:val="24"/>
                <w:lang w:val="pt-BR"/>
              </w:rPr>
              <w:t>m</w:t>
            </w:r>
            <w:r>
              <w:rPr>
                <w:color w:val="000000"/>
                <w:sz w:val="24"/>
                <w:vertAlign w:val="superscript"/>
                <w:lang w:val="pt-BR"/>
              </w:rPr>
              <w:t>2</w:t>
            </w:r>
            <w:r>
              <w:rPr>
                <w:rFonts w:hint="eastAsia"/>
                <w:color w:val="000000"/>
                <w:sz w:val="24"/>
                <w:lang w:val="pt-BR"/>
              </w:rPr>
              <w:t>，单位面积生物量参考《内蒙古温带草地生物量及其与环境因子的关系》（中国科学，</w:t>
            </w:r>
            <w:r>
              <w:rPr>
                <w:color w:val="000000"/>
                <w:sz w:val="24"/>
                <w:lang w:val="pt-BR"/>
              </w:rPr>
              <w:t>2008</w:t>
            </w:r>
            <w:r>
              <w:rPr>
                <w:rFonts w:hint="eastAsia"/>
                <w:color w:val="000000"/>
                <w:sz w:val="24"/>
                <w:lang w:val="pt-BR"/>
              </w:rPr>
              <w:t>年第</w:t>
            </w:r>
            <w:r>
              <w:rPr>
                <w:color w:val="000000"/>
                <w:sz w:val="24"/>
                <w:lang w:val="pt-BR"/>
              </w:rPr>
              <w:t>38</w:t>
            </w:r>
            <w:r>
              <w:rPr>
                <w:rFonts w:hint="eastAsia"/>
                <w:color w:val="000000"/>
                <w:sz w:val="24"/>
                <w:lang w:val="pt-BR"/>
              </w:rPr>
              <w:t>卷第一期）中典型草原地上生物量值</w:t>
            </w:r>
            <w:r>
              <w:rPr>
                <w:color w:val="000000"/>
                <w:sz w:val="24"/>
                <w:lang w:val="pt-BR"/>
              </w:rPr>
              <w:t>17.0</w:t>
            </w:r>
            <w:r>
              <w:rPr>
                <w:rFonts w:hint="eastAsia"/>
                <w:color w:val="000000"/>
                <w:sz w:val="24"/>
                <w:lang w:val="pt-BR"/>
              </w:rPr>
              <w:t>～</w:t>
            </w:r>
            <w:r>
              <w:rPr>
                <w:color w:val="000000"/>
                <w:sz w:val="24"/>
                <w:lang w:val="pt-BR"/>
              </w:rPr>
              <w:t>310.1g/m</w:t>
            </w:r>
            <w:r>
              <w:rPr>
                <w:color w:val="000000"/>
                <w:sz w:val="24"/>
                <w:vertAlign w:val="superscript"/>
                <w:lang w:val="pt-BR"/>
              </w:rPr>
              <w:t>2</w:t>
            </w:r>
            <w:r>
              <w:rPr>
                <w:rFonts w:hint="eastAsia"/>
                <w:color w:val="000000"/>
                <w:sz w:val="24"/>
                <w:lang w:val="pt-BR"/>
              </w:rPr>
              <w:t>，本次评价取</w:t>
            </w:r>
            <w:r>
              <w:rPr>
                <w:color w:val="000000"/>
                <w:sz w:val="24"/>
                <w:lang w:val="pt-BR"/>
              </w:rPr>
              <w:t>150g/m</w:t>
            </w:r>
            <w:r>
              <w:rPr>
                <w:color w:val="000000"/>
                <w:sz w:val="24"/>
                <w:vertAlign w:val="superscript"/>
                <w:lang w:val="pt-BR"/>
              </w:rPr>
              <w:t>2</w:t>
            </w:r>
            <w:r>
              <w:rPr>
                <w:rFonts w:hint="eastAsia"/>
                <w:color w:val="000000"/>
                <w:sz w:val="24"/>
                <w:lang w:val="pt-BR"/>
              </w:rPr>
              <w:t>。本项目占地造成生物损失量详见表</w:t>
            </w:r>
            <w:r>
              <w:rPr>
                <w:color w:val="000000"/>
                <w:sz w:val="24"/>
                <w:lang w:val="pt-BR"/>
              </w:rPr>
              <w:t>22</w:t>
            </w:r>
            <w:r>
              <w:rPr>
                <w:rFonts w:hint="eastAsia"/>
                <w:color w:val="000000"/>
                <w:sz w:val="24"/>
                <w:lang w:val="pt-BR"/>
              </w:rPr>
              <w:t>。</w:t>
            </w:r>
          </w:p>
          <w:p w14:paraId="59F4DB13">
            <w:pPr>
              <w:ind w:firstLine="480" w:firstLineChars="200"/>
              <w:rPr>
                <w:rFonts w:ascii="黑体" w:hAnsi="黑体" w:eastAsia="黑体"/>
                <w:color w:val="000000"/>
                <w:sz w:val="24"/>
              </w:rPr>
            </w:pPr>
            <w:r>
              <w:rPr>
                <w:rFonts w:hint="eastAsia" w:ascii="黑体" w:hAnsi="黑体" w:eastAsia="黑体"/>
                <w:color w:val="000000"/>
                <w:sz w:val="24"/>
              </w:rPr>
              <w:t>表22               占用草地造成生物损失量计算表</w:t>
            </w:r>
          </w:p>
          <w:tbl>
            <w:tblPr>
              <w:tblStyle w:val="26"/>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28" w:type="dxa"/>
                <w:bottom w:w="0" w:type="dxa"/>
                <w:right w:w="28" w:type="dxa"/>
              </w:tblCellMar>
            </w:tblPr>
            <w:tblGrid>
              <w:gridCol w:w="1523"/>
              <w:gridCol w:w="1535"/>
              <w:gridCol w:w="1420"/>
              <w:gridCol w:w="2545"/>
              <w:gridCol w:w="1766"/>
            </w:tblGrid>
            <w:tr w14:paraId="320F86D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1523" w:type="dxa"/>
                  <w:tcBorders>
                    <w:top w:val="single" w:color="auto" w:sz="8" w:space="0"/>
                    <w:left w:val="single" w:color="auto" w:sz="8" w:space="0"/>
                    <w:bottom w:val="single" w:color="auto" w:sz="4" w:space="0"/>
                    <w:right w:val="single" w:color="auto" w:sz="4" w:space="0"/>
                  </w:tcBorders>
                  <w:vAlign w:val="center"/>
                </w:tcPr>
                <w:p w14:paraId="1C8CFB86">
                  <w:pPr>
                    <w:spacing w:line="0" w:lineRule="atLeast"/>
                    <w:ind w:left="-105" w:leftChars="-50" w:right="-105" w:rightChars="-50"/>
                    <w:jc w:val="center"/>
                    <w:rPr>
                      <w:color w:val="000000"/>
                      <w:kern w:val="2"/>
                      <w:sz w:val="21"/>
                      <w:szCs w:val="21"/>
                    </w:rPr>
                  </w:pPr>
                  <w:r>
                    <w:rPr>
                      <w:rFonts w:hint="eastAsia"/>
                      <w:color w:val="000000"/>
                      <w:kern w:val="0"/>
                      <w:sz w:val="20"/>
                      <w:szCs w:val="21"/>
                    </w:rPr>
                    <w:t>工程项目</w:t>
                  </w:r>
                </w:p>
              </w:tc>
              <w:tc>
                <w:tcPr>
                  <w:tcW w:w="1535" w:type="dxa"/>
                  <w:tcBorders>
                    <w:top w:val="single" w:color="auto" w:sz="8" w:space="0"/>
                    <w:left w:val="single" w:color="auto" w:sz="4" w:space="0"/>
                    <w:bottom w:val="single" w:color="auto" w:sz="4" w:space="0"/>
                    <w:right w:val="single" w:color="auto" w:sz="4" w:space="0"/>
                  </w:tcBorders>
                  <w:vAlign w:val="center"/>
                </w:tcPr>
                <w:p w14:paraId="2DEDB6FE">
                  <w:pPr>
                    <w:spacing w:line="0" w:lineRule="atLeast"/>
                    <w:ind w:left="-105" w:leftChars="-50" w:right="-105" w:rightChars="-50"/>
                    <w:jc w:val="center"/>
                    <w:rPr>
                      <w:color w:val="000000"/>
                      <w:kern w:val="2"/>
                      <w:sz w:val="21"/>
                      <w:szCs w:val="21"/>
                    </w:rPr>
                  </w:pPr>
                  <w:r>
                    <w:rPr>
                      <w:rFonts w:hint="eastAsia"/>
                      <w:color w:val="000000"/>
                      <w:kern w:val="0"/>
                      <w:sz w:val="20"/>
                      <w:szCs w:val="21"/>
                    </w:rPr>
                    <w:t>占地类型</w:t>
                  </w:r>
                </w:p>
              </w:tc>
              <w:tc>
                <w:tcPr>
                  <w:tcW w:w="1420" w:type="dxa"/>
                  <w:tcBorders>
                    <w:top w:val="single" w:color="auto" w:sz="8" w:space="0"/>
                    <w:left w:val="single" w:color="auto" w:sz="4" w:space="0"/>
                    <w:bottom w:val="single" w:color="auto" w:sz="4" w:space="0"/>
                    <w:right w:val="single" w:color="auto" w:sz="4" w:space="0"/>
                  </w:tcBorders>
                  <w:vAlign w:val="center"/>
                </w:tcPr>
                <w:p w14:paraId="4EBB4B47">
                  <w:pPr>
                    <w:spacing w:line="0" w:lineRule="atLeast"/>
                    <w:ind w:left="-105" w:leftChars="-50" w:right="-105" w:rightChars="-50"/>
                    <w:jc w:val="center"/>
                    <w:rPr>
                      <w:color w:val="000000"/>
                      <w:kern w:val="2"/>
                      <w:sz w:val="21"/>
                      <w:szCs w:val="21"/>
                    </w:rPr>
                  </w:pPr>
                  <w:r>
                    <w:rPr>
                      <w:rFonts w:hint="eastAsia"/>
                      <w:color w:val="000000"/>
                      <w:kern w:val="0"/>
                      <w:sz w:val="20"/>
                      <w:szCs w:val="21"/>
                    </w:rPr>
                    <w:t>面积（</w:t>
                  </w:r>
                  <w:r>
                    <w:rPr>
                      <w:color w:val="000000"/>
                      <w:kern w:val="0"/>
                      <w:sz w:val="20"/>
                      <w:szCs w:val="21"/>
                    </w:rPr>
                    <w:t>hm</w:t>
                  </w:r>
                  <w:r>
                    <w:rPr>
                      <w:color w:val="000000"/>
                      <w:kern w:val="0"/>
                      <w:sz w:val="20"/>
                      <w:szCs w:val="21"/>
                      <w:vertAlign w:val="superscript"/>
                    </w:rPr>
                    <w:t>2</w:t>
                  </w:r>
                  <w:r>
                    <w:rPr>
                      <w:rFonts w:hint="eastAsia"/>
                      <w:color w:val="000000"/>
                      <w:kern w:val="0"/>
                      <w:sz w:val="20"/>
                      <w:szCs w:val="21"/>
                    </w:rPr>
                    <w:t>）</w:t>
                  </w:r>
                </w:p>
              </w:tc>
              <w:tc>
                <w:tcPr>
                  <w:tcW w:w="2545" w:type="dxa"/>
                  <w:tcBorders>
                    <w:top w:val="single" w:color="auto" w:sz="8" w:space="0"/>
                    <w:left w:val="single" w:color="auto" w:sz="4" w:space="0"/>
                    <w:bottom w:val="single" w:color="auto" w:sz="4" w:space="0"/>
                    <w:right w:val="single" w:color="auto" w:sz="4" w:space="0"/>
                  </w:tcBorders>
                  <w:vAlign w:val="center"/>
                </w:tcPr>
                <w:p w14:paraId="05CB54C5">
                  <w:pPr>
                    <w:spacing w:line="0" w:lineRule="atLeast"/>
                    <w:ind w:left="-105" w:leftChars="-50" w:right="-105" w:rightChars="-50"/>
                    <w:jc w:val="center"/>
                    <w:rPr>
                      <w:color w:val="000000"/>
                      <w:kern w:val="2"/>
                      <w:sz w:val="21"/>
                      <w:szCs w:val="21"/>
                    </w:rPr>
                  </w:pPr>
                  <w:r>
                    <w:rPr>
                      <w:rFonts w:hint="eastAsia"/>
                      <w:kern w:val="0"/>
                      <w:sz w:val="20"/>
                    </w:rPr>
                    <w:t>单位面积生物量（</w:t>
                  </w:r>
                  <w:r>
                    <w:rPr>
                      <w:kern w:val="0"/>
                      <w:sz w:val="20"/>
                    </w:rPr>
                    <w:t>g/m</w:t>
                  </w:r>
                  <w:r>
                    <w:rPr>
                      <w:kern w:val="0"/>
                      <w:sz w:val="20"/>
                      <w:vertAlign w:val="superscript"/>
                    </w:rPr>
                    <w:t>2</w:t>
                  </w:r>
                  <w:r>
                    <w:rPr>
                      <w:rFonts w:hint="eastAsia"/>
                      <w:kern w:val="0"/>
                      <w:sz w:val="20"/>
                    </w:rPr>
                    <w:t>）</w:t>
                  </w:r>
                </w:p>
              </w:tc>
              <w:tc>
                <w:tcPr>
                  <w:tcW w:w="1766" w:type="dxa"/>
                  <w:tcBorders>
                    <w:top w:val="single" w:color="auto" w:sz="8" w:space="0"/>
                    <w:left w:val="single" w:color="auto" w:sz="4" w:space="0"/>
                    <w:bottom w:val="single" w:color="auto" w:sz="4" w:space="0"/>
                    <w:right w:val="single" w:color="auto" w:sz="8" w:space="0"/>
                  </w:tcBorders>
                  <w:vAlign w:val="center"/>
                </w:tcPr>
                <w:p w14:paraId="41E54737">
                  <w:pPr>
                    <w:spacing w:line="0" w:lineRule="atLeast"/>
                    <w:ind w:left="-105" w:leftChars="-50" w:right="-105" w:rightChars="-50"/>
                    <w:jc w:val="center"/>
                    <w:rPr>
                      <w:color w:val="000000"/>
                      <w:kern w:val="2"/>
                      <w:sz w:val="21"/>
                      <w:szCs w:val="21"/>
                    </w:rPr>
                  </w:pPr>
                  <w:r>
                    <w:rPr>
                      <w:rFonts w:hint="eastAsia"/>
                      <w:kern w:val="0"/>
                      <w:sz w:val="20"/>
                    </w:rPr>
                    <w:t>损失生物量（</w:t>
                  </w:r>
                  <w:r>
                    <w:rPr>
                      <w:kern w:val="0"/>
                      <w:sz w:val="20"/>
                    </w:rPr>
                    <w:t>t</w:t>
                  </w:r>
                  <w:r>
                    <w:rPr>
                      <w:rFonts w:hint="eastAsia"/>
                      <w:kern w:val="0"/>
                      <w:sz w:val="20"/>
                    </w:rPr>
                    <w:t>）</w:t>
                  </w:r>
                </w:p>
              </w:tc>
            </w:tr>
            <w:tr w14:paraId="26E3A86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1523" w:type="dxa"/>
                  <w:tcBorders>
                    <w:top w:val="single" w:color="auto" w:sz="4" w:space="0"/>
                    <w:left w:val="single" w:color="auto" w:sz="8" w:space="0"/>
                    <w:bottom w:val="single" w:color="auto" w:sz="4" w:space="0"/>
                    <w:right w:val="single" w:color="auto" w:sz="4" w:space="0"/>
                  </w:tcBorders>
                  <w:vAlign w:val="center"/>
                </w:tcPr>
                <w:p w14:paraId="195C7AB8">
                  <w:pPr>
                    <w:spacing w:line="0" w:lineRule="atLeast"/>
                    <w:ind w:left="-105" w:leftChars="-50" w:right="-105" w:rightChars="-50"/>
                    <w:jc w:val="center"/>
                    <w:rPr>
                      <w:color w:val="000000"/>
                      <w:kern w:val="2"/>
                      <w:sz w:val="21"/>
                      <w:szCs w:val="21"/>
                    </w:rPr>
                  </w:pPr>
                  <w:r>
                    <w:rPr>
                      <w:rFonts w:hint="eastAsia"/>
                      <w:color w:val="000000"/>
                      <w:kern w:val="0"/>
                      <w:sz w:val="20"/>
                      <w:szCs w:val="21"/>
                    </w:rPr>
                    <w:t>永久占地</w:t>
                  </w:r>
                </w:p>
              </w:tc>
              <w:tc>
                <w:tcPr>
                  <w:tcW w:w="1535" w:type="dxa"/>
                  <w:tcBorders>
                    <w:top w:val="single" w:color="auto" w:sz="4" w:space="0"/>
                    <w:left w:val="single" w:color="auto" w:sz="4" w:space="0"/>
                    <w:bottom w:val="single" w:color="auto" w:sz="4" w:space="0"/>
                    <w:right w:val="single" w:color="auto" w:sz="4" w:space="0"/>
                  </w:tcBorders>
                  <w:vAlign w:val="center"/>
                </w:tcPr>
                <w:p w14:paraId="7E1635EC">
                  <w:pPr>
                    <w:spacing w:line="0" w:lineRule="atLeast"/>
                    <w:ind w:left="-105" w:leftChars="-50" w:right="-105" w:rightChars="-50"/>
                    <w:jc w:val="center"/>
                    <w:rPr>
                      <w:color w:val="000000"/>
                      <w:kern w:val="2"/>
                      <w:sz w:val="21"/>
                      <w:szCs w:val="21"/>
                    </w:rPr>
                  </w:pPr>
                  <w:r>
                    <w:rPr>
                      <w:rFonts w:hint="eastAsia"/>
                      <w:color w:val="000000"/>
                      <w:kern w:val="0"/>
                      <w:sz w:val="20"/>
                      <w:szCs w:val="21"/>
                    </w:rPr>
                    <w:t>草地</w:t>
                  </w:r>
                </w:p>
              </w:tc>
              <w:tc>
                <w:tcPr>
                  <w:tcW w:w="1420" w:type="dxa"/>
                  <w:tcBorders>
                    <w:top w:val="single" w:color="auto" w:sz="4" w:space="0"/>
                    <w:left w:val="single" w:color="auto" w:sz="4" w:space="0"/>
                    <w:bottom w:val="single" w:color="auto" w:sz="4" w:space="0"/>
                    <w:right w:val="single" w:color="auto" w:sz="4" w:space="0"/>
                  </w:tcBorders>
                  <w:vAlign w:val="center"/>
                </w:tcPr>
                <w:p w14:paraId="3D7CB99C">
                  <w:pPr>
                    <w:spacing w:line="0" w:lineRule="atLeast"/>
                    <w:ind w:left="-105" w:leftChars="-50" w:right="-105" w:rightChars="-50"/>
                    <w:jc w:val="center"/>
                    <w:rPr>
                      <w:kern w:val="2"/>
                      <w:sz w:val="21"/>
                    </w:rPr>
                  </w:pPr>
                  <w:r>
                    <w:rPr>
                      <w:kern w:val="0"/>
                      <w:sz w:val="20"/>
                    </w:rPr>
                    <w:t>6.334</w:t>
                  </w:r>
                </w:p>
              </w:tc>
              <w:tc>
                <w:tcPr>
                  <w:tcW w:w="2545" w:type="dxa"/>
                  <w:tcBorders>
                    <w:top w:val="single" w:color="auto" w:sz="4" w:space="0"/>
                    <w:left w:val="single" w:color="auto" w:sz="4" w:space="0"/>
                    <w:bottom w:val="single" w:color="auto" w:sz="4" w:space="0"/>
                    <w:right w:val="single" w:color="auto" w:sz="4" w:space="0"/>
                  </w:tcBorders>
                  <w:vAlign w:val="center"/>
                </w:tcPr>
                <w:p w14:paraId="334AD851">
                  <w:pPr>
                    <w:spacing w:line="0" w:lineRule="atLeast"/>
                    <w:ind w:left="-105" w:leftChars="-50" w:right="-105" w:rightChars="-50"/>
                    <w:jc w:val="center"/>
                    <w:rPr>
                      <w:color w:val="000000"/>
                      <w:kern w:val="2"/>
                      <w:sz w:val="21"/>
                      <w:szCs w:val="21"/>
                    </w:rPr>
                  </w:pPr>
                  <w:r>
                    <w:rPr>
                      <w:kern w:val="0"/>
                      <w:sz w:val="20"/>
                    </w:rPr>
                    <w:t>150</w:t>
                  </w:r>
                </w:p>
              </w:tc>
              <w:tc>
                <w:tcPr>
                  <w:tcW w:w="1766" w:type="dxa"/>
                  <w:tcBorders>
                    <w:top w:val="single" w:color="auto" w:sz="4" w:space="0"/>
                    <w:left w:val="single" w:color="auto" w:sz="4" w:space="0"/>
                    <w:bottom w:val="single" w:color="auto" w:sz="4" w:space="0"/>
                    <w:right w:val="single" w:color="auto" w:sz="8" w:space="0"/>
                  </w:tcBorders>
                  <w:vAlign w:val="center"/>
                </w:tcPr>
                <w:p w14:paraId="0767730B">
                  <w:pPr>
                    <w:spacing w:line="0" w:lineRule="atLeast"/>
                    <w:ind w:left="-105" w:leftChars="-50" w:right="-105" w:rightChars="-50"/>
                    <w:jc w:val="center"/>
                    <w:rPr>
                      <w:kern w:val="2"/>
                      <w:sz w:val="21"/>
                    </w:rPr>
                  </w:pPr>
                  <w:r>
                    <w:rPr>
                      <w:kern w:val="0"/>
                      <w:sz w:val="20"/>
                    </w:rPr>
                    <w:t>9.501</w:t>
                  </w:r>
                </w:p>
              </w:tc>
            </w:tr>
            <w:tr w14:paraId="26A2E88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1523" w:type="dxa"/>
                  <w:tcBorders>
                    <w:top w:val="single" w:color="auto" w:sz="4" w:space="0"/>
                    <w:left w:val="single" w:color="auto" w:sz="8" w:space="0"/>
                    <w:bottom w:val="single" w:color="auto" w:sz="4" w:space="0"/>
                    <w:right w:val="single" w:color="auto" w:sz="4" w:space="0"/>
                  </w:tcBorders>
                  <w:vAlign w:val="center"/>
                </w:tcPr>
                <w:p w14:paraId="0D0DC36B">
                  <w:pPr>
                    <w:spacing w:line="0" w:lineRule="atLeast"/>
                    <w:ind w:left="-105" w:leftChars="-50" w:right="-105" w:rightChars="-50"/>
                    <w:jc w:val="center"/>
                    <w:rPr>
                      <w:color w:val="000000"/>
                      <w:kern w:val="2"/>
                      <w:sz w:val="21"/>
                      <w:szCs w:val="21"/>
                    </w:rPr>
                  </w:pPr>
                  <w:r>
                    <w:rPr>
                      <w:rFonts w:hint="eastAsia"/>
                      <w:color w:val="000000"/>
                      <w:kern w:val="0"/>
                      <w:sz w:val="20"/>
                      <w:szCs w:val="21"/>
                    </w:rPr>
                    <w:t>临时占地</w:t>
                  </w:r>
                </w:p>
              </w:tc>
              <w:tc>
                <w:tcPr>
                  <w:tcW w:w="1535" w:type="dxa"/>
                  <w:tcBorders>
                    <w:top w:val="single" w:color="auto" w:sz="4" w:space="0"/>
                    <w:left w:val="single" w:color="auto" w:sz="4" w:space="0"/>
                    <w:bottom w:val="single" w:color="auto" w:sz="4" w:space="0"/>
                    <w:right w:val="single" w:color="auto" w:sz="4" w:space="0"/>
                  </w:tcBorders>
                  <w:vAlign w:val="center"/>
                </w:tcPr>
                <w:p w14:paraId="5F32F52B">
                  <w:pPr>
                    <w:spacing w:line="0" w:lineRule="atLeast"/>
                    <w:ind w:left="-105" w:leftChars="-50" w:right="-105" w:rightChars="-50"/>
                    <w:jc w:val="center"/>
                    <w:rPr>
                      <w:color w:val="000000"/>
                      <w:kern w:val="2"/>
                      <w:sz w:val="21"/>
                      <w:szCs w:val="21"/>
                    </w:rPr>
                  </w:pPr>
                  <w:r>
                    <w:rPr>
                      <w:rFonts w:hint="eastAsia"/>
                      <w:color w:val="000000"/>
                      <w:kern w:val="0"/>
                      <w:sz w:val="20"/>
                      <w:szCs w:val="21"/>
                    </w:rPr>
                    <w:t>草地</w:t>
                  </w:r>
                </w:p>
              </w:tc>
              <w:tc>
                <w:tcPr>
                  <w:tcW w:w="1420" w:type="dxa"/>
                  <w:tcBorders>
                    <w:top w:val="single" w:color="auto" w:sz="4" w:space="0"/>
                    <w:left w:val="single" w:color="auto" w:sz="4" w:space="0"/>
                    <w:bottom w:val="single" w:color="auto" w:sz="4" w:space="0"/>
                    <w:right w:val="single" w:color="auto" w:sz="4" w:space="0"/>
                  </w:tcBorders>
                  <w:vAlign w:val="center"/>
                </w:tcPr>
                <w:p w14:paraId="264B822C">
                  <w:pPr>
                    <w:spacing w:line="0" w:lineRule="atLeast"/>
                    <w:ind w:left="-105" w:leftChars="-50" w:right="-105" w:rightChars="-50"/>
                    <w:jc w:val="center"/>
                    <w:rPr>
                      <w:kern w:val="2"/>
                      <w:sz w:val="21"/>
                    </w:rPr>
                  </w:pPr>
                  <w:r>
                    <w:rPr>
                      <w:kern w:val="0"/>
                      <w:sz w:val="20"/>
                    </w:rPr>
                    <w:t>92.825</w:t>
                  </w:r>
                </w:p>
              </w:tc>
              <w:tc>
                <w:tcPr>
                  <w:tcW w:w="2545" w:type="dxa"/>
                  <w:tcBorders>
                    <w:top w:val="single" w:color="auto" w:sz="4" w:space="0"/>
                    <w:left w:val="single" w:color="auto" w:sz="4" w:space="0"/>
                    <w:bottom w:val="single" w:color="auto" w:sz="4" w:space="0"/>
                    <w:right w:val="single" w:color="auto" w:sz="4" w:space="0"/>
                  </w:tcBorders>
                  <w:vAlign w:val="center"/>
                </w:tcPr>
                <w:p w14:paraId="1A0171E0">
                  <w:pPr>
                    <w:spacing w:line="0" w:lineRule="atLeast"/>
                    <w:ind w:left="-105" w:leftChars="-50" w:right="-105" w:rightChars="-50"/>
                    <w:jc w:val="center"/>
                    <w:rPr>
                      <w:color w:val="000000"/>
                      <w:kern w:val="2"/>
                      <w:sz w:val="21"/>
                      <w:szCs w:val="21"/>
                    </w:rPr>
                  </w:pPr>
                  <w:r>
                    <w:rPr>
                      <w:kern w:val="0"/>
                      <w:sz w:val="20"/>
                    </w:rPr>
                    <w:t>150</w:t>
                  </w:r>
                </w:p>
              </w:tc>
              <w:tc>
                <w:tcPr>
                  <w:tcW w:w="1766" w:type="dxa"/>
                  <w:tcBorders>
                    <w:top w:val="single" w:color="auto" w:sz="4" w:space="0"/>
                    <w:left w:val="single" w:color="auto" w:sz="4" w:space="0"/>
                    <w:bottom w:val="single" w:color="auto" w:sz="4" w:space="0"/>
                    <w:right w:val="single" w:color="auto" w:sz="8" w:space="0"/>
                  </w:tcBorders>
                  <w:vAlign w:val="center"/>
                </w:tcPr>
                <w:p w14:paraId="096B79E1">
                  <w:pPr>
                    <w:spacing w:line="0" w:lineRule="atLeast"/>
                    <w:ind w:left="-105" w:leftChars="-50" w:right="-105" w:rightChars="-50"/>
                    <w:jc w:val="center"/>
                    <w:rPr>
                      <w:kern w:val="2"/>
                      <w:sz w:val="21"/>
                    </w:rPr>
                  </w:pPr>
                  <w:r>
                    <w:rPr>
                      <w:kern w:val="0"/>
                      <w:sz w:val="20"/>
                    </w:rPr>
                    <w:t>139.238</w:t>
                  </w:r>
                </w:p>
              </w:tc>
            </w:tr>
            <w:tr w14:paraId="2272699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69" w:hRule="atLeast"/>
              </w:trPr>
              <w:tc>
                <w:tcPr>
                  <w:tcW w:w="3058" w:type="dxa"/>
                  <w:gridSpan w:val="2"/>
                  <w:tcBorders>
                    <w:top w:val="single" w:color="auto" w:sz="4" w:space="0"/>
                    <w:left w:val="single" w:color="auto" w:sz="8" w:space="0"/>
                    <w:bottom w:val="single" w:color="auto" w:sz="8" w:space="0"/>
                    <w:right w:val="single" w:color="auto" w:sz="4" w:space="0"/>
                  </w:tcBorders>
                  <w:vAlign w:val="center"/>
                </w:tcPr>
                <w:p w14:paraId="5EB1BC53">
                  <w:pPr>
                    <w:spacing w:line="0" w:lineRule="atLeast"/>
                    <w:ind w:left="-105" w:leftChars="-50" w:right="-105" w:rightChars="-50"/>
                    <w:jc w:val="center"/>
                    <w:rPr>
                      <w:color w:val="000000"/>
                      <w:kern w:val="2"/>
                      <w:sz w:val="21"/>
                      <w:szCs w:val="21"/>
                    </w:rPr>
                  </w:pPr>
                  <w:r>
                    <w:rPr>
                      <w:rFonts w:hint="eastAsia"/>
                      <w:kern w:val="0"/>
                      <w:sz w:val="20"/>
                    </w:rPr>
                    <w:t>合</w:t>
                  </w:r>
                  <w:r>
                    <w:rPr>
                      <w:kern w:val="0"/>
                      <w:sz w:val="20"/>
                    </w:rPr>
                    <w:t xml:space="preserve"> </w:t>
                  </w:r>
                  <w:r>
                    <w:rPr>
                      <w:rFonts w:hint="eastAsia"/>
                      <w:kern w:val="0"/>
                      <w:sz w:val="20"/>
                    </w:rPr>
                    <w:t>计</w:t>
                  </w:r>
                </w:p>
              </w:tc>
              <w:tc>
                <w:tcPr>
                  <w:tcW w:w="1420" w:type="dxa"/>
                  <w:tcBorders>
                    <w:top w:val="single" w:color="auto" w:sz="4" w:space="0"/>
                    <w:left w:val="single" w:color="auto" w:sz="4" w:space="0"/>
                    <w:bottom w:val="single" w:color="auto" w:sz="8" w:space="0"/>
                    <w:right w:val="single" w:color="auto" w:sz="4" w:space="0"/>
                  </w:tcBorders>
                  <w:vAlign w:val="center"/>
                </w:tcPr>
                <w:p w14:paraId="61D7196C">
                  <w:pPr>
                    <w:spacing w:line="0" w:lineRule="atLeast"/>
                    <w:ind w:left="-105" w:leftChars="-50" w:right="-105" w:rightChars="-50"/>
                    <w:jc w:val="center"/>
                    <w:rPr>
                      <w:kern w:val="2"/>
                      <w:sz w:val="21"/>
                      <w:szCs w:val="21"/>
                    </w:rPr>
                  </w:pPr>
                  <w:r>
                    <w:rPr>
                      <w:kern w:val="0"/>
                      <w:sz w:val="20"/>
                    </w:rPr>
                    <w:t>139.6617</w:t>
                  </w:r>
                </w:p>
              </w:tc>
              <w:tc>
                <w:tcPr>
                  <w:tcW w:w="2545" w:type="dxa"/>
                  <w:tcBorders>
                    <w:top w:val="single" w:color="auto" w:sz="4" w:space="0"/>
                    <w:left w:val="single" w:color="auto" w:sz="4" w:space="0"/>
                    <w:bottom w:val="single" w:color="auto" w:sz="8" w:space="0"/>
                    <w:right w:val="single" w:color="auto" w:sz="4" w:space="0"/>
                  </w:tcBorders>
                  <w:vAlign w:val="center"/>
                </w:tcPr>
                <w:p w14:paraId="26CFD250">
                  <w:pPr>
                    <w:spacing w:line="0" w:lineRule="atLeast"/>
                    <w:ind w:left="-105" w:leftChars="-50" w:right="-105" w:rightChars="-50"/>
                    <w:jc w:val="center"/>
                    <w:rPr>
                      <w:kern w:val="2"/>
                      <w:sz w:val="21"/>
                      <w:szCs w:val="21"/>
                    </w:rPr>
                  </w:pPr>
                  <w:r>
                    <w:rPr>
                      <w:rFonts w:hint="eastAsia"/>
                      <w:kern w:val="0"/>
                      <w:sz w:val="20"/>
                      <w:szCs w:val="21"/>
                    </w:rPr>
                    <w:t>—</w:t>
                  </w:r>
                </w:p>
              </w:tc>
              <w:tc>
                <w:tcPr>
                  <w:tcW w:w="1766" w:type="dxa"/>
                  <w:tcBorders>
                    <w:top w:val="single" w:color="auto" w:sz="4" w:space="0"/>
                    <w:left w:val="single" w:color="auto" w:sz="4" w:space="0"/>
                    <w:bottom w:val="single" w:color="auto" w:sz="8" w:space="0"/>
                    <w:right w:val="single" w:color="auto" w:sz="8" w:space="0"/>
                  </w:tcBorders>
                  <w:vAlign w:val="center"/>
                </w:tcPr>
                <w:p w14:paraId="002DA823">
                  <w:pPr>
                    <w:spacing w:line="0" w:lineRule="atLeast"/>
                    <w:ind w:left="-105" w:leftChars="-50" w:right="-105" w:rightChars="-50"/>
                    <w:jc w:val="center"/>
                    <w:rPr>
                      <w:kern w:val="2"/>
                      <w:sz w:val="21"/>
                      <w:szCs w:val="21"/>
                    </w:rPr>
                  </w:pPr>
                  <w:r>
                    <w:rPr>
                      <w:kern w:val="0"/>
                      <w:sz w:val="20"/>
                    </w:rPr>
                    <w:t>148.739</w:t>
                  </w:r>
                </w:p>
              </w:tc>
            </w:tr>
          </w:tbl>
          <w:p w14:paraId="15E3E153">
            <w:pPr>
              <w:spacing w:beforeLines="50"/>
              <w:ind w:firstLine="480" w:firstLineChars="200"/>
              <w:rPr>
                <w:color w:val="000000"/>
                <w:sz w:val="24"/>
                <w:lang w:val="pt-BR"/>
              </w:rPr>
            </w:pPr>
            <w:r>
              <w:rPr>
                <w:rFonts w:hint="eastAsia"/>
                <w:color w:val="000000"/>
                <w:sz w:val="24"/>
                <w:lang w:val="pt-BR"/>
              </w:rPr>
              <w:t>由表</w:t>
            </w:r>
            <w:r>
              <w:rPr>
                <w:color w:val="000000"/>
                <w:sz w:val="24"/>
                <w:lang w:val="pt-BR"/>
              </w:rPr>
              <w:t>22</w:t>
            </w:r>
            <w:r>
              <w:rPr>
                <w:rFonts w:hint="eastAsia"/>
                <w:color w:val="000000"/>
                <w:sz w:val="24"/>
                <w:lang w:val="pt-BR"/>
              </w:rPr>
              <w:t>可知，本工程永久占地合计</w:t>
            </w:r>
            <w:r>
              <w:rPr>
                <w:rFonts w:hint="eastAsia"/>
                <w:sz w:val="24"/>
                <w:lang w:val="pt-BR"/>
              </w:rPr>
              <w:t>生物损失量为</w:t>
            </w:r>
            <w:r>
              <w:rPr>
                <w:sz w:val="24"/>
                <w:lang w:val="pt-BR"/>
              </w:rPr>
              <w:t>9.501t</w:t>
            </w:r>
            <w:r>
              <w:rPr>
                <w:rFonts w:hint="eastAsia"/>
                <w:sz w:val="24"/>
                <w:lang w:val="pt-BR"/>
              </w:rPr>
              <w:t>，生物损失量相对于整个评价区域较小，不会造成评价区域植物生物量的显着减少。除永久占地外，施工生产区、施工道路、直埋集电线路、临时堆土场等会临时占用土地，本工程临时占用草地生物损失量约为</w:t>
            </w:r>
            <w:r>
              <w:rPr>
                <w:sz w:val="24"/>
                <w:lang w:val="pt-BR"/>
              </w:rPr>
              <w:t>139.238t</w:t>
            </w:r>
            <w:r>
              <w:rPr>
                <w:rFonts w:hint="eastAsia"/>
                <w:sz w:val="24"/>
                <w:lang w:val="pt-BR"/>
              </w:rPr>
              <w:t>，占评价区域总生物量的</w:t>
            </w:r>
            <w:r>
              <w:rPr>
                <w:sz w:val="24"/>
                <w:lang w:val="pt-BR"/>
              </w:rPr>
              <w:t>0.60%</w:t>
            </w:r>
            <w:r>
              <w:rPr>
                <w:rFonts w:hint="eastAsia"/>
                <w:sz w:val="24"/>
                <w:lang w:val="pt-BR"/>
              </w:rPr>
              <w:t>，比例较</w:t>
            </w:r>
            <w:r>
              <w:rPr>
                <w:rFonts w:hint="eastAsia"/>
                <w:color w:val="000000"/>
                <w:sz w:val="24"/>
                <w:lang w:val="pt-BR"/>
              </w:rPr>
              <w:t>小，施工结束后经采取植被恢复措施弥补临时占地造成的损失，因此其影响是暂时的。</w:t>
            </w:r>
          </w:p>
          <w:p w14:paraId="0E6549AE">
            <w:pPr>
              <w:ind w:firstLine="480" w:firstLineChars="200"/>
              <w:rPr>
                <w:color w:val="000000"/>
                <w:sz w:val="24"/>
                <w:lang w:val="pt-BR"/>
              </w:rPr>
            </w:pPr>
            <w:r>
              <w:rPr>
                <w:rFonts w:hint="eastAsia"/>
                <w:color w:val="000000"/>
                <w:sz w:val="24"/>
                <w:lang w:val="pt-BR"/>
              </w:rPr>
              <w:t>②</w:t>
            </w:r>
            <w:r>
              <w:rPr>
                <w:color w:val="000000"/>
                <w:sz w:val="24"/>
                <w:lang w:val="pt-BR"/>
              </w:rPr>
              <w:t xml:space="preserve"> </w:t>
            </w:r>
            <w:r>
              <w:rPr>
                <w:rFonts w:hint="eastAsia"/>
                <w:color w:val="000000"/>
                <w:sz w:val="24"/>
                <w:lang w:val="pt-BR"/>
              </w:rPr>
              <w:t>植被覆盖率影响分析</w:t>
            </w:r>
          </w:p>
          <w:p w14:paraId="49779F99">
            <w:pPr>
              <w:ind w:firstLine="480" w:firstLineChars="200"/>
              <w:rPr>
                <w:color w:val="000000"/>
                <w:sz w:val="24"/>
                <w:lang w:val="pt-BR"/>
              </w:rPr>
            </w:pPr>
            <w:r>
              <w:rPr>
                <w:rFonts w:hint="eastAsia"/>
                <w:color w:val="000000"/>
                <w:sz w:val="24"/>
                <w:lang w:val="pt-BR"/>
              </w:rPr>
              <w:t>新建风机间的施工检修占地类型主要为植被覆盖度低的草地，道路建设尽量避绕植被覆盖度高的草地；针对实际施工过程中确实无法避绕的区域建议进行植被移栽工作，施工结束后及时对道路临时占地进行植被恢复工作，同时要求车辆行驶严格按照规定的路线行驶，不碾压场区内耕地，减少植被破坏。</w:t>
            </w:r>
          </w:p>
          <w:p w14:paraId="17E7E77C">
            <w:pPr>
              <w:ind w:firstLine="480" w:firstLineChars="200"/>
              <w:rPr>
                <w:color w:val="000000"/>
                <w:sz w:val="24"/>
                <w:lang w:val="pt-BR"/>
              </w:rPr>
            </w:pPr>
            <w:r>
              <w:rPr>
                <w:rFonts w:hint="eastAsia"/>
                <w:color w:val="000000"/>
                <w:sz w:val="24"/>
                <w:lang w:val="pt-BR"/>
              </w:rPr>
              <w:t>另外，施工期造成的扬尘污染会影响周边植物的生长和生存，但经采取洒水抑尘等措施后对植物的影响很小，且施工结束后该污染物也随即消失。</w:t>
            </w:r>
          </w:p>
          <w:p w14:paraId="432AAAE8">
            <w:pPr>
              <w:ind w:firstLine="480" w:firstLineChars="200"/>
              <w:rPr>
                <w:color w:val="000000"/>
                <w:sz w:val="24"/>
                <w:lang w:val="pt-BR"/>
              </w:rPr>
            </w:pPr>
            <w:r>
              <w:rPr>
                <w:rFonts w:hint="eastAsia"/>
                <w:color w:val="000000"/>
                <w:sz w:val="24"/>
                <w:lang w:val="pt-BR"/>
              </w:rPr>
              <w:t>综上所述，在采取加强管理、临时占地植被恢复等措施后，施工期对植被影响可以控制在可接受程度内。</w:t>
            </w:r>
          </w:p>
          <w:p w14:paraId="28584B13">
            <w:pPr>
              <w:ind w:firstLine="480" w:firstLineChars="200"/>
              <w:rPr>
                <w:color w:val="000000"/>
                <w:sz w:val="24"/>
                <w:lang w:val="pt-BR"/>
              </w:rPr>
            </w:pPr>
            <w:r>
              <w:rPr>
                <w:rFonts w:hint="eastAsia"/>
                <w:color w:val="000000"/>
                <w:sz w:val="24"/>
                <w:lang w:val="pt-BR"/>
              </w:rPr>
              <w:t>（</w:t>
            </w:r>
            <w:r>
              <w:rPr>
                <w:color w:val="000000"/>
                <w:sz w:val="24"/>
                <w:lang w:val="pt-BR"/>
              </w:rPr>
              <w:t>2</w:t>
            </w:r>
            <w:r>
              <w:rPr>
                <w:rFonts w:hint="eastAsia"/>
                <w:color w:val="000000"/>
                <w:sz w:val="24"/>
                <w:lang w:val="pt-BR"/>
              </w:rPr>
              <w:t>）对动物的影响分析</w:t>
            </w:r>
          </w:p>
          <w:p w14:paraId="5E500164">
            <w:pPr>
              <w:ind w:firstLine="480" w:firstLineChars="200"/>
              <w:rPr>
                <w:color w:val="000000"/>
                <w:sz w:val="24"/>
                <w:lang w:val="pt-BR"/>
              </w:rPr>
            </w:pPr>
            <w:r>
              <w:rPr>
                <w:rFonts w:hint="eastAsia"/>
                <w:color w:val="000000"/>
                <w:sz w:val="24"/>
                <w:lang w:val="pt-BR"/>
              </w:rPr>
              <w:t>施工期永久占地和临时占地对动物的影响主要为对动物栖息、觅食地所在生境的破坏，施工区植被的破坏、施工设备产生的噪声、施工人员以及各施工机械的干扰等均会使施工区及其周边环境发生改变，迫使动物迁徙至它处，使施工范围内动物的种类和数量减少。由于本评价区域野生动物很少，主要的是鼠类和鸟类，其迁徙和活动能力较强，能迁移至附近受干扰小的区域，对整个区域内的动物数量影响不大。</w:t>
            </w:r>
          </w:p>
          <w:p w14:paraId="2F6C9569">
            <w:pPr>
              <w:ind w:firstLine="480" w:firstLineChars="200"/>
              <w:rPr>
                <w:color w:val="000000"/>
                <w:sz w:val="24"/>
                <w:lang w:val="pt-BR"/>
              </w:rPr>
            </w:pPr>
            <w:r>
              <w:rPr>
                <w:rFonts w:hint="eastAsia"/>
                <w:color w:val="000000"/>
                <w:sz w:val="24"/>
                <w:lang w:val="pt-BR"/>
              </w:rPr>
              <w:t>施工期间，道路修建、机械的振动、噪声等施工人员活动，均会惊吓、干扰鸟类，破坏其原有生活环境，使施工范围内的鸟类无法在此觅食、筑巢和繁殖，从而影响施工区域内的鸟群数量。由于评价区域鸟类大多为小型鸟类，其本身具有躲避危险的本能，可通过迁移和飞翔至场址区域内与其生活环境类似的区域避免工程对其造成的影响。故本项目施工对区域内的鸟类影响不大。</w:t>
            </w:r>
          </w:p>
          <w:p w14:paraId="1DCAEBEB">
            <w:pPr>
              <w:ind w:firstLine="480" w:firstLineChars="200"/>
              <w:rPr>
                <w:color w:val="000000"/>
                <w:sz w:val="24"/>
                <w:lang w:val="pt-BR"/>
              </w:rPr>
            </w:pPr>
            <w:r>
              <w:rPr>
                <w:rFonts w:hint="eastAsia"/>
                <w:color w:val="000000"/>
                <w:sz w:val="24"/>
                <w:lang w:val="pt-BR"/>
              </w:rPr>
              <w:t>（</w:t>
            </w:r>
            <w:r>
              <w:rPr>
                <w:color w:val="000000"/>
                <w:sz w:val="24"/>
                <w:lang w:val="pt-BR"/>
              </w:rPr>
              <w:t>3</w:t>
            </w:r>
            <w:r>
              <w:rPr>
                <w:rFonts w:hint="eastAsia"/>
                <w:color w:val="000000"/>
                <w:sz w:val="24"/>
                <w:lang w:val="pt-BR"/>
              </w:rPr>
              <w:t>）对生态系统影响分析</w:t>
            </w:r>
          </w:p>
          <w:p w14:paraId="6FA145EB">
            <w:pPr>
              <w:ind w:firstLine="480" w:firstLineChars="200"/>
              <w:rPr>
                <w:color w:val="000000"/>
                <w:sz w:val="24"/>
                <w:lang w:val="pt-BR"/>
              </w:rPr>
            </w:pPr>
            <w:r>
              <w:rPr>
                <w:rFonts w:hint="eastAsia"/>
                <w:color w:val="000000"/>
                <w:sz w:val="24"/>
                <w:lang w:val="pt-BR"/>
              </w:rPr>
              <w:t>施工期永久占地、临时占地对植被以及动物生境产生影响，施工活动对动物产生惊扰影响，从整体上影响评价范围生态系统，本项目施工活动相对于整个评价范围，占地较少，对整个生态系统功能、类型、结构、过程等产生影响较小。</w:t>
            </w:r>
          </w:p>
          <w:p w14:paraId="78FA0DA3">
            <w:pPr>
              <w:ind w:firstLine="480" w:firstLineChars="200"/>
              <w:rPr>
                <w:color w:val="000000"/>
                <w:sz w:val="24"/>
                <w:lang w:val="pt-BR"/>
              </w:rPr>
            </w:pPr>
            <w:r>
              <w:rPr>
                <w:rFonts w:hint="eastAsia"/>
                <w:color w:val="000000"/>
                <w:sz w:val="24"/>
                <w:lang w:val="pt-BR"/>
              </w:rPr>
              <w:t>（</w:t>
            </w:r>
            <w:r>
              <w:rPr>
                <w:color w:val="000000"/>
                <w:sz w:val="24"/>
                <w:lang w:val="pt-BR"/>
              </w:rPr>
              <w:t>4</w:t>
            </w:r>
            <w:r>
              <w:rPr>
                <w:rFonts w:hint="eastAsia"/>
                <w:color w:val="000000"/>
                <w:sz w:val="24"/>
                <w:lang w:val="pt-BR"/>
              </w:rPr>
              <w:t>）水土流失影响分析</w:t>
            </w:r>
          </w:p>
          <w:p w14:paraId="2DD08A25">
            <w:pPr>
              <w:ind w:firstLine="480" w:firstLineChars="200"/>
              <w:rPr>
                <w:color w:val="000000"/>
                <w:sz w:val="24"/>
                <w:lang w:val="pt-BR"/>
              </w:rPr>
            </w:pPr>
            <w:r>
              <w:rPr>
                <w:rFonts w:hint="eastAsia"/>
                <w:color w:val="000000"/>
                <w:sz w:val="24"/>
                <w:lang w:val="pt-BR"/>
              </w:rPr>
              <w:t>施工期场地的平整会产生建筑垃圾及弃渣，土建工程开挖等活动对原地貌破坏和扰动较强烈，扰动后将形成新的地貌，如基坑、临时堆土等，这些再塑地貌土体结构松散，同时由于开挖表土破坏了原有地貌植被，使地面裸露，土壤结构改变、土壤含水率下降，地表植被完全消失，受风蚀及水蚀作用均较强烈。</w:t>
            </w:r>
          </w:p>
          <w:p w14:paraId="7454CFA1">
            <w:pPr>
              <w:ind w:firstLine="480" w:firstLineChars="200"/>
              <w:rPr>
                <w:color w:val="000000"/>
                <w:sz w:val="24"/>
                <w:lang w:val="pt-BR"/>
              </w:rPr>
            </w:pPr>
            <w:r>
              <w:rPr>
                <w:rFonts w:hint="eastAsia"/>
                <w:color w:val="000000"/>
                <w:sz w:val="24"/>
                <w:lang w:val="pt-BR"/>
              </w:rPr>
              <w:t>（</w:t>
            </w:r>
            <w:r>
              <w:rPr>
                <w:color w:val="000000"/>
                <w:sz w:val="24"/>
                <w:lang w:val="pt-BR"/>
              </w:rPr>
              <w:t>5</w:t>
            </w:r>
            <w:r>
              <w:rPr>
                <w:rFonts w:hint="eastAsia"/>
                <w:color w:val="000000"/>
                <w:sz w:val="24"/>
                <w:lang w:val="pt-BR"/>
              </w:rPr>
              <w:t>）土地利用类型影响分析</w:t>
            </w:r>
          </w:p>
          <w:p w14:paraId="79C1FAA7">
            <w:pPr>
              <w:ind w:firstLine="480" w:firstLineChars="200"/>
              <w:rPr>
                <w:sz w:val="24"/>
                <w:lang w:val="pt-BR"/>
              </w:rPr>
            </w:pPr>
            <w:r>
              <w:rPr>
                <w:rFonts w:hint="eastAsia"/>
                <w:sz w:val="24"/>
                <w:lang w:val="pt-BR"/>
              </w:rPr>
              <w:t>本评价区域总面积为</w:t>
            </w:r>
            <w:r>
              <w:rPr>
                <w:sz w:val="24"/>
                <w:lang w:val="pt-BR"/>
              </w:rPr>
              <w:t>15532.22hm</w:t>
            </w:r>
            <w:r>
              <w:rPr>
                <w:sz w:val="24"/>
                <w:vertAlign w:val="superscript"/>
                <w:lang w:val="pt-BR"/>
              </w:rPr>
              <w:t>2</w:t>
            </w:r>
            <w:r>
              <w:rPr>
                <w:rFonts w:hint="eastAsia"/>
                <w:sz w:val="24"/>
                <w:lang w:val="pt-BR"/>
              </w:rPr>
              <w:t>，土地利用类型以草地为主。永久占地包括风力发电机基础占地、箱式变压器基础占地、升压站占地、进站道路占地、架空线路基础占地等永久占地，工程永久占地为</w:t>
            </w:r>
            <w:r>
              <w:rPr>
                <w:sz w:val="24"/>
                <w:lang w:val="pt-BR"/>
              </w:rPr>
              <w:t>9.9016hm</w:t>
            </w:r>
            <w:r>
              <w:rPr>
                <w:sz w:val="24"/>
                <w:vertAlign w:val="superscript"/>
                <w:lang w:val="pt-BR"/>
              </w:rPr>
              <w:t>2</w:t>
            </w:r>
            <w:r>
              <w:rPr>
                <w:rFonts w:hint="eastAsia"/>
                <w:sz w:val="24"/>
                <w:lang w:val="pt-BR"/>
              </w:rPr>
              <w:t>，占地类型基本为草地，由原来的草地转变为工业用地，但永久占地仅占评价区域总面积的</w:t>
            </w:r>
            <w:r>
              <w:rPr>
                <w:sz w:val="24"/>
                <w:lang w:val="pt-BR"/>
              </w:rPr>
              <w:t>0.06%</w:t>
            </w:r>
            <w:r>
              <w:rPr>
                <w:rFonts w:hint="eastAsia"/>
                <w:sz w:val="24"/>
                <w:lang w:val="pt-BR"/>
              </w:rPr>
              <w:t>，土地利用类型面积改变较小。</w:t>
            </w:r>
          </w:p>
          <w:p w14:paraId="55F7567F">
            <w:pPr>
              <w:ind w:firstLine="480" w:firstLineChars="200"/>
              <w:rPr>
                <w:color w:val="000000"/>
                <w:sz w:val="24"/>
                <w:lang w:val="pt-BR"/>
              </w:rPr>
            </w:pPr>
            <w:r>
              <w:rPr>
                <w:rFonts w:hint="eastAsia"/>
                <w:sz w:val="24"/>
                <w:lang w:val="pt-BR"/>
              </w:rPr>
              <w:t>除永久占地外，临时占地包括风电场铁塔架设施工占地、检修道路施工占地、施工临时建筑占地、施工吊装场地、施工道路临时占地等，本工程临时占地</w:t>
            </w:r>
            <w:r>
              <w:rPr>
                <w:sz w:val="24"/>
                <w:lang w:val="pt-BR"/>
              </w:rPr>
              <w:t>126.2224hm</w:t>
            </w:r>
            <w:r>
              <w:rPr>
                <w:sz w:val="24"/>
                <w:vertAlign w:val="superscript"/>
                <w:lang w:val="pt-BR"/>
              </w:rPr>
              <w:t>2</w:t>
            </w:r>
            <w:r>
              <w:rPr>
                <w:rFonts w:hint="eastAsia"/>
                <w:sz w:val="24"/>
                <w:lang w:val="pt-BR"/>
              </w:rPr>
              <w:t>，</w:t>
            </w:r>
            <w:r>
              <w:rPr>
                <w:rFonts w:hint="eastAsia"/>
                <w:color w:val="000000"/>
                <w:sz w:val="24"/>
                <w:lang w:val="pt-BR"/>
              </w:rPr>
              <w:t>土地利用类型由原草地转变为工业用地，但施工结束后，经采取植被恢复保护措施后，该临时占地一般在</w:t>
            </w:r>
            <w:r>
              <w:rPr>
                <w:color w:val="000000"/>
                <w:sz w:val="24"/>
                <w:lang w:val="pt-BR"/>
              </w:rPr>
              <w:t>2</w:t>
            </w:r>
            <w:r>
              <w:rPr>
                <w:rFonts w:hint="eastAsia" w:ascii="宋体" w:hAnsi="宋体"/>
                <w:color w:val="000000"/>
                <w:sz w:val="24"/>
                <w:lang w:val="pt-BR"/>
              </w:rPr>
              <w:t>～</w:t>
            </w:r>
            <w:r>
              <w:rPr>
                <w:color w:val="000000"/>
                <w:sz w:val="24"/>
                <w:lang w:val="pt-BR"/>
              </w:rPr>
              <w:t>3</w:t>
            </w:r>
            <w:r>
              <w:rPr>
                <w:rFonts w:hint="eastAsia"/>
                <w:color w:val="000000"/>
                <w:sz w:val="24"/>
                <w:lang w:val="pt-BR"/>
              </w:rPr>
              <w:t>年内基本可恢复原有土地利用功能。因此，本项目施工期对土地利用功能影响不大。</w:t>
            </w:r>
          </w:p>
          <w:p w14:paraId="7AD2691E">
            <w:pPr>
              <w:ind w:firstLine="480" w:firstLineChars="200"/>
              <w:rPr>
                <w:color w:val="000000"/>
                <w:sz w:val="24"/>
                <w:lang w:val="pt-BR"/>
              </w:rPr>
            </w:pPr>
          </w:p>
          <w:p w14:paraId="4CBF0BD6">
            <w:pPr>
              <w:ind w:firstLine="480" w:firstLineChars="200"/>
              <w:rPr>
                <w:color w:val="000000"/>
                <w:sz w:val="24"/>
                <w:lang w:val="pt-BR"/>
              </w:rPr>
            </w:pPr>
          </w:p>
          <w:p w14:paraId="28DBEC63">
            <w:pPr>
              <w:ind w:firstLine="480" w:firstLineChars="200"/>
              <w:rPr>
                <w:color w:val="000000"/>
                <w:sz w:val="24"/>
                <w:lang w:val="pt-BR"/>
              </w:rPr>
            </w:pPr>
          </w:p>
          <w:p w14:paraId="1E963134">
            <w:pPr>
              <w:ind w:firstLine="480" w:firstLineChars="200"/>
              <w:rPr>
                <w:color w:val="000000"/>
                <w:sz w:val="24"/>
                <w:lang w:val="pt-BR"/>
              </w:rPr>
            </w:pPr>
          </w:p>
          <w:p w14:paraId="435BC938">
            <w:pPr>
              <w:ind w:firstLine="480" w:firstLineChars="200"/>
              <w:rPr>
                <w:color w:val="000000"/>
                <w:sz w:val="24"/>
                <w:lang w:val="pt-BR"/>
              </w:rPr>
            </w:pPr>
          </w:p>
          <w:p w14:paraId="7680F807">
            <w:pPr>
              <w:ind w:firstLine="480" w:firstLineChars="200"/>
              <w:rPr>
                <w:color w:val="000000"/>
                <w:sz w:val="24"/>
                <w:lang w:val="pt-BR"/>
              </w:rPr>
            </w:pPr>
          </w:p>
          <w:p w14:paraId="6FB521AA">
            <w:pPr>
              <w:ind w:firstLine="480" w:firstLineChars="200"/>
              <w:rPr>
                <w:color w:val="000000"/>
                <w:sz w:val="24"/>
                <w:lang w:val="pt-BR"/>
              </w:rPr>
            </w:pPr>
          </w:p>
          <w:p w14:paraId="3ABAA275">
            <w:pPr>
              <w:ind w:firstLine="480" w:firstLineChars="200"/>
              <w:rPr>
                <w:color w:val="000000"/>
                <w:sz w:val="24"/>
                <w:lang w:val="pt-BR"/>
              </w:rPr>
            </w:pPr>
          </w:p>
          <w:p w14:paraId="3CD1C9BB">
            <w:pPr>
              <w:ind w:firstLine="480" w:firstLineChars="200"/>
              <w:rPr>
                <w:color w:val="000000"/>
                <w:sz w:val="24"/>
                <w:lang w:val="pt-BR"/>
              </w:rPr>
            </w:pPr>
          </w:p>
          <w:p w14:paraId="265C69A9">
            <w:pPr>
              <w:ind w:firstLine="480" w:firstLineChars="200"/>
              <w:rPr>
                <w:color w:val="000000"/>
                <w:sz w:val="24"/>
                <w:lang w:val="pt-BR"/>
              </w:rPr>
            </w:pPr>
          </w:p>
          <w:p w14:paraId="5752C498">
            <w:pPr>
              <w:ind w:firstLine="480" w:firstLineChars="200"/>
              <w:rPr>
                <w:color w:val="000000"/>
                <w:sz w:val="24"/>
                <w:lang w:val="pt-BR"/>
              </w:rPr>
            </w:pPr>
          </w:p>
          <w:p w14:paraId="7D405774">
            <w:pPr>
              <w:pStyle w:val="116"/>
            </w:pPr>
          </w:p>
        </w:tc>
      </w:tr>
      <w:tr w14:paraId="2CF079C9">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0258" w:hRule="atLeast"/>
          <w:jc w:val="center"/>
        </w:trPr>
        <w:tc>
          <w:tcPr>
            <w:tcW w:w="9072" w:type="dxa"/>
            <w:tcBorders>
              <w:top w:val="single" w:color="auto" w:sz="8" w:space="0"/>
              <w:left w:val="single" w:color="auto" w:sz="8" w:space="0"/>
              <w:bottom w:val="single" w:color="auto" w:sz="8" w:space="0"/>
              <w:right w:val="single" w:color="auto" w:sz="8" w:space="0"/>
            </w:tcBorders>
          </w:tcPr>
          <w:p w14:paraId="309632BB">
            <w:pPr>
              <w:rPr>
                <w:b/>
                <w:color w:val="000000"/>
                <w:sz w:val="24"/>
              </w:rPr>
            </w:pPr>
            <w:r>
              <w:rPr>
                <w:rFonts w:hint="eastAsia"/>
                <w:b/>
                <w:color w:val="000000"/>
                <w:sz w:val="24"/>
              </w:rPr>
              <w:t>运营期环境影响分析</w:t>
            </w:r>
          </w:p>
          <w:p w14:paraId="43DC50B5">
            <w:pPr>
              <w:spacing w:beforeLines="50"/>
              <w:ind w:firstLine="480" w:firstLineChars="200"/>
              <w:rPr>
                <w:color w:val="000000"/>
                <w:sz w:val="24"/>
              </w:rPr>
            </w:pPr>
            <w:r>
              <w:rPr>
                <w:color w:val="000000"/>
                <w:sz w:val="24"/>
              </w:rPr>
              <w:t>1</w:t>
            </w:r>
            <w:r>
              <w:rPr>
                <w:rFonts w:hint="eastAsia"/>
                <w:color w:val="000000"/>
                <w:sz w:val="24"/>
              </w:rPr>
              <w:t>、环境空气影响分析</w:t>
            </w:r>
          </w:p>
          <w:p w14:paraId="63B06EA8">
            <w:pPr>
              <w:ind w:firstLine="480" w:firstLineChars="200"/>
              <w:rPr>
                <w:color w:val="000000"/>
                <w:sz w:val="24"/>
              </w:rPr>
            </w:pPr>
            <w:r>
              <w:rPr>
                <w:rFonts w:hint="eastAsia"/>
                <w:color w:val="000000"/>
                <w:sz w:val="24"/>
              </w:rPr>
              <w:t>本项目运营期产生的大气污染物为升压站食堂油烟和道路扬尘。</w:t>
            </w:r>
          </w:p>
          <w:p w14:paraId="04FB556B">
            <w:pPr>
              <w:ind w:firstLine="480" w:firstLineChars="200"/>
              <w:rPr>
                <w:color w:val="000000"/>
                <w:sz w:val="24"/>
              </w:rPr>
            </w:pPr>
            <w:r>
              <w:rPr>
                <w:rFonts w:hint="eastAsia"/>
                <w:color w:val="000000"/>
                <w:sz w:val="24"/>
              </w:rPr>
              <w:t>（</w:t>
            </w:r>
            <w:r>
              <w:rPr>
                <w:color w:val="000000"/>
                <w:sz w:val="24"/>
              </w:rPr>
              <w:t>1</w:t>
            </w:r>
            <w:r>
              <w:rPr>
                <w:rFonts w:hint="eastAsia"/>
                <w:color w:val="000000"/>
                <w:sz w:val="24"/>
              </w:rPr>
              <w:t>）升压站食堂油烟</w:t>
            </w:r>
          </w:p>
          <w:p w14:paraId="3C8F7D8E">
            <w:pPr>
              <w:ind w:firstLine="480" w:firstLineChars="200"/>
              <w:rPr>
                <w:color w:val="000000"/>
                <w:sz w:val="24"/>
              </w:rPr>
            </w:pPr>
            <w:r>
              <w:rPr>
                <w:rFonts w:hint="eastAsia"/>
                <w:color w:val="000000"/>
                <w:sz w:val="24"/>
              </w:rPr>
              <w:t>经核算，食堂油烟经油烟净化器处理后油烟的排放浓度为</w:t>
            </w:r>
            <w:r>
              <w:rPr>
                <w:color w:val="000000"/>
                <w:sz w:val="24"/>
              </w:rPr>
              <w:t>1.80mg/m</w:t>
            </w:r>
            <w:r>
              <w:rPr>
                <w:color w:val="000000"/>
                <w:sz w:val="24"/>
                <w:vertAlign w:val="superscript"/>
              </w:rPr>
              <w:t>3</w:t>
            </w:r>
            <w:r>
              <w:rPr>
                <w:rFonts w:hint="eastAsia"/>
                <w:color w:val="000000"/>
                <w:sz w:val="24"/>
              </w:rPr>
              <w:t>，烟气经专用烟道引致楼顶排放，满足《饮食业油烟排放标准（试行）》（</w:t>
            </w:r>
            <w:r>
              <w:rPr>
                <w:color w:val="000000"/>
                <w:sz w:val="24"/>
              </w:rPr>
              <w:t>GB18483-2001</w:t>
            </w:r>
            <w:r>
              <w:rPr>
                <w:rFonts w:hint="eastAsia"/>
                <w:color w:val="000000"/>
                <w:sz w:val="24"/>
              </w:rPr>
              <w:t>）中表</w:t>
            </w:r>
            <w:r>
              <w:rPr>
                <w:color w:val="000000"/>
                <w:sz w:val="24"/>
              </w:rPr>
              <w:t>2</w:t>
            </w:r>
            <w:r>
              <w:rPr>
                <w:rFonts w:hint="eastAsia"/>
                <w:color w:val="000000"/>
                <w:sz w:val="24"/>
              </w:rPr>
              <w:t>中规定最高允许排放浓度（</w:t>
            </w:r>
            <w:r>
              <w:rPr>
                <w:color w:val="000000"/>
                <w:sz w:val="24"/>
              </w:rPr>
              <w:t>2.0mg/m</w:t>
            </w:r>
            <w:r>
              <w:rPr>
                <w:color w:val="000000"/>
                <w:sz w:val="24"/>
                <w:vertAlign w:val="superscript"/>
              </w:rPr>
              <w:t>3</w:t>
            </w:r>
            <w:r>
              <w:rPr>
                <w:rFonts w:hint="eastAsia"/>
                <w:color w:val="000000"/>
                <w:sz w:val="24"/>
              </w:rPr>
              <w:t>）标准要求，和对最低去除效率</w:t>
            </w:r>
            <w:r>
              <w:rPr>
                <w:color w:val="000000"/>
                <w:sz w:val="24"/>
              </w:rPr>
              <w:t>60%</w:t>
            </w:r>
            <w:r>
              <w:rPr>
                <w:rFonts w:hint="eastAsia"/>
                <w:color w:val="000000"/>
                <w:sz w:val="24"/>
              </w:rPr>
              <w:t>的要求，项目所在地风速较大，扩散条件好，油烟对周围环境影响较小。</w:t>
            </w:r>
          </w:p>
          <w:p w14:paraId="632512ED">
            <w:pPr>
              <w:ind w:firstLine="480" w:firstLineChars="200"/>
              <w:rPr>
                <w:color w:val="000000"/>
                <w:sz w:val="24"/>
              </w:rPr>
            </w:pPr>
            <w:r>
              <w:rPr>
                <w:rFonts w:hint="eastAsia"/>
                <w:color w:val="000000"/>
                <w:sz w:val="24"/>
              </w:rPr>
              <w:t>（</w:t>
            </w:r>
            <w:r>
              <w:rPr>
                <w:color w:val="000000"/>
                <w:sz w:val="24"/>
              </w:rPr>
              <w:t>2</w:t>
            </w:r>
            <w:r>
              <w:rPr>
                <w:rFonts w:hint="eastAsia"/>
                <w:color w:val="000000"/>
                <w:sz w:val="24"/>
              </w:rPr>
              <w:t>）</w:t>
            </w:r>
            <w:r>
              <w:rPr>
                <w:rFonts w:hint="eastAsia"/>
                <w:sz w:val="24"/>
              </w:rPr>
              <w:t>道路扬尘</w:t>
            </w:r>
          </w:p>
          <w:p w14:paraId="62BBAD96">
            <w:pPr>
              <w:ind w:firstLine="480" w:firstLineChars="200"/>
              <w:rPr>
                <w:color w:val="000000"/>
                <w:sz w:val="24"/>
              </w:rPr>
            </w:pPr>
            <w:r>
              <w:rPr>
                <w:rFonts w:hint="eastAsia"/>
                <w:color w:val="000000"/>
                <w:sz w:val="24"/>
              </w:rPr>
              <w:t>厂区内检修道路为碎石路面，车辆通过时产生少量扬尘，主要污染物为颗粒物，若不采取措施，将增加空气中颗粒物的浓度，从而影响环境空气质量，为减少道路扬尘对周围环境空气的影响，采取以下措施：在大风等不利气象条件下禁止车辆在易起尘路段行驶；常规气象条件下应限制车速并加强日常管理以减少扬尘，同时在巡视检修车辆进场前利用洒水车对站区道路进行洒水抑尘。经采取以上措施后，运营期道路扬尘对环境空气质量影响较小。</w:t>
            </w:r>
          </w:p>
          <w:p w14:paraId="41BE8164">
            <w:pPr>
              <w:ind w:firstLine="480" w:firstLineChars="200"/>
              <w:rPr>
                <w:color w:val="000000"/>
                <w:sz w:val="24"/>
              </w:rPr>
            </w:pPr>
            <w:r>
              <w:rPr>
                <w:color w:val="000000"/>
                <w:sz w:val="24"/>
              </w:rPr>
              <w:t>2</w:t>
            </w:r>
            <w:r>
              <w:rPr>
                <w:rFonts w:hint="eastAsia"/>
                <w:color w:val="000000"/>
                <w:sz w:val="24"/>
              </w:rPr>
              <w:t>、水环境影响分析</w:t>
            </w:r>
          </w:p>
          <w:p w14:paraId="0C5E7246">
            <w:pPr>
              <w:ind w:firstLine="480" w:firstLineChars="200"/>
              <w:rPr>
                <w:sz w:val="24"/>
              </w:rPr>
            </w:pPr>
            <w:r>
              <w:rPr>
                <w:rFonts w:hint="eastAsia"/>
                <w:sz w:val="24"/>
              </w:rPr>
              <w:t>本项目产生的废水为升压站产生的生活污水，生活污水采用收集后集中处理后回用于绿化的措施。项目生活污水经隔油池、化粪池、地埋式一体化污水处理设备处理后回用于厂区绿化等，不外排。经水量核算，生活污水日产生量为</w:t>
            </w:r>
            <w:r>
              <w:rPr>
                <w:color w:val="FF0000"/>
                <w:sz w:val="24"/>
              </w:rPr>
              <w:t>0.4m</w:t>
            </w:r>
            <w:r>
              <w:rPr>
                <w:color w:val="FF0000"/>
                <w:sz w:val="24"/>
                <w:vertAlign w:val="superscript"/>
              </w:rPr>
              <w:t>3</w:t>
            </w:r>
            <w:r>
              <w:rPr>
                <w:color w:val="FF0000"/>
                <w:sz w:val="24"/>
              </w:rPr>
              <w:t>/d</w:t>
            </w:r>
            <w:r>
              <w:rPr>
                <w:rFonts w:hint="eastAsia"/>
                <w:sz w:val="24"/>
              </w:rPr>
              <w:t>，则年产生量为</w:t>
            </w:r>
            <w:r>
              <w:rPr>
                <w:sz w:val="24"/>
              </w:rPr>
              <w:t>144m</w:t>
            </w:r>
            <w:r>
              <w:rPr>
                <w:sz w:val="24"/>
                <w:vertAlign w:val="superscript"/>
              </w:rPr>
              <w:t>3</w:t>
            </w:r>
            <w:r>
              <w:rPr>
                <w:sz w:val="24"/>
              </w:rPr>
              <w:t>/a</w:t>
            </w:r>
            <w:r>
              <w:rPr>
                <w:rFonts w:hint="eastAsia"/>
                <w:sz w:val="24"/>
              </w:rPr>
              <w:t>。处理工艺采用隔油沉淀—厌氧—接触氧化—沉淀消毒组合工艺。本项目生活污水经废水处理设施处理后其出水水质可达《城市污水再生利用</w:t>
            </w:r>
            <w:r>
              <w:rPr>
                <w:sz w:val="24"/>
              </w:rPr>
              <w:t xml:space="preserve"> </w:t>
            </w:r>
            <w:r>
              <w:rPr>
                <w:rFonts w:hint="eastAsia"/>
                <w:sz w:val="24"/>
              </w:rPr>
              <w:t>城市杂用水水质标准》（</w:t>
            </w:r>
            <w:r>
              <w:rPr>
                <w:sz w:val="24"/>
              </w:rPr>
              <w:t>GB/T18920-2002</w:t>
            </w:r>
            <w:r>
              <w:rPr>
                <w:rFonts w:hint="eastAsia"/>
                <w:sz w:val="24"/>
              </w:rPr>
              <w:t>）标准后，处理后夏季直接回用于场区绿化，冬季储存于</w:t>
            </w:r>
            <w:r>
              <w:rPr>
                <w:color w:val="FF0000"/>
                <w:sz w:val="24"/>
              </w:rPr>
              <w:t>72m</w:t>
            </w:r>
            <w:r>
              <w:rPr>
                <w:color w:val="FF0000"/>
                <w:sz w:val="24"/>
                <w:vertAlign w:val="superscript"/>
              </w:rPr>
              <w:t>3</w:t>
            </w:r>
            <w:r>
              <w:rPr>
                <w:rFonts w:hint="eastAsia"/>
                <w:sz w:val="24"/>
              </w:rPr>
              <w:t>的冬储夏灌池内，不外排，对环境影响较小。</w:t>
            </w:r>
          </w:p>
          <w:p w14:paraId="0758EE86">
            <w:pPr>
              <w:ind w:firstLine="480" w:firstLineChars="200"/>
              <w:rPr>
                <w:color w:val="000000"/>
                <w:sz w:val="24"/>
              </w:rPr>
            </w:pPr>
            <w:r>
              <w:rPr>
                <w:rFonts w:hint="eastAsia"/>
                <w:color w:val="000000"/>
                <w:sz w:val="24"/>
              </w:rPr>
              <w:t>根据内蒙古多家风电场使用该工艺的风电企业实际运行效果可知，地埋式废水处理装置对</w:t>
            </w:r>
            <w:r>
              <w:rPr>
                <w:color w:val="000000"/>
                <w:sz w:val="24"/>
              </w:rPr>
              <w:t>COD</w:t>
            </w:r>
            <w:r>
              <w:rPr>
                <w:color w:val="000000"/>
                <w:sz w:val="24"/>
                <w:vertAlign w:val="subscript"/>
              </w:rPr>
              <w:t>cr</w:t>
            </w:r>
            <w:r>
              <w:rPr>
                <w:rFonts w:hint="eastAsia"/>
                <w:color w:val="000000"/>
                <w:sz w:val="24"/>
              </w:rPr>
              <w:t>去除效率达</w:t>
            </w:r>
            <w:r>
              <w:rPr>
                <w:color w:val="000000"/>
                <w:sz w:val="24"/>
              </w:rPr>
              <w:t>75%</w:t>
            </w:r>
            <w:r>
              <w:rPr>
                <w:rFonts w:hint="eastAsia"/>
                <w:color w:val="000000"/>
                <w:sz w:val="24"/>
              </w:rPr>
              <w:t>、</w:t>
            </w:r>
            <w:r>
              <w:rPr>
                <w:color w:val="000000"/>
                <w:sz w:val="24"/>
              </w:rPr>
              <w:t>BOD</w:t>
            </w:r>
            <w:r>
              <w:rPr>
                <w:color w:val="000000"/>
                <w:sz w:val="24"/>
                <w:vertAlign w:val="subscript"/>
              </w:rPr>
              <w:t>5</w:t>
            </w:r>
            <w:r>
              <w:rPr>
                <w:rFonts w:hint="eastAsia"/>
                <w:color w:val="000000"/>
                <w:sz w:val="24"/>
              </w:rPr>
              <w:t>去除率达</w:t>
            </w:r>
            <w:r>
              <w:rPr>
                <w:color w:val="000000"/>
                <w:sz w:val="24"/>
              </w:rPr>
              <w:t>90%</w:t>
            </w:r>
            <w:r>
              <w:rPr>
                <w:rFonts w:hint="eastAsia"/>
                <w:color w:val="000000"/>
                <w:sz w:val="24"/>
              </w:rPr>
              <w:t>以上，处理后出水水质可满足《城市污水再生利用</w:t>
            </w:r>
            <w:r>
              <w:rPr>
                <w:color w:val="000000"/>
                <w:sz w:val="24"/>
              </w:rPr>
              <w:t xml:space="preserve"> </w:t>
            </w:r>
            <w:r>
              <w:rPr>
                <w:rFonts w:hint="eastAsia"/>
                <w:color w:val="000000"/>
                <w:sz w:val="24"/>
              </w:rPr>
              <w:t>城市杂用水水质》（</w:t>
            </w:r>
            <w:r>
              <w:rPr>
                <w:color w:val="000000"/>
                <w:sz w:val="24"/>
              </w:rPr>
              <w:t>GB/T18920-2002</w:t>
            </w:r>
            <w:r>
              <w:rPr>
                <w:rFonts w:hint="eastAsia"/>
                <w:color w:val="000000"/>
                <w:sz w:val="24"/>
              </w:rPr>
              <w:t>）的标准，在内蒙地区运行可靠。该废水处理工艺经济可靠，具有耗能小、造价低、管理简便等特点。此废水治理措施从技术角度看，针对不同废水水质情况分别加以处理，所采用的处理工艺成熟，技术可靠，可使废水稳定达到排放标准并满足绿化用水回用要求，故项目采用地埋式污水处置处理生活污水是可行的。</w:t>
            </w:r>
          </w:p>
          <w:p w14:paraId="40B576CC">
            <w:pPr>
              <w:ind w:firstLine="480" w:firstLineChars="200"/>
              <w:rPr>
                <w:color w:val="000000"/>
                <w:sz w:val="24"/>
              </w:rPr>
            </w:pPr>
            <w:r>
              <w:rPr>
                <w:color w:val="000000"/>
                <w:sz w:val="24"/>
              </w:rPr>
              <w:t>3</w:t>
            </w:r>
            <w:r>
              <w:rPr>
                <w:rFonts w:hint="eastAsia"/>
                <w:color w:val="000000"/>
                <w:sz w:val="24"/>
              </w:rPr>
              <w:t>、声环境影响分析</w:t>
            </w:r>
          </w:p>
          <w:p w14:paraId="0CC9C653">
            <w:pPr>
              <w:ind w:firstLine="480" w:firstLineChars="200"/>
              <w:rPr>
                <w:color w:val="000000"/>
                <w:sz w:val="24"/>
              </w:rPr>
            </w:pPr>
            <w:r>
              <w:rPr>
                <w:rFonts w:hint="eastAsia"/>
                <w:color w:val="000000"/>
                <w:sz w:val="24"/>
              </w:rPr>
              <w:t>（</w:t>
            </w:r>
            <w:r>
              <w:rPr>
                <w:color w:val="000000"/>
                <w:sz w:val="24"/>
              </w:rPr>
              <w:t>1</w:t>
            </w:r>
            <w:r>
              <w:rPr>
                <w:rFonts w:hint="eastAsia"/>
                <w:color w:val="000000"/>
                <w:sz w:val="24"/>
              </w:rPr>
              <w:t>）风机噪声影响预测与评价</w:t>
            </w:r>
          </w:p>
          <w:p w14:paraId="2B7F6E4B">
            <w:pPr>
              <w:ind w:firstLine="480" w:firstLineChars="200"/>
              <w:rPr>
                <w:color w:val="000000"/>
                <w:sz w:val="24"/>
              </w:rPr>
            </w:pPr>
            <w:r>
              <w:rPr>
                <w:rFonts w:hint="eastAsia"/>
                <w:color w:val="000000"/>
                <w:sz w:val="24"/>
              </w:rPr>
              <w:t>①</w:t>
            </w:r>
            <w:r>
              <w:rPr>
                <w:color w:val="000000"/>
                <w:sz w:val="24"/>
              </w:rPr>
              <w:t xml:space="preserve"> </w:t>
            </w:r>
            <w:r>
              <w:rPr>
                <w:rFonts w:hint="eastAsia"/>
                <w:color w:val="000000"/>
                <w:sz w:val="24"/>
              </w:rPr>
              <w:t>噪声来源及源强</w:t>
            </w:r>
          </w:p>
          <w:p w14:paraId="3C6E7ED0">
            <w:pPr>
              <w:ind w:firstLine="480" w:firstLineChars="200"/>
              <w:rPr>
                <w:color w:val="000000"/>
                <w:sz w:val="24"/>
              </w:rPr>
            </w:pPr>
            <w:r>
              <w:rPr>
                <w:rFonts w:hint="eastAsia"/>
                <w:color w:val="000000"/>
                <w:sz w:val="24"/>
              </w:rPr>
              <w:t>风力发电机组工作过程中在风及运动部件的激励下，叶片及机组部件会产生较大的噪声，其噪声来源主要包括机械噪声、结构噪声和空气动力噪声。风力发电机组的噪声影响分为单机影响和机群影响，风力发电机机群的排列，是通过风洞试验后确定的，即风机行距增加到</w:t>
            </w:r>
            <w:r>
              <w:rPr>
                <w:color w:val="000000"/>
                <w:sz w:val="24"/>
              </w:rPr>
              <w:t>5D</w:t>
            </w:r>
            <w:r>
              <w:rPr>
                <w:rFonts w:hint="eastAsia"/>
                <w:color w:val="000000"/>
                <w:sz w:val="24"/>
              </w:rPr>
              <w:t>（</w:t>
            </w:r>
            <w:r>
              <w:rPr>
                <w:color w:val="000000"/>
                <w:sz w:val="24"/>
              </w:rPr>
              <w:t>D</w:t>
            </w:r>
            <w:r>
              <w:rPr>
                <w:rFonts w:hint="eastAsia"/>
                <w:color w:val="000000"/>
                <w:sz w:val="24"/>
              </w:rPr>
              <w:t>为风轮直径），间距增加</w:t>
            </w:r>
            <w:r>
              <w:rPr>
                <w:color w:val="000000"/>
                <w:sz w:val="24"/>
              </w:rPr>
              <w:t>4</w:t>
            </w:r>
            <w:r>
              <w:rPr>
                <w:rFonts w:hint="eastAsia" w:ascii="宋体" w:hAnsi="宋体"/>
                <w:color w:val="000000"/>
                <w:sz w:val="24"/>
              </w:rPr>
              <w:t>D～</w:t>
            </w:r>
            <w:r>
              <w:rPr>
                <w:color w:val="000000"/>
                <w:sz w:val="24"/>
              </w:rPr>
              <w:t>6D</w:t>
            </w:r>
            <w:r>
              <w:rPr>
                <w:rFonts w:hint="eastAsia"/>
                <w:color w:val="000000"/>
                <w:sz w:val="24"/>
              </w:rPr>
              <w:t>时风速又恢复到常态，即噪声强度也随着风速减小而明显衰减。本风电场风力发电机组相距较远，间距在</w:t>
            </w:r>
            <w:r>
              <w:rPr>
                <w:color w:val="000000"/>
                <w:sz w:val="24"/>
              </w:rPr>
              <w:t>300m</w:t>
            </w:r>
            <w:r>
              <w:rPr>
                <w:rFonts w:hint="eastAsia"/>
                <w:color w:val="000000"/>
                <w:sz w:val="24"/>
              </w:rPr>
              <w:t>以上，故项目只考虑单机噪声影响源问题，不考虑风力机群噪声总和影响的问题。本项目采用单机容量为</w:t>
            </w:r>
            <w:r>
              <w:rPr>
                <w:color w:val="000000"/>
                <w:sz w:val="24"/>
              </w:rPr>
              <w:t>2500kW</w:t>
            </w:r>
            <w:r>
              <w:rPr>
                <w:rFonts w:hint="eastAsia"/>
                <w:color w:val="000000"/>
                <w:sz w:val="24"/>
              </w:rPr>
              <w:t>风发力发电机组，风机轮毂高度为</w:t>
            </w:r>
            <w:r>
              <w:rPr>
                <w:color w:val="000000"/>
                <w:sz w:val="24"/>
              </w:rPr>
              <w:t>90m</w:t>
            </w:r>
            <w:r>
              <w:rPr>
                <w:rFonts w:hint="eastAsia"/>
                <w:color w:val="000000"/>
                <w:sz w:val="24"/>
              </w:rPr>
              <w:t>，当机组正常运转时其轮毂处的噪声功率级在</w:t>
            </w:r>
            <w:r>
              <w:rPr>
                <w:color w:val="000000"/>
                <w:sz w:val="24"/>
              </w:rPr>
              <w:t>102dB</w:t>
            </w:r>
            <w:r>
              <w:rPr>
                <w:rFonts w:hint="eastAsia"/>
                <w:color w:val="000000"/>
                <w:sz w:val="24"/>
              </w:rPr>
              <w:t>（</w:t>
            </w:r>
            <w:r>
              <w:rPr>
                <w:color w:val="000000"/>
                <w:sz w:val="24"/>
              </w:rPr>
              <w:t>A</w:t>
            </w:r>
            <w:r>
              <w:rPr>
                <w:rFonts w:hint="eastAsia"/>
                <w:color w:val="000000"/>
                <w:sz w:val="24"/>
              </w:rPr>
              <w:t>）左右。</w:t>
            </w:r>
            <w:r>
              <w:rPr>
                <w:rFonts w:hint="eastAsia"/>
                <w:color w:val="FF0000"/>
                <w:sz w:val="24"/>
              </w:rPr>
              <w:t>本项目每台风力发电机均采取减震措施，并在机舱内部及铁塔上部内径中包扎</w:t>
            </w:r>
            <w:r>
              <w:rPr>
                <w:color w:val="FF0000"/>
                <w:sz w:val="24"/>
              </w:rPr>
              <w:t>5</w:t>
            </w:r>
            <w:r>
              <w:rPr>
                <w:rFonts w:hint="eastAsia" w:ascii="宋体" w:hAnsi="宋体"/>
                <w:color w:val="FF0000"/>
                <w:sz w:val="24"/>
              </w:rPr>
              <w:t>～</w:t>
            </w:r>
            <w:r>
              <w:rPr>
                <w:color w:val="FF0000"/>
                <w:sz w:val="24"/>
              </w:rPr>
              <w:t>10cm</w:t>
            </w:r>
            <w:r>
              <w:rPr>
                <w:rFonts w:hint="eastAsia"/>
                <w:color w:val="FF0000"/>
                <w:sz w:val="24"/>
              </w:rPr>
              <w:t>的海绵保温层，在保温的同时也可起到降噪作用，整体降噪效果不低于</w:t>
            </w:r>
            <w:r>
              <w:rPr>
                <w:color w:val="FF0000"/>
                <w:sz w:val="24"/>
              </w:rPr>
              <w:t>7dB</w:t>
            </w:r>
            <w:r>
              <w:rPr>
                <w:rFonts w:hint="eastAsia"/>
                <w:color w:val="FF0000"/>
                <w:sz w:val="24"/>
              </w:rPr>
              <w:t>（</w:t>
            </w:r>
            <w:r>
              <w:rPr>
                <w:color w:val="FF0000"/>
                <w:sz w:val="24"/>
              </w:rPr>
              <w:t>A</w:t>
            </w:r>
            <w:r>
              <w:rPr>
                <w:rFonts w:hint="eastAsia"/>
                <w:color w:val="FF0000"/>
                <w:sz w:val="24"/>
              </w:rPr>
              <w:t>），因此，降噪后风机噪声值约</w:t>
            </w:r>
            <w:r>
              <w:rPr>
                <w:color w:val="FF0000"/>
                <w:sz w:val="24"/>
              </w:rPr>
              <w:t>97dB</w:t>
            </w:r>
            <w:r>
              <w:rPr>
                <w:rFonts w:hint="eastAsia"/>
                <w:color w:val="FF0000"/>
                <w:sz w:val="24"/>
              </w:rPr>
              <w:t>（</w:t>
            </w:r>
            <w:r>
              <w:rPr>
                <w:color w:val="FF0000"/>
                <w:sz w:val="24"/>
              </w:rPr>
              <w:t>A</w:t>
            </w:r>
            <w:r>
              <w:rPr>
                <w:rFonts w:hint="eastAsia"/>
                <w:color w:val="FF0000"/>
                <w:sz w:val="24"/>
              </w:rPr>
              <w:t>）。</w:t>
            </w:r>
          </w:p>
          <w:p w14:paraId="00388904">
            <w:pPr>
              <w:ind w:firstLine="480" w:firstLineChars="200"/>
              <w:rPr>
                <w:color w:val="000000"/>
                <w:sz w:val="24"/>
              </w:rPr>
            </w:pPr>
            <w:r>
              <w:rPr>
                <w:rFonts w:hint="eastAsia"/>
                <w:color w:val="000000"/>
                <w:sz w:val="24"/>
              </w:rPr>
              <w:t>②</w:t>
            </w:r>
            <w:r>
              <w:rPr>
                <w:color w:val="000000"/>
                <w:sz w:val="24"/>
              </w:rPr>
              <w:t xml:space="preserve"> </w:t>
            </w:r>
            <w:r>
              <w:rPr>
                <w:rFonts w:hint="eastAsia"/>
                <w:color w:val="000000"/>
                <w:sz w:val="24"/>
              </w:rPr>
              <w:t>预测内容</w:t>
            </w:r>
          </w:p>
          <w:p w14:paraId="449DA9DA">
            <w:pPr>
              <w:ind w:firstLine="480" w:firstLineChars="200"/>
              <w:rPr>
                <w:color w:val="000000"/>
                <w:sz w:val="24"/>
              </w:rPr>
            </w:pPr>
            <w:r>
              <w:rPr>
                <w:rFonts w:hint="eastAsia"/>
                <w:color w:val="000000"/>
                <w:sz w:val="24"/>
              </w:rPr>
              <w:t>根据风力发电机组的初步布置方案，确定预测单个风力发电机组正常运行时的噪声贡献值。</w:t>
            </w:r>
          </w:p>
          <w:p w14:paraId="24989BB5">
            <w:pPr>
              <w:ind w:firstLine="480" w:firstLineChars="200"/>
              <w:rPr>
                <w:color w:val="000000"/>
                <w:sz w:val="24"/>
              </w:rPr>
            </w:pPr>
            <w:r>
              <w:rPr>
                <w:rFonts w:hint="eastAsia"/>
                <w:color w:val="000000"/>
                <w:sz w:val="24"/>
              </w:rPr>
              <w:t>③</w:t>
            </w:r>
            <w:r>
              <w:rPr>
                <w:color w:val="000000"/>
                <w:sz w:val="24"/>
              </w:rPr>
              <w:t xml:space="preserve"> </w:t>
            </w:r>
            <w:r>
              <w:rPr>
                <w:rFonts w:hint="eastAsia"/>
                <w:sz w:val="24"/>
              </w:rPr>
              <w:t>预测模式</w:t>
            </w:r>
          </w:p>
          <w:p w14:paraId="7C64DFD0">
            <w:pPr>
              <w:ind w:firstLine="480" w:firstLineChars="200"/>
              <w:rPr>
                <w:color w:val="000000"/>
                <w:sz w:val="24"/>
              </w:rPr>
            </w:pPr>
            <w:r>
              <w:rPr>
                <w:rFonts w:hint="eastAsia"/>
                <w:color w:val="000000"/>
                <w:sz w:val="24"/>
              </w:rPr>
              <w:t>由于各风力发电机组相距较远，本项目只考虑单机噪声影响，故每个风机可视为一个点声源，采用处于自由空间的点声源几何发散衰减公式和多声源叠加公式对风机噪声影响进行预测，处于自由空间的点声源几何发散衰减公式：</w:t>
            </w:r>
          </w:p>
          <w:p w14:paraId="62713E05">
            <w:pPr>
              <w:ind w:firstLine="480" w:firstLineChars="200"/>
              <w:rPr>
                <w:color w:val="000000"/>
                <w:sz w:val="24"/>
                <w:lang w:val="pt-BR"/>
              </w:rPr>
            </w:pPr>
            <w:bookmarkStart w:id="12" w:name="_Toc502585138"/>
            <w:r>
              <w:rPr>
                <w:i/>
                <w:iCs/>
                <w:sz w:val="24"/>
                <w:lang w:val="pt-BR"/>
              </w:rPr>
              <w:t>L</w:t>
            </w:r>
            <w:r>
              <w:rPr>
                <w:i/>
                <w:iCs/>
                <w:sz w:val="24"/>
                <w:vertAlign w:val="subscript"/>
                <w:lang w:val="pt-BR"/>
              </w:rPr>
              <w:t>A</w:t>
            </w:r>
            <w:r>
              <w:rPr>
                <w:iCs/>
                <w:sz w:val="24"/>
                <w:lang w:val="pt-BR"/>
              </w:rPr>
              <w:t>(</w:t>
            </w:r>
            <w:r>
              <w:rPr>
                <w:i/>
                <w:iCs/>
                <w:sz w:val="24"/>
                <w:lang w:val="pt-BR"/>
              </w:rPr>
              <w:t>r</w:t>
            </w:r>
            <w:r>
              <w:rPr>
                <w:iCs/>
                <w:sz w:val="24"/>
                <w:lang w:val="pt-BR"/>
              </w:rPr>
              <w:t>)</w:t>
            </w:r>
            <w:r>
              <w:rPr>
                <w:i/>
                <w:iCs/>
                <w:sz w:val="24"/>
                <w:lang w:val="pt-BR"/>
              </w:rPr>
              <w:t>=L</w:t>
            </w:r>
            <w:r>
              <w:rPr>
                <w:i/>
                <w:iCs/>
                <w:sz w:val="24"/>
                <w:vertAlign w:val="subscript"/>
                <w:lang w:val="pt-BR"/>
              </w:rPr>
              <w:t>WA</w:t>
            </w:r>
            <w:r>
              <w:rPr>
                <w:rFonts w:hint="eastAsia"/>
                <w:i/>
                <w:iCs/>
                <w:sz w:val="24"/>
                <w:lang w:val="pt-BR"/>
              </w:rPr>
              <w:t>－</w:t>
            </w:r>
            <w:r>
              <w:rPr>
                <w:iCs/>
                <w:sz w:val="24"/>
                <w:lang w:val="pt-BR"/>
              </w:rPr>
              <w:t>20</w:t>
            </w:r>
            <w:r>
              <w:rPr>
                <w:i/>
                <w:iCs/>
                <w:sz w:val="24"/>
                <w:lang w:val="pt-BR"/>
              </w:rPr>
              <w:t>lg</w:t>
            </w:r>
            <w:r>
              <w:rPr>
                <w:iCs/>
                <w:sz w:val="24"/>
                <w:lang w:val="pt-BR"/>
              </w:rPr>
              <w:t>(</w:t>
            </w:r>
            <w:r>
              <w:rPr>
                <w:i/>
                <w:iCs/>
                <w:sz w:val="24"/>
                <w:lang w:val="pt-BR"/>
              </w:rPr>
              <w:t>r</w:t>
            </w:r>
            <w:r>
              <w:rPr>
                <w:iCs/>
                <w:sz w:val="24"/>
                <w:lang w:val="pt-BR"/>
              </w:rPr>
              <w:t>)</w:t>
            </w:r>
            <w:r>
              <w:rPr>
                <w:rFonts w:hint="eastAsia"/>
                <w:i/>
                <w:iCs/>
                <w:sz w:val="24"/>
                <w:lang w:val="pt-BR"/>
              </w:rPr>
              <w:t>－</w:t>
            </w:r>
            <w:r>
              <w:rPr>
                <w:iCs/>
                <w:sz w:val="24"/>
                <w:lang w:val="pt-BR"/>
              </w:rPr>
              <w:t>11</w:t>
            </w:r>
            <w:bookmarkEnd w:id="12"/>
          </w:p>
          <w:p w14:paraId="201BF887">
            <w:pPr>
              <w:ind w:firstLine="480" w:firstLineChars="200"/>
              <w:rPr>
                <w:color w:val="000000"/>
                <w:sz w:val="24"/>
                <w:lang w:val="pt-BR"/>
              </w:rPr>
            </w:pPr>
            <w:r>
              <w:rPr>
                <w:rFonts w:hint="eastAsia"/>
                <w:color w:val="000000"/>
                <w:sz w:val="24"/>
                <w:lang w:val="pt-BR"/>
              </w:rPr>
              <w:t>式中：</w:t>
            </w:r>
            <w:r>
              <w:rPr>
                <w:i/>
                <w:color w:val="000000"/>
                <w:sz w:val="24"/>
                <w:lang w:val="pt-BR"/>
              </w:rPr>
              <w:t>L</w:t>
            </w:r>
            <w:r>
              <w:rPr>
                <w:i/>
                <w:color w:val="000000"/>
                <w:sz w:val="24"/>
                <w:vertAlign w:val="subscript"/>
                <w:lang w:val="pt-BR"/>
              </w:rPr>
              <w:t>A</w:t>
            </w:r>
            <w:r>
              <w:rPr>
                <w:color w:val="000000"/>
                <w:sz w:val="24"/>
                <w:lang w:val="pt-BR"/>
              </w:rPr>
              <w:t>(</w:t>
            </w:r>
            <w:r>
              <w:rPr>
                <w:i/>
                <w:color w:val="000000"/>
                <w:sz w:val="24"/>
                <w:lang w:val="pt-BR"/>
              </w:rPr>
              <w:t>r</w:t>
            </w:r>
            <w:r>
              <w:rPr>
                <w:color w:val="000000"/>
                <w:sz w:val="24"/>
                <w:lang w:val="pt-BR"/>
              </w:rPr>
              <w:t>)</w:t>
            </w:r>
            <w:r>
              <w:rPr>
                <w:rFonts w:hint="eastAsia"/>
                <w:color w:val="000000"/>
                <w:sz w:val="24"/>
                <w:lang w:val="pt-BR"/>
              </w:rPr>
              <w:t>—距声源</w:t>
            </w:r>
            <w:r>
              <w:rPr>
                <w:i/>
                <w:color w:val="000000"/>
                <w:sz w:val="24"/>
                <w:lang w:val="pt-BR"/>
              </w:rPr>
              <w:t>r</w:t>
            </w:r>
            <w:r>
              <w:rPr>
                <w:rFonts w:hint="eastAsia"/>
                <w:color w:val="000000"/>
                <w:sz w:val="24"/>
                <w:lang w:val="pt-BR"/>
              </w:rPr>
              <w:t>处声压级，</w:t>
            </w:r>
            <w:r>
              <w:rPr>
                <w:color w:val="000000"/>
                <w:sz w:val="24"/>
                <w:lang w:val="pt-BR"/>
              </w:rPr>
              <w:t>dB</w:t>
            </w:r>
            <w:r>
              <w:rPr>
                <w:rFonts w:hint="eastAsia"/>
                <w:color w:val="000000"/>
                <w:sz w:val="24"/>
                <w:lang w:val="pt-BR"/>
              </w:rPr>
              <w:t>（</w:t>
            </w:r>
            <w:r>
              <w:rPr>
                <w:color w:val="000000"/>
                <w:sz w:val="24"/>
                <w:lang w:val="pt-BR"/>
              </w:rPr>
              <w:t>A</w:t>
            </w:r>
            <w:r>
              <w:rPr>
                <w:rFonts w:hint="eastAsia"/>
                <w:color w:val="000000"/>
                <w:sz w:val="24"/>
                <w:lang w:val="pt-BR"/>
              </w:rPr>
              <w:t>）；</w:t>
            </w:r>
          </w:p>
          <w:p w14:paraId="55B90005">
            <w:pPr>
              <w:ind w:firstLine="1200" w:firstLineChars="500"/>
              <w:rPr>
                <w:color w:val="000000"/>
                <w:sz w:val="24"/>
                <w:lang w:val="pt-BR"/>
              </w:rPr>
            </w:pPr>
            <w:r>
              <w:rPr>
                <w:i/>
                <w:color w:val="000000"/>
                <w:sz w:val="24"/>
                <w:lang w:val="pt-BR"/>
              </w:rPr>
              <w:t>L</w:t>
            </w:r>
            <w:r>
              <w:rPr>
                <w:i/>
                <w:color w:val="000000"/>
                <w:sz w:val="24"/>
                <w:vertAlign w:val="subscript"/>
                <w:lang w:val="pt-BR"/>
              </w:rPr>
              <w:t>WA</w:t>
            </w:r>
            <w:r>
              <w:rPr>
                <w:color w:val="000000"/>
                <w:sz w:val="24"/>
                <w:lang w:val="pt-BR"/>
              </w:rPr>
              <w:t xml:space="preserve"> </w:t>
            </w:r>
            <w:r>
              <w:rPr>
                <w:rFonts w:hint="eastAsia"/>
                <w:color w:val="000000"/>
                <w:sz w:val="24"/>
                <w:lang w:val="pt-BR"/>
              </w:rPr>
              <w:t>—点声源的</w:t>
            </w:r>
            <w:r>
              <w:rPr>
                <w:color w:val="000000"/>
                <w:sz w:val="24"/>
                <w:lang w:val="pt-BR"/>
              </w:rPr>
              <w:t>A</w:t>
            </w:r>
            <w:r>
              <w:rPr>
                <w:rFonts w:hint="eastAsia"/>
                <w:color w:val="000000"/>
                <w:sz w:val="24"/>
                <w:lang w:val="pt-BR"/>
              </w:rPr>
              <w:t>声功率级，</w:t>
            </w:r>
            <w:r>
              <w:rPr>
                <w:color w:val="000000"/>
                <w:sz w:val="24"/>
                <w:lang w:val="pt-BR"/>
              </w:rPr>
              <w:t>dB</w:t>
            </w:r>
            <w:r>
              <w:rPr>
                <w:rFonts w:hint="eastAsia"/>
                <w:color w:val="000000"/>
                <w:sz w:val="24"/>
                <w:lang w:val="pt-BR"/>
              </w:rPr>
              <w:t>（</w:t>
            </w:r>
            <w:r>
              <w:rPr>
                <w:color w:val="000000"/>
                <w:sz w:val="24"/>
                <w:lang w:val="pt-BR"/>
              </w:rPr>
              <w:t>A</w:t>
            </w:r>
            <w:r>
              <w:rPr>
                <w:rFonts w:hint="eastAsia"/>
                <w:color w:val="000000"/>
                <w:sz w:val="24"/>
                <w:lang w:val="pt-BR"/>
              </w:rPr>
              <w:t>）。</w:t>
            </w:r>
          </w:p>
          <w:p w14:paraId="21099D40">
            <w:pPr>
              <w:ind w:firstLine="480" w:firstLineChars="200"/>
              <w:rPr>
                <w:color w:val="000000"/>
                <w:sz w:val="24"/>
                <w:lang w:val="pt-BR"/>
              </w:rPr>
            </w:pPr>
            <w:r>
              <w:rPr>
                <w:rFonts w:hint="eastAsia"/>
                <w:color w:val="000000"/>
                <w:sz w:val="24"/>
                <w:lang w:val="pt-BR"/>
              </w:rPr>
              <w:t>④</w:t>
            </w:r>
            <w:r>
              <w:rPr>
                <w:color w:val="000000"/>
                <w:sz w:val="24"/>
                <w:lang w:val="pt-BR"/>
              </w:rPr>
              <w:t xml:space="preserve"> </w:t>
            </w:r>
            <w:r>
              <w:rPr>
                <w:rFonts w:hint="eastAsia"/>
                <w:color w:val="000000"/>
                <w:sz w:val="24"/>
                <w:lang w:val="pt-BR"/>
              </w:rPr>
              <w:t>预测结果及分析</w:t>
            </w:r>
          </w:p>
          <w:p w14:paraId="1B9BCEE7">
            <w:pPr>
              <w:ind w:firstLine="480" w:firstLineChars="200"/>
              <w:rPr>
                <w:color w:val="000000"/>
                <w:sz w:val="24"/>
                <w:lang w:val="pt-BR"/>
              </w:rPr>
            </w:pPr>
            <w:r>
              <w:rPr>
                <w:rFonts w:hint="eastAsia"/>
                <w:color w:val="000000"/>
                <w:sz w:val="24"/>
                <w:lang w:val="pt-BR"/>
              </w:rPr>
              <w:t>根据上述噪声预测模式，单个风力发电机组运行时在地面不同距离处的噪声值见表</w:t>
            </w:r>
            <w:r>
              <w:rPr>
                <w:color w:val="000000"/>
                <w:sz w:val="24"/>
                <w:lang w:val="pt-BR"/>
              </w:rPr>
              <w:t>23</w:t>
            </w:r>
            <w:r>
              <w:rPr>
                <w:rFonts w:hint="eastAsia"/>
                <w:color w:val="000000"/>
                <w:sz w:val="24"/>
                <w:lang w:val="pt-BR"/>
              </w:rPr>
              <w:t>。</w:t>
            </w:r>
          </w:p>
          <w:p w14:paraId="344F6052">
            <w:pPr>
              <w:ind w:firstLine="480" w:firstLineChars="200"/>
              <w:rPr>
                <w:rFonts w:ascii="黑体" w:hAnsi="黑体" w:eastAsia="黑体"/>
                <w:color w:val="000000"/>
                <w:sz w:val="24"/>
              </w:rPr>
            </w:pPr>
            <w:r>
              <w:rPr>
                <w:rFonts w:hint="eastAsia" w:ascii="黑体" w:hAnsi="黑体" w:eastAsia="黑体"/>
                <w:color w:val="000000"/>
                <w:sz w:val="24"/>
              </w:rPr>
              <w:t xml:space="preserve">表23           单个风电机在地面不同距离处的噪声预测值     </w:t>
            </w:r>
          </w:p>
          <w:tbl>
            <w:tblPr>
              <w:tblStyle w:val="25"/>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2023"/>
              <w:gridCol w:w="676"/>
              <w:gridCol w:w="676"/>
              <w:gridCol w:w="676"/>
              <w:gridCol w:w="676"/>
              <w:gridCol w:w="677"/>
              <w:gridCol w:w="677"/>
              <w:gridCol w:w="677"/>
              <w:gridCol w:w="677"/>
              <w:gridCol w:w="677"/>
              <w:gridCol w:w="677"/>
            </w:tblGrid>
            <w:tr w14:paraId="07A8A39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2023" w:type="dxa"/>
                  <w:tcBorders>
                    <w:top w:val="single" w:color="auto" w:sz="8" w:space="0"/>
                    <w:left w:val="single" w:color="auto" w:sz="8" w:space="0"/>
                    <w:bottom w:val="single" w:color="auto" w:sz="4" w:space="0"/>
                    <w:right w:val="single" w:color="auto" w:sz="4" w:space="0"/>
                  </w:tcBorders>
                  <w:vAlign w:val="center"/>
                </w:tcPr>
                <w:p w14:paraId="53ED645C">
                  <w:pPr>
                    <w:spacing w:line="0" w:lineRule="atLeast"/>
                    <w:ind w:left="-105" w:leftChars="-50" w:right="-105" w:rightChars="-50"/>
                    <w:jc w:val="center"/>
                    <w:rPr>
                      <w:color w:val="000000"/>
                      <w:szCs w:val="21"/>
                    </w:rPr>
                  </w:pPr>
                  <w:r>
                    <w:rPr>
                      <w:rFonts w:hint="eastAsia"/>
                    </w:rPr>
                    <w:t>距离（</w:t>
                  </w:r>
                  <w:r>
                    <w:t>m</w:t>
                  </w:r>
                  <w:r>
                    <w:rPr>
                      <w:rFonts w:hint="eastAsia"/>
                    </w:rPr>
                    <w:t>）</w:t>
                  </w:r>
                </w:p>
              </w:tc>
              <w:tc>
                <w:tcPr>
                  <w:tcW w:w="676" w:type="dxa"/>
                  <w:tcBorders>
                    <w:top w:val="single" w:color="auto" w:sz="8" w:space="0"/>
                    <w:left w:val="single" w:color="auto" w:sz="4" w:space="0"/>
                    <w:bottom w:val="single" w:color="auto" w:sz="4" w:space="0"/>
                    <w:right w:val="single" w:color="auto" w:sz="4" w:space="0"/>
                  </w:tcBorders>
                  <w:vAlign w:val="center"/>
                </w:tcPr>
                <w:p w14:paraId="25421517">
                  <w:pPr>
                    <w:spacing w:line="0" w:lineRule="atLeast"/>
                    <w:ind w:left="-105" w:leftChars="-50" w:right="-105" w:rightChars="-50"/>
                    <w:jc w:val="center"/>
                    <w:rPr>
                      <w:color w:val="000000"/>
                      <w:szCs w:val="21"/>
                    </w:rPr>
                  </w:pPr>
                  <w:r>
                    <w:rPr>
                      <w:color w:val="000000"/>
                      <w:szCs w:val="21"/>
                    </w:rPr>
                    <w:t>10</w:t>
                  </w:r>
                </w:p>
              </w:tc>
              <w:tc>
                <w:tcPr>
                  <w:tcW w:w="676" w:type="dxa"/>
                  <w:tcBorders>
                    <w:top w:val="single" w:color="auto" w:sz="8" w:space="0"/>
                    <w:left w:val="single" w:color="auto" w:sz="4" w:space="0"/>
                    <w:bottom w:val="single" w:color="auto" w:sz="4" w:space="0"/>
                    <w:right w:val="single" w:color="auto" w:sz="4" w:space="0"/>
                  </w:tcBorders>
                  <w:vAlign w:val="center"/>
                </w:tcPr>
                <w:p w14:paraId="1C483144">
                  <w:pPr>
                    <w:spacing w:line="0" w:lineRule="atLeast"/>
                    <w:ind w:left="-105" w:leftChars="-50" w:right="-105" w:rightChars="-50"/>
                    <w:jc w:val="center"/>
                    <w:rPr>
                      <w:color w:val="000000"/>
                      <w:szCs w:val="21"/>
                    </w:rPr>
                  </w:pPr>
                  <w:r>
                    <w:rPr>
                      <w:color w:val="000000"/>
                      <w:szCs w:val="21"/>
                    </w:rPr>
                    <w:t>20</w:t>
                  </w:r>
                </w:p>
              </w:tc>
              <w:tc>
                <w:tcPr>
                  <w:tcW w:w="676" w:type="dxa"/>
                  <w:tcBorders>
                    <w:top w:val="single" w:color="auto" w:sz="8" w:space="0"/>
                    <w:left w:val="single" w:color="auto" w:sz="4" w:space="0"/>
                    <w:bottom w:val="single" w:color="auto" w:sz="4" w:space="0"/>
                    <w:right w:val="single" w:color="auto" w:sz="4" w:space="0"/>
                  </w:tcBorders>
                  <w:vAlign w:val="center"/>
                </w:tcPr>
                <w:p w14:paraId="778E88EA">
                  <w:pPr>
                    <w:spacing w:line="0" w:lineRule="atLeast"/>
                    <w:ind w:left="-105" w:leftChars="-50" w:right="-105" w:rightChars="-50"/>
                    <w:jc w:val="center"/>
                    <w:rPr>
                      <w:color w:val="000000"/>
                      <w:szCs w:val="21"/>
                    </w:rPr>
                  </w:pPr>
                  <w:r>
                    <w:rPr>
                      <w:color w:val="000000"/>
                      <w:szCs w:val="21"/>
                    </w:rPr>
                    <w:t>50</w:t>
                  </w:r>
                </w:p>
              </w:tc>
              <w:tc>
                <w:tcPr>
                  <w:tcW w:w="676" w:type="dxa"/>
                  <w:tcBorders>
                    <w:top w:val="single" w:color="auto" w:sz="8" w:space="0"/>
                    <w:left w:val="single" w:color="auto" w:sz="4" w:space="0"/>
                    <w:bottom w:val="single" w:color="auto" w:sz="4" w:space="0"/>
                    <w:right w:val="single" w:color="auto" w:sz="4" w:space="0"/>
                  </w:tcBorders>
                  <w:vAlign w:val="center"/>
                </w:tcPr>
                <w:p w14:paraId="7CB3DD34">
                  <w:pPr>
                    <w:spacing w:line="0" w:lineRule="atLeast"/>
                    <w:ind w:left="-105" w:leftChars="-50" w:right="-105" w:rightChars="-50"/>
                    <w:jc w:val="center"/>
                    <w:rPr>
                      <w:color w:val="000000"/>
                      <w:szCs w:val="21"/>
                    </w:rPr>
                  </w:pPr>
                  <w:r>
                    <w:rPr>
                      <w:color w:val="000000"/>
                      <w:szCs w:val="21"/>
                    </w:rPr>
                    <w:t>100</w:t>
                  </w:r>
                </w:p>
              </w:tc>
              <w:tc>
                <w:tcPr>
                  <w:tcW w:w="677" w:type="dxa"/>
                  <w:tcBorders>
                    <w:top w:val="single" w:color="auto" w:sz="8" w:space="0"/>
                    <w:left w:val="single" w:color="auto" w:sz="4" w:space="0"/>
                    <w:bottom w:val="single" w:color="auto" w:sz="4" w:space="0"/>
                    <w:right w:val="single" w:color="auto" w:sz="4" w:space="0"/>
                  </w:tcBorders>
                  <w:vAlign w:val="center"/>
                </w:tcPr>
                <w:p w14:paraId="2680B2A4">
                  <w:pPr>
                    <w:spacing w:line="0" w:lineRule="atLeast"/>
                    <w:ind w:left="-105" w:leftChars="-50" w:right="-105" w:rightChars="-50"/>
                    <w:jc w:val="center"/>
                    <w:rPr>
                      <w:color w:val="000000"/>
                      <w:szCs w:val="21"/>
                    </w:rPr>
                  </w:pPr>
                  <w:r>
                    <w:rPr>
                      <w:color w:val="000000"/>
                      <w:szCs w:val="21"/>
                    </w:rPr>
                    <w:t>150</w:t>
                  </w:r>
                </w:p>
              </w:tc>
              <w:tc>
                <w:tcPr>
                  <w:tcW w:w="677" w:type="dxa"/>
                  <w:tcBorders>
                    <w:top w:val="single" w:color="auto" w:sz="8" w:space="0"/>
                    <w:left w:val="single" w:color="auto" w:sz="4" w:space="0"/>
                    <w:bottom w:val="single" w:color="auto" w:sz="4" w:space="0"/>
                    <w:right w:val="single" w:color="auto" w:sz="4" w:space="0"/>
                  </w:tcBorders>
                  <w:vAlign w:val="center"/>
                </w:tcPr>
                <w:p w14:paraId="24C80643">
                  <w:pPr>
                    <w:spacing w:line="0" w:lineRule="atLeast"/>
                    <w:ind w:left="-105" w:leftChars="-50" w:right="-105" w:rightChars="-50"/>
                    <w:jc w:val="center"/>
                    <w:rPr>
                      <w:color w:val="000000"/>
                      <w:szCs w:val="21"/>
                    </w:rPr>
                  </w:pPr>
                  <w:r>
                    <w:rPr>
                      <w:color w:val="000000"/>
                      <w:szCs w:val="21"/>
                    </w:rPr>
                    <w:t>200</w:t>
                  </w:r>
                </w:p>
              </w:tc>
              <w:tc>
                <w:tcPr>
                  <w:tcW w:w="677" w:type="dxa"/>
                  <w:tcBorders>
                    <w:top w:val="single" w:color="auto" w:sz="8" w:space="0"/>
                    <w:left w:val="single" w:color="auto" w:sz="4" w:space="0"/>
                    <w:bottom w:val="single" w:color="auto" w:sz="4" w:space="0"/>
                    <w:right w:val="single" w:color="auto" w:sz="4" w:space="0"/>
                  </w:tcBorders>
                  <w:vAlign w:val="center"/>
                </w:tcPr>
                <w:p w14:paraId="3A1121CE">
                  <w:pPr>
                    <w:spacing w:line="0" w:lineRule="atLeast"/>
                    <w:ind w:left="-105" w:leftChars="-50" w:right="-105" w:rightChars="-50"/>
                    <w:jc w:val="center"/>
                    <w:rPr>
                      <w:color w:val="000000"/>
                      <w:szCs w:val="21"/>
                    </w:rPr>
                  </w:pPr>
                  <w:r>
                    <w:rPr>
                      <w:color w:val="000000"/>
                      <w:szCs w:val="21"/>
                    </w:rPr>
                    <w:t>250</w:t>
                  </w:r>
                </w:p>
              </w:tc>
              <w:tc>
                <w:tcPr>
                  <w:tcW w:w="677" w:type="dxa"/>
                  <w:tcBorders>
                    <w:top w:val="single" w:color="auto" w:sz="8" w:space="0"/>
                    <w:left w:val="single" w:color="auto" w:sz="4" w:space="0"/>
                    <w:bottom w:val="single" w:color="auto" w:sz="4" w:space="0"/>
                    <w:right w:val="single" w:color="auto" w:sz="4" w:space="0"/>
                  </w:tcBorders>
                  <w:vAlign w:val="center"/>
                </w:tcPr>
                <w:p w14:paraId="28E0A9AE">
                  <w:pPr>
                    <w:spacing w:line="0" w:lineRule="atLeast"/>
                    <w:ind w:left="-105" w:leftChars="-50" w:right="-105" w:rightChars="-50"/>
                    <w:jc w:val="center"/>
                    <w:rPr>
                      <w:color w:val="000000"/>
                      <w:szCs w:val="21"/>
                    </w:rPr>
                  </w:pPr>
                  <w:r>
                    <w:rPr>
                      <w:color w:val="000000"/>
                      <w:szCs w:val="21"/>
                    </w:rPr>
                    <w:t>300</w:t>
                  </w:r>
                </w:p>
              </w:tc>
              <w:tc>
                <w:tcPr>
                  <w:tcW w:w="677" w:type="dxa"/>
                  <w:tcBorders>
                    <w:top w:val="single" w:color="auto" w:sz="8" w:space="0"/>
                    <w:left w:val="single" w:color="auto" w:sz="4" w:space="0"/>
                    <w:bottom w:val="single" w:color="auto" w:sz="4" w:space="0"/>
                    <w:right w:val="single" w:color="auto" w:sz="4" w:space="0"/>
                  </w:tcBorders>
                  <w:vAlign w:val="center"/>
                </w:tcPr>
                <w:p w14:paraId="1F296A3E">
                  <w:pPr>
                    <w:spacing w:line="0" w:lineRule="atLeast"/>
                    <w:ind w:left="-105" w:leftChars="-50" w:right="-105" w:rightChars="-50"/>
                    <w:jc w:val="center"/>
                    <w:rPr>
                      <w:color w:val="000000"/>
                      <w:szCs w:val="21"/>
                    </w:rPr>
                  </w:pPr>
                  <w:r>
                    <w:rPr>
                      <w:color w:val="000000"/>
                      <w:szCs w:val="21"/>
                    </w:rPr>
                    <w:t>400</w:t>
                  </w:r>
                </w:p>
              </w:tc>
              <w:tc>
                <w:tcPr>
                  <w:tcW w:w="677" w:type="dxa"/>
                  <w:tcBorders>
                    <w:top w:val="single" w:color="auto" w:sz="8" w:space="0"/>
                    <w:left w:val="single" w:color="auto" w:sz="4" w:space="0"/>
                    <w:bottom w:val="single" w:color="auto" w:sz="4" w:space="0"/>
                    <w:right w:val="single" w:color="auto" w:sz="8" w:space="0"/>
                  </w:tcBorders>
                  <w:vAlign w:val="center"/>
                </w:tcPr>
                <w:p w14:paraId="62D33332">
                  <w:pPr>
                    <w:spacing w:line="0" w:lineRule="atLeast"/>
                    <w:ind w:left="-105" w:leftChars="-50" w:right="-105" w:rightChars="-50"/>
                    <w:jc w:val="center"/>
                    <w:rPr>
                      <w:color w:val="000000"/>
                      <w:szCs w:val="21"/>
                    </w:rPr>
                  </w:pPr>
                  <w:r>
                    <w:rPr>
                      <w:color w:val="000000"/>
                      <w:szCs w:val="21"/>
                    </w:rPr>
                    <w:t>500</w:t>
                  </w:r>
                </w:p>
              </w:tc>
            </w:tr>
            <w:tr w14:paraId="6C55E93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2023" w:type="dxa"/>
                  <w:tcBorders>
                    <w:top w:val="single" w:color="auto" w:sz="4" w:space="0"/>
                    <w:left w:val="single" w:color="auto" w:sz="8" w:space="0"/>
                    <w:bottom w:val="single" w:color="auto" w:sz="8" w:space="0"/>
                    <w:right w:val="single" w:color="auto" w:sz="4" w:space="0"/>
                  </w:tcBorders>
                  <w:vAlign w:val="center"/>
                </w:tcPr>
                <w:p w14:paraId="711EE41B">
                  <w:pPr>
                    <w:spacing w:line="0" w:lineRule="atLeast"/>
                    <w:ind w:left="-105" w:leftChars="-50" w:right="-105" w:rightChars="-50"/>
                    <w:jc w:val="center"/>
                    <w:rPr>
                      <w:color w:val="000000"/>
                      <w:szCs w:val="21"/>
                    </w:rPr>
                  </w:pPr>
                  <w:r>
                    <w:rPr>
                      <w:rFonts w:hint="eastAsia"/>
                    </w:rPr>
                    <w:t>预测值</w:t>
                  </w:r>
                  <w:r>
                    <w:t>dB</w:t>
                  </w:r>
                  <w:r>
                    <w:rPr>
                      <w:rFonts w:hint="eastAsia"/>
                    </w:rPr>
                    <w:t>（</w:t>
                  </w:r>
                  <w:r>
                    <w:t>A</w:t>
                  </w:r>
                  <w:r>
                    <w:rPr>
                      <w:rFonts w:hint="eastAsia"/>
                    </w:rPr>
                    <w:t>）</w:t>
                  </w:r>
                </w:p>
              </w:tc>
              <w:tc>
                <w:tcPr>
                  <w:tcW w:w="676" w:type="dxa"/>
                  <w:tcBorders>
                    <w:top w:val="single" w:color="auto" w:sz="4" w:space="0"/>
                    <w:left w:val="single" w:color="auto" w:sz="4" w:space="0"/>
                    <w:bottom w:val="single" w:color="auto" w:sz="8" w:space="0"/>
                    <w:right w:val="single" w:color="auto" w:sz="4" w:space="0"/>
                  </w:tcBorders>
                  <w:vAlign w:val="center"/>
                </w:tcPr>
                <w:p w14:paraId="2F90D409">
                  <w:pPr>
                    <w:spacing w:line="0" w:lineRule="atLeast"/>
                    <w:ind w:left="-105" w:leftChars="-50" w:right="-105" w:rightChars="-50"/>
                    <w:jc w:val="center"/>
                    <w:rPr>
                      <w:color w:val="000000"/>
                      <w:szCs w:val="21"/>
                    </w:rPr>
                  </w:pPr>
                  <w:r>
                    <w:rPr>
                      <w:color w:val="000000"/>
                      <w:szCs w:val="21"/>
                    </w:rPr>
                    <w:t>52.4</w:t>
                  </w:r>
                </w:p>
              </w:tc>
              <w:tc>
                <w:tcPr>
                  <w:tcW w:w="676" w:type="dxa"/>
                  <w:tcBorders>
                    <w:top w:val="single" w:color="auto" w:sz="4" w:space="0"/>
                    <w:left w:val="single" w:color="auto" w:sz="4" w:space="0"/>
                    <w:bottom w:val="single" w:color="auto" w:sz="8" w:space="0"/>
                    <w:right w:val="single" w:color="auto" w:sz="4" w:space="0"/>
                  </w:tcBorders>
                  <w:vAlign w:val="center"/>
                </w:tcPr>
                <w:p w14:paraId="0D2A1F15">
                  <w:pPr>
                    <w:spacing w:line="0" w:lineRule="atLeast"/>
                    <w:ind w:left="-105" w:leftChars="-50" w:right="-105" w:rightChars="-50"/>
                    <w:jc w:val="center"/>
                    <w:rPr>
                      <w:color w:val="000000"/>
                      <w:szCs w:val="21"/>
                    </w:rPr>
                  </w:pPr>
                  <w:r>
                    <w:rPr>
                      <w:color w:val="000000"/>
                      <w:szCs w:val="21"/>
                    </w:rPr>
                    <w:t>52.2</w:t>
                  </w:r>
                </w:p>
              </w:tc>
              <w:tc>
                <w:tcPr>
                  <w:tcW w:w="676" w:type="dxa"/>
                  <w:tcBorders>
                    <w:top w:val="single" w:color="auto" w:sz="4" w:space="0"/>
                    <w:left w:val="single" w:color="auto" w:sz="4" w:space="0"/>
                    <w:bottom w:val="single" w:color="auto" w:sz="8" w:space="0"/>
                    <w:right w:val="single" w:color="auto" w:sz="4" w:space="0"/>
                  </w:tcBorders>
                  <w:vAlign w:val="center"/>
                </w:tcPr>
                <w:p w14:paraId="0F3B9ACB">
                  <w:pPr>
                    <w:spacing w:line="0" w:lineRule="atLeast"/>
                    <w:ind w:left="-105" w:leftChars="-50" w:right="-105" w:rightChars="-50"/>
                    <w:jc w:val="center"/>
                    <w:rPr>
                      <w:color w:val="000000"/>
                      <w:szCs w:val="21"/>
                    </w:rPr>
                  </w:pPr>
                  <w:r>
                    <w:rPr>
                      <w:color w:val="000000"/>
                      <w:szCs w:val="21"/>
                    </w:rPr>
                    <w:t>51.1</w:t>
                  </w:r>
                </w:p>
              </w:tc>
              <w:tc>
                <w:tcPr>
                  <w:tcW w:w="676" w:type="dxa"/>
                  <w:tcBorders>
                    <w:top w:val="single" w:color="auto" w:sz="4" w:space="0"/>
                    <w:left w:val="single" w:color="auto" w:sz="4" w:space="0"/>
                    <w:bottom w:val="single" w:color="auto" w:sz="8" w:space="0"/>
                    <w:right w:val="single" w:color="auto" w:sz="4" w:space="0"/>
                  </w:tcBorders>
                  <w:vAlign w:val="center"/>
                </w:tcPr>
                <w:p w14:paraId="0BAB32C7">
                  <w:pPr>
                    <w:spacing w:line="0" w:lineRule="atLeast"/>
                    <w:ind w:left="-105" w:leftChars="-50" w:right="-105" w:rightChars="-50"/>
                    <w:jc w:val="center"/>
                    <w:rPr>
                      <w:color w:val="000000"/>
                      <w:szCs w:val="21"/>
                    </w:rPr>
                  </w:pPr>
                  <w:r>
                    <w:rPr>
                      <w:color w:val="000000"/>
                      <w:szCs w:val="21"/>
                    </w:rPr>
                    <w:t>48.6</w:t>
                  </w:r>
                </w:p>
              </w:tc>
              <w:tc>
                <w:tcPr>
                  <w:tcW w:w="677" w:type="dxa"/>
                  <w:tcBorders>
                    <w:top w:val="single" w:color="auto" w:sz="4" w:space="0"/>
                    <w:left w:val="single" w:color="auto" w:sz="4" w:space="0"/>
                    <w:bottom w:val="single" w:color="auto" w:sz="8" w:space="0"/>
                    <w:right w:val="single" w:color="auto" w:sz="4" w:space="0"/>
                  </w:tcBorders>
                  <w:vAlign w:val="center"/>
                </w:tcPr>
                <w:p w14:paraId="4B2934EB">
                  <w:pPr>
                    <w:spacing w:line="0" w:lineRule="atLeast"/>
                    <w:ind w:left="-105" w:leftChars="-50" w:right="-105" w:rightChars="-50"/>
                    <w:jc w:val="center"/>
                    <w:rPr>
                      <w:color w:val="000000"/>
                      <w:szCs w:val="21"/>
                    </w:rPr>
                  </w:pPr>
                  <w:r>
                    <w:rPr>
                      <w:color w:val="000000"/>
                      <w:szCs w:val="21"/>
                    </w:rPr>
                    <w:t>16.3</w:t>
                  </w:r>
                </w:p>
              </w:tc>
              <w:tc>
                <w:tcPr>
                  <w:tcW w:w="677" w:type="dxa"/>
                  <w:tcBorders>
                    <w:top w:val="single" w:color="auto" w:sz="4" w:space="0"/>
                    <w:left w:val="single" w:color="auto" w:sz="4" w:space="0"/>
                    <w:bottom w:val="single" w:color="auto" w:sz="8" w:space="0"/>
                    <w:right w:val="single" w:color="auto" w:sz="4" w:space="0"/>
                  </w:tcBorders>
                  <w:vAlign w:val="center"/>
                </w:tcPr>
                <w:p w14:paraId="768AA19D">
                  <w:pPr>
                    <w:spacing w:line="0" w:lineRule="atLeast"/>
                    <w:ind w:left="-105" w:leftChars="-50" w:right="-105" w:rightChars="-50"/>
                    <w:jc w:val="center"/>
                    <w:rPr>
                      <w:color w:val="000000"/>
                      <w:szCs w:val="21"/>
                    </w:rPr>
                  </w:pPr>
                  <w:r>
                    <w:rPr>
                      <w:color w:val="000000"/>
                      <w:szCs w:val="21"/>
                    </w:rPr>
                    <w:t>44.3</w:t>
                  </w:r>
                </w:p>
              </w:tc>
              <w:tc>
                <w:tcPr>
                  <w:tcW w:w="677" w:type="dxa"/>
                  <w:tcBorders>
                    <w:top w:val="single" w:color="auto" w:sz="4" w:space="0"/>
                    <w:left w:val="single" w:color="auto" w:sz="4" w:space="0"/>
                    <w:bottom w:val="single" w:color="auto" w:sz="8" w:space="0"/>
                    <w:right w:val="single" w:color="auto" w:sz="4" w:space="0"/>
                  </w:tcBorders>
                  <w:vAlign w:val="center"/>
                </w:tcPr>
                <w:p w14:paraId="67722849">
                  <w:pPr>
                    <w:spacing w:line="0" w:lineRule="atLeast"/>
                    <w:ind w:left="-105" w:leftChars="-50" w:right="-105" w:rightChars="-50"/>
                    <w:jc w:val="center"/>
                    <w:rPr>
                      <w:color w:val="000000"/>
                      <w:szCs w:val="21"/>
                    </w:rPr>
                  </w:pPr>
                  <w:r>
                    <w:rPr>
                      <w:color w:val="000000"/>
                      <w:szCs w:val="21"/>
                    </w:rPr>
                    <w:t>42.6</w:t>
                  </w:r>
                </w:p>
              </w:tc>
              <w:tc>
                <w:tcPr>
                  <w:tcW w:w="677" w:type="dxa"/>
                  <w:tcBorders>
                    <w:top w:val="single" w:color="auto" w:sz="4" w:space="0"/>
                    <w:left w:val="single" w:color="auto" w:sz="4" w:space="0"/>
                    <w:bottom w:val="single" w:color="auto" w:sz="8" w:space="0"/>
                    <w:right w:val="single" w:color="auto" w:sz="4" w:space="0"/>
                  </w:tcBorders>
                  <w:vAlign w:val="center"/>
                </w:tcPr>
                <w:p w14:paraId="00B50F60">
                  <w:pPr>
                    <w:spacing w:line="0" w:lineRule="atLeast"/>
                    <w:ind w:left="-105" w:leftChars="-50" w:right="-105" w:rightChars="-50"/>
                    <w:jc w:val="center"/>
                    <w:rPr>
                      <w:color w:val="000000"/>
                      <w:szCs w:val="21"/>
                    </w:rPr>
                  </w:pPr>
                  <w:r>
                    <w:rPr>
                      <w:color w:val="000000"/>
                      <w:szCs w:val="21"/>
                    </w:rPr>
                    <w:t>41.1</w:t>
                  </w:r>
                </w:p>
              </w:tc>
              <w:tc>
                <w:tcPr>
                  <w:tcW w:w="677" w:type="dxa"/>
                  <w:tcBorders>
                    <w:top w:val="single" w:color="auto" w:sz="4" w:space="0"/>
                    <w:left w:val="single" w:color="auto" w:sz="4" w:space="0"/>
                    <w:bottom w:val="single" w:color="auto" w:sz="8" w:space="0"/>
                    <w:right w:val="single" w:color="auto" w:sz="4" w:space="0"/>
                  </w:tcBorders>
                  <w:vAlign w:val="center"/>
                </w:tcPr>
                <w:p w14:paraId="47D6FF74">
                  <w:pPr>
                    <w:spacing w:line="0" w:lineRule="atLeast"/>
                    <w:ind w:left="-105" w:leftChars="-50" w:right="-105" w:rightChars="-50"/>
                    <w:jc w:val="center"/>
                    <w:rPr>
                      <w:color w:val="000000"/>
                      <w:szCs w:val="21"/>
                    </w:rPr>
                  </w:pPr>
                  <w:r>
                    <w:rPr>
                      <w:color w:val="000000"/>
                      <w:szCs w:val="21"/>
                    </w:rPr>
                    <w:t>38.8</w:t>
                  </w:r>
                </w:p>
              </w:tc>
              <w:tc>
                <w:tcPr>
                  <w:tcW w:w="677" w:type="dxa"/>
                  <w:tcBorders>
                    <w:top w:val="single" w:color="auto" w:sz="4" w:space="0"/>
                    <w:left w:val="single" w:color="auto" w:sz="4" w:space="0"/>
                    <w:bottom w:val="single" w:color="auto" w:sz="8" w:space="0"/>
                    <w:right w:val="single" w:color="auto" w:sz="8" w:space="0"/>
                  </w:tcBorders>
                  <w:vAlign w:val="center"/>
                </w:tcPr>
                <w:p w14:paraId="7518AA75">
                  <w:pPr>
                    <w:spacing w:line="0" w:lineRule="atLeast"/>
                    <w:ind w:left="-105" w:leftChars="-50" w:right="-105" w:rightChars="-50"/>
                    <w:jc w:val="center"/>
                    <w:rPr>
                      <w:color w:val="000000"/>
                      <w:szCs w:val="21"/>
                    </w:rPr>
                  </w:pPr>
                  <w:r>
                    <w:rPr>
                      <w:color w:val="000000"/>
                      <w:szCs w:val="21"/>
                    </w:rPr>
                    <w:t>36.9</w:t>
                  </w:r>
                </w:p>
              </w:tc>
            </w:tr>
          </w:tbl>
          <w:p w14:paraId="36D1E0ED">
            <w:pPr>
              <w:ind w:firstLine="480" w:firstLineChars="200"/>
              <w:rPr>
                <w:color w:val="000000"/>
                <w:sz w:val="24"/>
                <w:lang w:val="pt-BR"/>
              </w:rPr>
            </w:pPr>
            <w:r>
              <w:rPr>
                <w:rFonts w:hint="eastAsia"/>
                <w:color w:val="000000"/>
                <w:sz w:val="24"/>
                <w:lang w:val="pt-BR"/>
              </w:rPr>
              <w:t>由预测结果可知，在仅考虑距离衰减、不考虑环境因素衰减常数下，距风力发电机组</w:t>
            </w:r>
            <w:r>
              <w:rPr>
                <w:color w:val="FF0000"/>
                <w:sz w:val="24"/>
                <w:lang w:val="pt-BR"/>
              </w:rPr>
              <w:t>500m</w:t>
            </w:r>
            <w:r>
              <w:rPr>
                <w:rFonts w:hint="eastAsia"/>
                <w:color w:val="FF0000"/>
                <w:sz w:val="24"/>
                <w:lang w:val="pt-BR"/>
              </w:rPr>
              <w:t>处</w:t>
            </w:r>
            <w:r>
              <w:rPr>
                <w:rFonts w:hint="eastAsia"/>
                <w:color w:val="000000"/>
                <w:sz w:val="24"/>
                <w:lang w:val="pt-BR"/>
              </w:rPr>
              <w:t>（地面水平距离）的噪声影响值为</w:t>
            </w:r>
            <w:r>
              <w:rPr>
                <w:color w:val="FF0000"/>
                <w:sz w:val="24"/>
                <w:lang w:val="pt-BR"/>
              </w:rPr>
              <w:t>36.9dB</w:t>
            </w:r>
            <w:r>
              <w:rPr>
                <w:rFonts w:hint="eastAsia"/>
                <w:color w:val="FF0000"/>
                <w:sz w:val="24"/>
                <w:lang w:val="pt-BR"/>
              </w:rPr>
              <w:t>（</w:t>
            </w:r>
            <w:r>
              <w:rPr>
                <w:color w:val="FF0000"/>
                <w:sz w:val="24"/>
                <w:lang w:val="pt-BR"/>
              </w:rPr>
              <w:t>A</w:t>
            </w:r>
            <w:r>
              <w:rPr>
                <w:rFonts w:hint="eastAsia"/>
                <w:color w:val="FF0000"/>
                <w:sz w:val="24"/>
                <w:lang w:val="pt-BR"/>
              </w:rPr>
              <w:t>）</w:t>
            </w:r>
            <w:r>
              <w:rPr>
                <w:rFonts w:hint="eastAsia"/>
                <w:color w:val="000000"/>
                <w:sz w:val="24"/>
                <w:lang w:val="pt-BR"/>
              </w:rPr>
              <w:t>，能达到《工业企业厂界环境噪声排放标准》中的</w:t>
            </w:r>
            <w:r>
              <w:rPr>
                <w:color w:val="000000"/>
                <w:sz w:val="24"/>
                <w:lang w:val="pt-BR"/>
              </w:rPr>
              <w:t>1</w:t>
            </w:r>
            <w:r>
              <w:rPr>
                <w:rFonts w:hint="eastAsia"/>
                <w:color w:val="000000"/>
                <w:sz w:val="24"/>
                <w:lang w:val="pt-BR"/>
              </w:rPr>
              <w:t>类标准要求。故距离风力发电机组</w:t>
            </w:r>
            <w:r>
              <w:rPr>
                <w:color w:val="FF0000"/>
                <w:sz w:val="24"/>
                <w:lang w:val="pt-BR"/>
              </w:rPr>
              <w:t>500</w:t>
            </w:r>
            <w:r>
              <w:rPr>
                <w:color w:val="000000"/>
                <w:sz w:val="24"/>
                <w:lang w:val="pt-BR"/>
              </w:rPr>
              <w:t>m</w:t>
            </w:r>
            <w:r>
              <w:rPr>
                <w:rFonts w:hint="eastAsia"/>
                <w:color w:val="000000"/>
                <w:sz w:val="24"/>
                <w:lang w:val="pt-BR"/>
              </w:rPr>
              <w:t>外可满足《工业企业厂界环境噪声排放标准》中的</w:t>
            </w:r>
            <w:r>
              <w:rPr>
                <w:color w:val="000000"/>
                <w:sz w:val="24"/>
                <w:lang w:val="pt-BR"/>
              </w:rPr>
              <w:t>1</w:t>
            </w:r>
            <w:r>
              <w:rPr>
                <w:rFonts w:hint="eastAsia"/>
                <w:color w:val="000000"/>
                <w:sz w:val="24"/>
                <w:lang w:val="pt-BR"/>
              </w:rPr>
              <w:t>类标准要求。</w:t>
            </w:r>
          </w:p>
          <w:p w14:paraId="3DD20C01">
            <w:pPr>
              <w:ind w:firstLine="480" w:firstLineChars="200"/>
              <w:rPr>
                <w:color w:val="000000"/>
                <w:sz w:val="24"/>
                <w:lang w:val="pt-BR"/>
              </w:rPr>
            </w:pPr>
            <w:r>
              <w:rPr>
                <w:rFonts w:hint="eastAsia"/>
                <w:color w:val="000000"/>
                <w:sz w:val="24"/>
                <w:lang w:val="pt-BR"/>
              </w:rPr>
              <w:t>本项目距离风力发电机最近的居民点为位于</w:t>
            </w:r>
            <w:r>
              <w:rPr>
                <w:color w:val="000000"/>
                <w:sz w:val="24"/>
                <w:lang w:val="pt-BR"/>
              </w:rPr>
              <w:t>19</w:t>
            </w:r>
            <w:r>
              <w:rPr>
                <w:rFonts w:hint="eastAsia"/>
                <w:color w:val="000000"/>
                <w:sz w:val="24"/>
                <w:lang w:val="pt-BR"/>
              </w:rPr>
              <w:t>号风力发电机西南</w:t>
            </w:r>
            <w:r>
              <w:rPr>
                <w:color w:val="000000"/>
                <w:sz w:val="24"/>
                <w:lang w:val="pt-BR"/>
              </w:rPr>
              <w:t>532m</w:t>
            </w:r>
            <w:r>
              <w:rPr>
                <w:rFonts w:hint="eastAsia"/>
                <w:color w:val="000000"/>
                <w:sz w:val="24"/>
                <w:lang w:val="pt-BR"/>
              </w:rPr>
              <w:t>的德热木其音敖包，不在风机噪声影响范围内。</w:t>
            </w:r>
            <w:r>
              <w:rPr>
                <w:rFonts w:hint="eastAsia"/>
                <w:color w:val="FF0000"/>
                <w:sz w:val="24"/>
                <w:lang w:val="pt-BR"/>
              </w:rPr>
              <w:t>同时风力发电机组采取了减震措施，在风力发电机组启动前对设备进行调试，可减少风力发电机组的启动噪声，</w:t>
            </w:r>
            <w:r>
              <w:rPr>
                <w:rFonts w:hint="eastAsia"/>
                <w:color w:val="000000"/>
                <w:sz w:val="24"/>
                <w:lang w:val="pt-BR"/>
              </w:rPr>
              <w:t>因此本项目运营期风机噪声对该居民点影响较小。</w:t>
            </w:r>
          </w:p>
          <w:p w14:paraId="40D3029A">
            <w:pPr>
              <w:ind w:firstLine="480" w:firstLineChars="200"/>
              <w:rPr>
                <w:sz w:val="24"/>
                <w:lang w:val="pt-BR"/>
              </w:rPr>
            </w:pPr>
            <w:r>
              <w:rPr>
                <w:rFonts w:hint="eastAsia"/>
                <w:sz w:val="24"/>
                <w:lang w:val="pt-BR"/>
              </w:rPr>
              <w:t>（</w:t>
            </w:r>
            <w:r>
              <w:rPr>
                <w:sz w:val="24"/>
                <w:lang w:val="pt-BR"/>
              </w:rPr>
              <w:t>2</w:t>
            </w:r>
            <w:r>
              <w:rPr>
                <w:rFonts w:hint="eastAsia"/>
                <w:sz w:val="24"/>
                <w:lang w:val="pt-BR"/>
              </w:rPr>
              <w:t>）升压站噪声影响分析</w:t>
            </w:r>
          </w:p>
          <w:p w14:paraId="47D2E9A6">
            <w:pPr>
              <w:ind w:firstLine="480" w:firstLineChars="200"/>
              <w:rPr>
                <w:color w:val="000000"/>
                <w:sz w:val="24"/>
                <w:lang w:val="pt-BR"/>
              </w:rPr>
            </w:pPr>
            <w:r>
              <w:rPr>
                <w:rFonts w:hint="eastAsia"/>
                <w:color w:val="000000"/>
                <w:sz w:val="24"/>
                <w:lang w:val="pt-BR"/>
              </w:rPr>
              <w:t>①</w:t>
            </w:r>
            <w:r>
              <w:rPr>
                <w:color w:val="000000"/>
                <w:sz w:val="24"/>
                <w:lang w:val="pt-BR"/>
              </w:rPr>
              <w:t xml:space="preserve"> </w:t>
            </w:r>
            <w:r>
              <w:rPr>
                <w:rFonts w:hint="eastAsia"/>
                <w:color w:val="000000"/>
                <w:sz w:val="24"/>
                <w:lang w:val="pt-BR"/>
              </w:rPr>
              <w:t>噪声源分布</w:t>
            </w:r>
          </w:p>
          <w:p w14:paraId="71A0B8F5">
            <w:pPr>
              <w:ind w:firstLine="480" w:firstLineChars="200"/>
              <w:rPr>
                <w:color w:val="000000"/>
                <w:sz w:val="24"/>
                <w:lang w:val="pt-BR"/>
              </w:rPr>
            </w:pPr>
            <w:r>
              <w:rPr>
                <w:rFonts w:hint="eastAsia"/>
                <w:color w:val="000000"/>
                <w:sz w:val="24"/>
                <w:lang w:val="pt-BR"/>
              </w:rPr>
              <w:t>本期工程在风电场升压站内新建</w:t>
            </w:r>
            <w:r>
              <w:rPr>
                <w:color w:val="000000"/>
                <w:sz w:val="24"/>
                <w:lang w:val="pt-BR"/>
              </w:rPr>
              <w:t>2</w:t>
            </w:r>
            <w:r>
              <w:rPr>
                <w:rFonts w:hint="eastAsia"/>
                <w:color w:val="000000"/>
                <w:sz w:val="24"/>
                <w:lang w:val="pt-BR"/>
              </w:rPr>
              <w:t>台主变，容量为</w:t>
            </w:r>
            <w:r>
              <w:rPr>
                <w:color w:val="000000"/>
                <w:sz w:val="24"/>
                <w:lang w:val="pt-BR"/>
              </w:rPr>
              <w:t>150MVA</w:t>
            </w:r>
            <w:r>
              <w:rPr>
                <w:rFonts w:hint="eastAsia"/>
                <w:color w:val="000000"/>
                <w:sz w:val="24"/>
                <w:lang w:val="pt-BR"/>
              </w:rPr>
              <w:t>，升压站的噪声源主要来自主变压器，主要噪声源情况详见表</w:t>
            </w:r>
            <w:r>
              <w:rPr>
                <w:color w:val="000000"/>
                <w:sz w:val="24"/>
                <w:lang w:val="pt-BR"/>
              </w:rPr>
              <w:t>24</w:t>
            </w:r>
            <w:r>
              <w:rPr>
                <w:rFonts w:hint="eastAsia"/>
                <w:color w:val="000000"/>
                <w:sz w:val="24"/>
                <w:lang w:val="pt-BR"/>
              </w:rPr>
              <w:t>。</w:t>
            </w:r>
          </w:p>
          <w:p w14:paraId="2C008705">
            <w:pPr>
              <w:ind w:firstLine="480" w:firstLineChars="200"/>
              <w:rPr>
                <w:rFonts w:ascii="黑体" w:hAnsi="黑体" w:eastAsia="黑体"/>
                <w:color w:val="000000"/>
                <w:sz w:val="24"/>
              </w:rPr>
            </w:pPr>
            <w:r>
              <w:rPr>
                <w:rFonts w:hint="eastAsia" w:ascii="黑体" w:hAnsi="黑体" w:eastAsia="黑体"/>
                <w:color w:val="000000"/>
                <w:sz w:val="24"/>
              </w:rPr>
              <w:t xml:space="preserve">表24                  升压站主要噪声源情况     </w:t>
            </w:r>
          </w:p>
          <w:tbl>
            <w:tblPr>
              <w:tblStyle w:val="25"/>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1005"/>
              <w:gridCol w:w="840"/>
              <w:gridCol w:w="611"/>
              <w:gridCol w:w="921"/>
              <w:gridCol w:w="940"/>
              <w:gridCol w:w="1086"/>
              <w:gridCol w:w="1086"/>
              <w:gridCol w:w="1086"/>
              <w:gridCol w:w="1214"/>
            </w:tblGrid>
            <w:tr w14:paraId="334F6D5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1005" w:type="dxa"/>
                  <w:vMerge w:val="restart"/>
                  <w:tcBorders>
                    <w:top w:val="single" w:color="auto" w:sz="8" w:space="0"/>
                    <w:left w:val="single" w:color="auto" w:sz="8" w:space="0"/>
                    <w:bottom w:val="single" w:color="auto" w:sz="4" w:space="0"/>
                    <w:right w:val="single" w:color="auto" w:sz="4" w:space="0"/>
                  </w:tcBorders>
                  <w:vAlign w:val="center"/>
                </w:tcPr>
                <w:p w14:paraId="58776027">
                  <w:pPr>
                    <w:spacing w:line="0" w:lineRule="atLeast"/>
                    <w:ind w:left="-105" w:leftChars="-50" w:right="-105" w:rightChars="-50"/>
                    <w:jc w:val="center"/>
                    <w:rPr>
                      <w:color w:val="000000"/>
                      <w:szCs w:val="21"/>
                    </w:rPr>
                  </w:pPr>
                  <w:r>
                    <w:rPr>
                      <w:rFonts w:hint="eastAsia"/>
                      <w:color w:val="000000"/>
                      <w:szCs w:val="21"/>
                    </w:rPr>
                    <w:t>设备名称</w:t>
                  </w:r>
                </w:p>
              </w:tc>
              <w:tc>
                <w:tcPr>
                  <w:tcW w:w="840" w:type="dxa"/>
                  <w:vMerge w:val="restart"/>
                  <w:tcBorders>
                    <w:top w:val="single" w:color="auto" w:sz="8" w:space="0"/>
                    <w:left w:val="single" w:color="auto" w:sz="4" w:space="0"/>
                    <w:bottom w:val="single" w:color="auto" w:sz="4" w:space="0"/>
                    <w:right w:val="single" w:color="auto" w:sz="4" w:space="0"/>
                  </w:tcBorders>
                  <w:vAlign w:val="center"/>
                </w:tcPr>
                <w:p w14:paraId="6F44A57F">
                  <w:pPr>
                    <w:spacing w:line="0" w:lineRule="atLeast"/>
                    <w:ind w:left="-105" w:leftChars="-50" w:right="-105" w:rightChars="-50"/>
                    <w:jc w:val="center"/>
                    <w:rPr>
                      <w:color w:val="000000"/>
                      <w:szCs w:val="21"/>
                    </w:rPr>
                  </w:pPr>
                  <w:r>
                    <w:rPr>
                      <w:rFonts w:hint="eastAsia"/>
                      <w:color w:val="000000"/>
                      <w:szCs w:val="21"/>
                    </w:rPr>
                    <w:t>源强</w:t>
                  </w:r>
                </w:p>
                <w:p w14:paraId="50E340BA">
                  <w:pPr>
                    <w:spacing w:line="0" w:lineRule="atLeast"/>
                    <w:ind w:left="-105" w:leftChars="-50" w:right="-105" w:rightChars="-50"/>
                    <w:jc w:val="center"/>
                    <w:rPr>
                      <w:color w:val="000000"/>
                      <w:szCs w:val="21"/>
                    </w:rPr>
                  </w:pPr>
                  <w:r>
                    <w:rPr>
                      <w:color w:val="000000"/>
                      <w:szCs w:val="21"/>
                    </w:rPr>
                    <w:t>dB</w:t>
                  </w:r>
                  <w:r>
                    <w:rPr>
                      <w:rFonts w:hint="eastAsia"/>
                      <w:color w:val="000000"/>
                      <w:szCs w:val="21"/>
                    </w:rPr>
                    <w:t>（</w:t>
                  </w:r>
                  <w:r>
                    <w:rPr>
                      <w:color w:val="000000"/>
                      <w:szCs w:val="21"/>
                    </w:rPr>
                    <w:t>A</w:t>
                  </w:r>
                  <w:r>
                    <w:rPr>
                      <w:rFonts w:hint="eastAsia"/>
                      <w:color w:val="000000"/>
                      <w:szCs w:val="21"/>
                    </w:rPr>
                    <w:t>）</w:t>
                  </w:r>
                </w:p>
              </w:tc>
              <w:tc>
                <w:tcPr>
                  <w:tcW w:w="611" w:type="dxa"/>
                  <w:vMerge w:val="restart"/>
                  <w:tcBorders>
                    <w:top w:val="single" w:color="auto" w:sz="8" w:space="0"/>
                    <w:left w:val="single" w:color="auto" w:sz="4" w:space="0"/>
                    <w:bottom w:val="single" w:color="auto" w:sz="4" w:space="0"/>
                    <w:right w:val="single" w:color="auto" w:sz="4" w:space="0"/>
                  </w:tcBorders>
                  <w:vAlign w:val="center"/>
                </w:tcPr>
                <w:p w14:paraId="5FBA436E">
                  <w:pPr>
                    <w:spacing w:line="0" w:lineRule="atLeast"/>
                    <w:ind w:left="-105" w:leftChars="-50" w:right="-105" w:rightChars="-50"/>
                    <w:jc w:val="center"/>
                    <w:rPr>
                      <w:color w:val="000000"/>
                      <w:szCs w:val="21"/>
                    </w:rPr>
                  </w:pPr>
                  <w:r>
                    <w:rPr>
                      <w:rFonts w:hint="eastAsia"/>
                      <w:color w:val="000000"/>
                      <w:szCs w:val="21"/>
                    </w:rPr>
                    <w:t>数量（台）</w:t>
                  </w:r>
                </w:p>
              </w:tc>
              <w:tc>
                <w:tcPr>
                  <w:tcW w:w="921" w:type="dxa"/>
                  <w:vMerge w:val="restart"/>
                  <w:tcBorders>
                    <w:top w:val="single" w:color="auto" w:sz="8" w:space="0"/>
                    <w:left w:val="single" w:color="auto" w:sz="4" w:space="0"/>
                    <w:bottom w:val="single" w:color="auto" w:sz="4" w:space="0"/>
                    <w:right w:val="single" w:color="auto" w:sz="4" w:space="0"/>
                  </w:tcBorders>
                  <w:vAlign w:val="center"/>
                </w:tcPr>
                <w:p w14:paraId="19C8084B">
                  <w:pPr>
                    <w:spacing w:line="0" w:lineRule="atLeast"/>
                    <w:ind w:left="-105" w:leftChars="-50" w:right="-105" w:rightChars="-50"/>
                    <w:jc w:val="center"/>
                    <w:rPr>
                      <w:color w:val="000000"/>
                      <w:szCs w:val="21"/>
                    </w:rPr>
                  </w:pPr>
                  <w:r>
                    <w:rPr>
                      <w:rFonts w:hint="eastAsia"/>
                      <w:color w:val="000000"/>
                      <w:szCs w:val="21"/>
                    </w:rPr>
                    <w:t>声源分类</w:t>
                  </w:r>
                </w:p>
              </w:tc>
              <w:tc>
                <w:tcPr>
                  <w:tcW w:w="940" w:type="dxa"/>
                  <w:vMerge w:val="restart"/>
                  <w:tcBorders>
                    <w:top w:val="single" w:color="auto" w:sz="8" w:space="0"/>
                    <w:left w:val="single" w:color="auto" w:sz="4" w:space="0"/>
                    <w:bottom w:val="single" w:color="auto" w:sz="4" w:space="0"/>
                    <w:right w:val="single" w:color="auto" w:sz="4" w:space="0"/>
                  </w:tcBorders>
                  <w:vAlign w:val="center"/>
                </w:tcPr>
                <w:p w14:paraId="6B25F927">
                  <w:pPr>
                    <w:spacing w:line="0" w:lineRule="atLeast"/>
                    <w:ind w:left="-105" w:leftChars="-50" w:right="-105" w:rightChars="-50"/>
                    <w:jc w:val="center"/>
                    <w:rPr>
                      <w:color w:val="000000"/>
                      <w:szCs w:val="21"/>
                    </w:rPr>
                  </w:pPr>
                  <w:r>
                    <w:rPr>
                      <w:rFonts w:hint="eastAsia"/>
                      <w:color w:val="000000"/>
                      <w:szCs w:val="21"/>
                    </w:rPr>
                    <w:t>排放规律</w:t>
                  </w:r>
                </w:p>
              </w:tc>
              <w:tc>
                <w:tcPr>
                  <w:tcW w:w="4472" w:type="dxa"/>
                  <w:gridSpan w:val="4"/>
                  <w:tcBorders>
                    <w:top w:val="single" w:color="auto" w:sz="8" w:space="0"/>
                    <w:left w:val="single" w:color="auto" w:sz="4" w:space="0"/>
                    <w:bottom w:val="single" w:color="auto" w:sz="4" w:space="0"/>
                    <w:right w:val="single" w:color="auto" w:sz="8" w:space="0"/>
                  </w:tcBorders>
                  <w:vAlign w:val="center"/>
                </w:tcPr>
                <w:p w14:paraId="611F7244">
                  <w:pPr>
                    <w:spacing w:line="0" w:lineRule="atLeast"/>
                    <w:ind w:left="-105" w:leftChars="-50" w:right="-105" w:rightChars="-50"/>
                    <w:jc w:val="center"/>
                    <w:rPr>
                      <w:color w:val="000000"/>
                      <w:szCs w:val="21"/>
                    </w:rPr>
                  </w:pPr>
                  <w:r>
                    <w:rPr>
                      <w:rFonts w:hint="eastAsia"/>
                      <w:color w:val="000000"/>
                      <w:szCs w:val="21"/>
                    </w:rPr>
                    <w:t>噪声设备中心点与各侧厂界的最近距离（</w:t>
                  </w:r>
                  <w:r>
                    <w:rPr>
                      <w:color w:val="000000"/>
                      <w:szCs w:val="21"/>
                    </w:rPr>
                    <w:t>m</w:t>
                  </w:r>
                  <w:r>
                    <w:rPr>
                      <w:rFonts w:hint="eastAsia"/>
                      <w:color w:val="000000"/>
                      <w:szCs w:val="21"/>
                    </w:rPr>
                    <w:t>）</w:t>
                  </w:r>
                </w:p>
              </w:tc>
            </w:tr>
            <w:tr w14:paraId="581A045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1005" w:type="dxa"/>
                  <w:vMerge w:val="continue"/>
                  <w:tcBorders>
                    <w:top w:val="single" w:color="auto" w:sz="8" w:space="0"/>
                    <w:left w:val="single" w:color="auto" w:sz="8" w:space="0"/>
                    <w:bottom w:val="single" w:color="auto" w:sz="4" w:space="0"/>
                    <w:right w:val="single" w:color="auto" w:sz="4" w:space="0"/>
                  </w:tcBorders>
                  <w:vAlign w:val="center"/>
                </w:tcPr>
                <w:p w14:paraId="214FEE77">
                  <w:pPr>
                    <w:widowControl/>
                    <w:spacing w:line="240" w:lineRule="auto"/>
                    <w:jc w:val="left"/>
                    <w:rPr>
                      <w:color w:val="000000"/>
                      <w:szCs w:val="21"/>
                    </w:rPr>
                  </w:pPr>
                </w:p>
              </w:tc>
              <w:tc>
                <w:tcPr>
                  <w:tcW w:w="840" w:type="dxa"/>
                  <w:vMerge w:val="continue"/>
                  <w:tcBorders>
                    <w:top w:val="single" w:color="auto" w:sz="8" w:space="0"/>
                    <w:left w:val="single" w:color="auto" w:sz="4" w:space="0"/>
                    <w:bottom w:val="single" w:color="auto" w:sz="4" w:space="0"/>
                    <w:right w:val="single" w:color="auto" w:sz="4" w:space="0"/>
                  </w:tcBorders>
                  <w:vAlign w:val="center"/>
                </w:tcPr>
                <w:p w14:paraId="5C8FDD0B">
                  <w:pPr>
                    <w:widowControl/>
                    <w:spacing w:line="240" w:lineRule="auto"/>
                    <w:jc w:val="left"/>
                    <w:rPr>
                      <w:color w:val="000000"/>
                      <w:szCs w:val="21"/>
                    </w:rPr>
                  </w:pPr>
                </w:p>
              </w:tc>
              <w:tc>
                <w:tcPr>
                  <w:tcW w:w="611" w:type="dxa"/>
                  <w:vMerge w:val="continue"/>
                  <w:tcBorders>
                    <w:top w:val="single" w:color="auto" w:sz="8" w:space="0"/>
                    <w:left w:val="single" w:color="auto" w:sz="4" w:space="0"/>
                    <w:bottom w:val="single" w:color="auto" w:sz="4" w:space="0"/>
                    <w:right w:val="single" w:color="auto" w:sz="4" w:space="0"/>
                  </w:tcBorders>
                  <w:vAlign w:val="center"/>
                </w:tcPr>
                <w:p w14:paraId="1806C064">
                  <w:pPr>
                    <w:widowControl/>
                    <w:spacing w:line="240" w:lineRule="auto"/>
                    <w:jc w:val="left"/>
                    <w:rPr>
                      <w:color w:val="000000"/>
                      <w:szCs w:val="21"/>
                    </w:rPr>
                  </w:pPr>
                </w:p>
              </w:tc>
              <w:tc>
                <w:tcPr>
                  <w:tcW w:w="921" w:type="dxa"/>
                  <w:vMerge w:val="continue"/>
                  <w:tcBorders>
                    <w:top w:val="single" w:color="auto" w:sz="8" w:space="0"/>
                    <w:left w:val="single" w:color="auto" w:sz="4" w:space="0"/>
                    <w:bottom w:val="single" w:color="auto" w:sz="4" w:space="0"/>
                    <w:right w:val="single" w:color="auto" w:sz="4" w:space="0"/>
                  </w:tcBorders>
                  <w:vAlign w:val="center"/>
                </w:tcPr>
                <w:p w14:paraId="0BC84A57">
                  <w:pPr>
                    <w:widowControl/>
                    <w:spacing w:line="240" w:lineRule="auto"/>
                    <w:jc w:val="left"/>
                    <w:rPr>
                      <w:color w:val="000000"/>
                      <w:szCs w:val="21"/>
                    </w:rPr>
                  </w:pPr>
                </w:p>
              </w:tc>
              <w:tc>
                <w:tcPr>
                  <w:tcW w:w="940" w:type="dxa"/>
                  <w:vMerge w:val="continue"/>
                  <w:tcBorders>
                    <w:top w:val="single" w:color="auto" w:sz="8" w:space="0"/>
                    <w:left w:val="single" w:color="auto" w:sz="4" w:space="0"/>
                    <w:bottom w:val="single" w:color="auto" w:sz="4" w:space="0"/>
                    <w:right w:val="single" w:color="auto" w:sz="4" w:space="0"/>
                  </w:tcBorders>
                  <w:vAlign w:val="center"/>
                </w:tcPr>
                <w:p w14:paraId="365922ED">
                  <w:pPr>
                    <w:widowControl/>
                    <w:spacing w:line="240" w:lineRule="auto"/>
                    <w:jc w:val="left"/>
                    <w:rPr>
                      <w:color w:val="000000"/>
                      <w:szCs w:val="21"/>
                    </w:rPr>
                  </w:pPr>
                </w:p>
              </w:tc>
              <w:tc>
                <w:tcPr>
                  <w:tcW w:w="1086" w:type="dxa"/>
                  <w:tcBorders>
                    <w:top w:val="single" w:color="auto" w:sz="4" w:space="0"/>
                    <w:left w:val="single" w:color="auto" w:sz="4" w:space="0"/>
                    <w:bottom w:val="single" w:color="auto" w:sz="4" w:space="0"/>
                    <w:right w:val="single" w:color="auto" w:sz="4" w:space="0"/>
                  </w:tcBorders>
                  <w:vAlign w:val="center"/>
                </w:tcPr>
                <w:p w14:paraId="45C2FF90">
                  <w:pPr>
                    <w:spacing w:line="0" w:lineRule="atLeast"/>
                    <w:ind w:left="-105" w:leftChars="-50" w:right="-105" w:rightChars="-50"/>
                    <w:jc w:val="center"/>
                    <w:rPr>
                      <w:color w:val="000000"/>
                      <w:szCs w:val="21"/>
                    </w:rPr>
                  </w:pPr>
                  <w:r>
                    <w:rPr>
                      <w:rFonts w:hint="eastAsia"/>
                      <w:color w:val="000000"/>
                      <w:szCs w:val="21"/>
                    </w:rPr>
                    <w:t>东场界</w:t>
                  </w:r>
                </w:p>
              </w:tc>
              <w:tc>
                <w:tcPr>
                  <w:tcW w:w="1086" w:type="dxa"/>
                  <w:tcBorders>
                    <w:top w:val="single" w:color="auto" w:sz="4" w:space="0"/>
                    <w:left w:val="single" w:color="auto" w:sz="4" w:space="0"/>
                    <w:bottom w:val="single" w:color="auto" w:sz="4" w:space="0"/>
                    <w:right w:val="single" w:color="auto" w:sz="4" w:space="0"/>
                  </w:tcBorders>
                  <w:vAlign w:val="center"/>
                </w:tcPr>
                <w:p w14:paraId="2589D237">
                  <w:pPr>
                    <w:spacing w:line="0" w:lineRule="atLeast"/>
                    <w:ind w:left="-105" w:leftChars="-50" w:right="-105" w:rightChars="-50"/>
                    <w:jc w:val="center"/>
                    <w:rPr>
                      <w:color w:val="000000"/>
                      <w:szCs w:val="21"/>
                    </w:rPr>
                  </w:pPr>
                  <w:r>
                    <w:rPr>
                      <w:rFonts w:hint="eastAsia"/>
                      <w:color w:val="000000"/>
                      <w:szCs w:val="21"/>
                    </w:rPr>
                    <w:t>南场界</w:t>
                  </w:r>
                </w:p>
              </w:tc>
              <w:tc>
                <w:tcPr>
                  <w:tcW w:w="1086" w:type="dxa"/>
                  <w:tcBorders>
                    <w:top w:val="single" w:color="auto" w:sz="4" w:space="0"/>
                    <w:left w:val="single" w:color="auto" w:sz="4" w:space="0"/>
                    <w:bottom w:val="single" w:color="auto" w:sz="4" w:space="0"/>
                    <w:right w:val="single" w:color="auto" w:sz="4" w:space="0"/>
                  </w:tcBorders>
                  <w:vAlign w:val="center"/>
                </w:tcPr>
                <w:p w14:paraId="2564AA57">
                  <w:pPr>
                    <w:spacing w:line="0" w:lineRule="atLeast"/>
                    <w:ind w:left="-105" w:leftChars="-50" w:right="-105" w:rightChars="-50"/>
                    <w:jc w:val="center"/>
                    <w:rPr>
                      <w:color w:val="000000"/>
                      <w:szCs w:val="21"/>
                    </w:rPr>
                  </w:pPr>
                  <w:r>
                    <w:rPr>
                      <w:rFonts w:hint="eastAsia"/>
                      <w:color w:val="000000"/>
                      <w:szCs w:val="21"/>
                    </w:rPr>
                    <w:t>西场界</w:t>
                  </w:r>
                </w:p>
              </w:tc>
              <w:tc>
                <w:tcPr>
                  <w:tcW w:w="1214" w:type="dxa"/>
                  <w:tcBorders>
                    <w:top w:val="single" w:color="auto" w:sz="4" w:space="0"/>
                    <w:left w:val="single" w:color="auto" w:sz="4" w:space="0"/>
                    <w:bottom w:val="single" w:color="auto" w:sz="4" w:space="0"/>
                    <w:right w:val="single" w:color="auto" w:sz="8" w:space="0"/>
                  </w:tcBorders>
                  <w:vAlign w:val="center"/>
                </w:tcPr>
                <w:p w14:paraId="1587D830">
                  <w:pPr>
                    <w:spacing w:line="0" w:lineRule="atLeast"/>
                    <w:ind w:left="-105" w:leftChars="-50" w:right="-105" w:rightChars="-50"/>
                    <w:jc w:val="center"/>
                    <w:rPr>
                      <w:color w:val="000000"/>
                      <w:szCs w:val="21"/>
                    </w:rPr>
                  </w:pPr>
                  <w:r>
                    <w:rPr>
                      <w:rFonts w:hint="eastAsia"/>
                      <w:color w:val="000000"/>
                      <w:szCs w:val="21"/>
                    </w:rPr>
                    <w:t>北场界</w:t>
                  </w:r>
                </w:p>
              </w:tc>
            </w:tr>
            <w:tr w14:paraId="1B6E61B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1005" w:type="dxa"/>
                  <w:tcBorders>
                    <w:top w:val="single" w:color="auto" w:sz="4" w:space="0"/>
                    <w:left w:val="single" w:color="auto" w:sz="8" w:space="0"/>
                    <w:bottom w:val="single" w:color="auto" w:sz="8" w:space="0"/>
                    <w:right w:val="single" w:color="auto" w:sz="4" w:space="0"/>
                  </w:tcBorders>
                  <w:vAlign w:val="center"/>
                </w:tcPr>
                <w:p w14:paraId="58F8103B">
                  <w:pPr>
                    <w:spacing w:line="0" w:lineRule="atLeast"/>
                    <w:ind w:left="-105" w:leftChars="-50" w:right="-105" w:rightChars="-50"/>
                    <w:jc w:val="center"/>
                    <w:rPr>
                      <w:color w:val="000000"/>
                      <w:szCs w:val="21"/>
                    </w:rPr>
                  </w:pPr>
                  <w:r>
                    <w:rPr>
                      <w:rFonts w:hint="eastAsia"/>
                    </w:rPr>
                    <w:t>主变压器</w:t>
                  </w:r>
                </w:p>
              </w:tc>
              <w:tc>
                <w:tcPr>
                  <w:tcW w:w="840" w:type="dxa"/>
                  <w:tcBorders>
                    <w:top w:val="single" w:color="auto" w:sz="4" w:space="0"/>
                    <w:left w:val="single" w:color="auto" w:sz="4" w:space="0"/>
                    <w:bottom w:val="single" w:color="auto" w:sz="8" w:space="0"/>
                    <w:right w:val="single" w:color="auto" w:sz="4" w:space="0"/>
                  </w:tcBorders>
                  <w:vAlign w:val="center"/>
                </w:tcPr>
                <w:p w14:paraId="0011C2BF">
                  <w:pPr>
                    <w:spacing w:line="0" w:lineRule="atLeast"/>
                    <w:ind w:left="-105" w:leftChars="-50" w:right="-105" w:rightChars="-50"/>
                    <w:jc w:val="center"/>
                    <w:rPr>
                      <w:color w:val="000000"/>
                      <w:szCs w:val="21"/>
                    </w:rPr>
                  </w:pPr>
                  <w:r>
                    <w:rPr>
                      <w:color w:val="000000"/>
                      <w:szCs w:val="21"/>
                    </w:rPr>
                    <w:t>75</w:t>
                  </w:r>
                </w:p>
              </w:tc>
              <w:tc>
                <w:tcPr>
                  <w:tcW w:w="611" w:type="dxa"/>
                  <w:tcBorders>
                    <w:top w:val="single" w:color="auto" w:sz="4" w:space="0"/>
                    <w:left w:val="single" w:color="auto" w:sz="4" w:space="0"/>
                    <w:bottom w:val="single" w:color="auto" w:sz="8" w:space="0"/>
                    <w:right w:val="single" w:color="auto" w:sz="4" w:space="0"/>
                  </w:tcBorders>
                  <w:vAlign w:val="center"/>
                </w:tcPr>
                <w:p w14:paraId="0CE31ADC">
                  <w:pPr>
                    <w:spacing w:line="0" w:lineRule="atLeast"/>
                    <w:jc w:val="center"/>
                    <w:rPr>
                      <w:color w:val="000000"/>
                      <w:szCs w:val="21"/>
                    </w:rPr>
                  </w:pPr>
                  <w:r>
                    <w:rPr>
                      <w:color w:val="000000"/>
                      <w:szCs w:val="21"/>
                    </w:rPr>
                    <w:t>2</w:t>
                  </w:r>
                </w:p>
              </w:tc>
              <w:tc>
                <w:tcPr>
                  <w:tcW w:w="921" w:type="dxa"/>
                  <w:tcBorders>
                    <w:top w:val="single" w:color="auto" w:sz="4" w:space="0"/>
                    <w:left w:val="single" w:color="auto" w:sz="4" w:space="0"/>
                    <w:bottom w:val="single" w:color="auto" w:sz="8" w:space="0"/>
                    <w:right w:val="single" w:color="auto" w:sz="4" w:space="0"/>
                  </w:tcBorders>
                  <w:vAlign w:val="center"/>
                </w:tcPr>
                <w:p w14:paraId="25C8C6F6">
                  <w:pPr>
                    <w:spacing w:line="0" w:lineRule="atLeast"/>
                    <w:ind w:left="-105" w:leftChars="-50" w:right="-105" w:rightChars="-50"/>
                    <w:jc w:val="center"/>
                    <w:rPr>
                      <w:color w:val="000000"/>
                      <w:szCs w:val="21"/>
                    </w:rPr>
                  </w:pPr>
                  <w:r>
                    <w:rPr>
                      <w:rFonts w:hint="eastAsia"/>
                      <w:color w:val="000000"/>
                      <w:szCs w:val="21"/>
                    </w:rPr>
                    <w:t>室外</w:t>
                  </w:r>
                </w:p>
              </w:tc>
              <w:tc>
                <w:tcPr>
                  <w:tcW w:w="940" w:type="dxa"/>
                  <w:tcBorders>
                    <w:top w:val="single" w:color="auto" w:sz="4" w:space="0"/>
                    <w:left w:val="single" w:color="auto" w:sz="4" w:space="0"/>
                    <w:bottom w:val="single" w:color="auto" w:sz="8" w:space="0"/>
                    <w:right w:val="single" w:color="auto" w:sz="4" w:space="0"/>
                  </w:tcBorders>
                  <w:vAlign w:val="center"/>
                </w:tcPr>
                <w:p w14:paraId="5301B3DE">
                  <w:pPr>
                    <w:spacing w:line="0" w:lineRule="atLeast"/>
                    <w:ind w:left="-105" w:leftChars="-50" w:right="-105" w:rightChars="-50"/>
                    <w:jc w:val="center"/>
                    <w:rPr>
                      <w:color w:val="000000"/>
                      <w:szCs w:val="21"/>
                    </w:rPr>
                  </w:pPr>
                  <w:r>
                    <w:rPr>
                      <w:rFonts w:hint="eastAsia"/>
                      <w:color w:val="000000"/>
                      <w:szCs w:val="21"/>
                    </w:rPr>
                    <w:t>连续</w:t>
                  </w:r>
                </w:p>
              </w:tc>
              <w:tc>
                <w:tcPr>
                  <w:tcW w:w="1086" w:type="dxa"/>
                  <w:tcBorders>
                    <w:top w:val="single" w:color="auto" w:sz="4" w:space="0"/>
                    <w:left w:val="single" w:color="auto" w:sz="4" w:space="0"/>
                    <w:bottom w:val="single" w:color="auto" w:sz="8" w:space="0"/>
                    <w:right w:val="single" w:color="auto" w:sz="4" w:space="0"/>
                  </w:tcBorders>
                  <w:vAlign w:val="center"/>
                </w:tcPr>
                <w:p w14:paraId="10EEED5D">
                  <w:pPr>
                    <w:spacing w:line="0" w:lineRule="atLeast"/>
                    <w:ind w:left="-105" w:leftChars="-50" w:right="-105" w:rightChars="-50"/>
                    <w:jc w:val="center"/>
                    <w:rPr>
                      <w:color w:val="000000"/>
                      <w:szCs w:val="21"/>
                    </w:rPr>
                  </w:pPr>
                  <w:r>
                    <w:rPr>
                      <w:color w:val="000000"/>
                      <w:szCs w:val="21"/>
                    </w:rPr>
                    <w:t>102</w:t>
                  </w:r>
                </w:p>
              </w:tc>
              <w:tc>
                <w:tcPr>
                  <w:tcW w:w="1086" w:type="dxa"/>
                  <w:tcBorders>
                    <w:top w:val="single" w:color="auto" w:sz="4" w:space="0"/>
                    <w:left w:val="single" w:color="auto" w:sz="4" w:space="0"/>
                    <w:bottom w:val="single" w:color="auto" w:sz="8" w:space="0"/>
                    <w:right w:val="single" w:color="auto" w:sz="4" w:space="0"/>
                  </w:tcBorders>
                  <w:vAlign w:val="center"/>
                </w:tcPr>
                <w:p w14:paraId="3EFBDEC5">
                  <w:pPr>
                    <w:spacing w:line="0" w:lineRule="atLeast"/>
                    <w:ind w:left="-105" w:leftChars="-50" w:right="-105" w:rightChars="-50"/>
                    <w:jc w:val="center"/>
                    <w:rPr>
                      <w:color w:val="000000"/>
                      <w:szCs w:val="21"/>
                    </w:rPr>
                  </w:pPr>
                  <w:r>
                    <w:rPr>
                      <w:color w:val="000000"/>
                      <w:szCs w:val="21"/>
                    </w:rPr>
                    <w:t>50</w:t>
                  </w:r>
                </w:p>
              </w:tc>
              <w:tc>
                <w:tcPr>
                  <w:tcW w:w="1086" w:type="dxa"/>
                  <w:tcBorders>
                    <w:top w:val="single" w:color="auto" w:sz="4" w:space="0"/>
                    <w:left w:val="single" w:color="auto" w:sz="4" w:space="0"/>
                    <w:bottom w:val="single" w:color="auto" w:sz="8" w:space="0"/>
                    <w:right w:val="single" w:color="auto" w:sz="4" w:space="0"/>
                  </w:tcBorders>
                  <w:vAlign w:val="center"/>
                </w:tcPr>
                <w:p w14:paraId="7D4054A9">
                  <w:pPr>
                    <w:spacing w:line="0" w:lineRule="atLeast"/>
                    <w:ind w:left="-105" w:leftChars="-50" w:right="-105" w:rightChars="-50"/>
                    <w:jc w:val="center"/>
                    <w:rPr>
                      <w:color w:val="000000"/>
                      <w:szCs w:val="21"/>
                    </w:rPr>
                  </w:pPr>
                  <w:r>
                    <w:rPr>
                      <w:color w:val="000000"/>
                      <w:szCs w:val="21"/>
                    </w:rPr>
                    <w:t>75</w:t>
                  </w:r>
                </w:p>
              </w:tc>
              <w:tc>
                <w:tcPr>
                  <w:tcW w:w="1214" w:type="dxa"/>
                  <w:tcBorders>
                    <w:top w:val="single" w:color="auto" w:sz="4" w:space="0"/>
                    <w:left w:val="single" w:color="auto" w:sz="4" w:space="0"/>
                    <w:bottom w:val="single" w:color="auto" w:sz="8" w:space="0"/>
                    <w:right w:val="single" w:color="auto" w:sz="8" w:space="0"/>
                  </w:tcBorders>
                  <w:vAlign w:val="center"/>
                </w:tcPr>
                <w:p w14:paraId="09E2913A">
                  <w:pPr>
                    <w:spacing w:line="0" w:lineRule="atLeast"/>
                    <w:ind w:left="-105" w:leftChars="-50" w:right="-105" w:rightChars="-50"/>
                    <w:jc w:val="center"/>
                    <w:rPr>
                      <w:color w:val="000000"/>
                      <w:szCs w:val="21"/>
                    </w:rPr>
                  </w:pPr>
                  <w:r>
                    <w:rPr>
                      <w:color w:val="000000"/>
                      <w:szCs w:val="21"/>
                    </w:rPr>
                    <w:t>58</w:t>
                  </w:r>
                </w:p>
              </w:tc>
            </w:tr>
          </w:tbl>
          <w:p w14:paraId="3B27B0E1">
            <w:pPr>
              <w:spacing w:beforeLines="50"/>
              <w:ind w:firstLine="480" w:firstLineChars="200"/>
              <w:rPr>
                <w:color w:val="000000"/>
                <w:sz w:val="24"/>
                <w:lang w:val="pt-BR"/>
              </w:rPr>
            </w:pPr>
            <w:r>
              <w:rPr>
                <w:rFonts w:hint="eastAsia"/>
                <w:color w:val="000000"/>
                <w:sz w:val="24"/>
                <w:lang w:val="pt-BR"/>
              </w:rPr>
              <w:t>②</w:t>
            </w:r>
            <w:r>
              <w:rPr>
                <w:color w:val="000000"/>
                <w:sz w:val="24"/>
                <w:lang w:val="pt-BR"/>
              </w:rPr>
              <w:t xml:space="preserve"> </w:t>
            </w:r>
            <w:r>
              <w:rPr>
                <w:rFonts w:hint="eastAsia"/>
                <w:color w:val="000000"/>
                <w:sz w:val="24"/>
                <w:lang w:val="pt-BR"/>
              </w:rPr>
              <w:t>预测内容</w:t>
            </w:r>
          </w:p>
          <w:p w14:paraId="74666A34">
            <w:pPr>
              <w:ind w:firstLine="480" w:firstLineChars="200"/>
              <w:rPr>
                <w:color w:val="000000"/>
                <w:sz w:val="24"/>
                <w:lang w:val="pt-BR"/>
              </w:rPr>
            </w:pPr>
            <w:r>
              <w:rPr>
                <w:rFonts w:hint="eastAsia"/>
                <w:color w:val="000000"/>
                <w:sz w:val="24"/>
                <w:lang w:val="pt-BR"/>
              </w:rPr>
              <w:t>根据升压站总平面布置图，预测升压站运行后主要噪声源主变压器对厂界的噪声贡献值得预测结果。</w:t>
            </w:r>
          </w:p>
          <w:p w14:paraId="5E2AC191">
            <w:pPr>
              <w:ind w:firstLine="480" w:firstLineChars="200"/>
              <w:rPr>
                <w:color w:val="000000"/>
                <w:sz w:val="24"/>
                <w:lang w:val="pt-BR"/>
              </w:rPr>
            </w:pPr>
            <w:r>
              <w:rPr>
                <w:rFonts w:hint="eastAsia"/>
                <w:color w:val="000000"/>
                <w:sz w:val="24"/>
                <w:lang w:val="pt-BR"/>
              </w:rPr>
              <w:t>③</w:t>
            </w:r>
            <w:r>
              <w:rPr>
                <w:color w:val="000000"/>
                <w:sz w:val="24"/>
                <w:lang w:val="pt-BR"/>
              </w:rPr>
              <w:t xml:space="preserve"> </w:t>
            </w:r>
            <w:r>
              <w:rPr>
                <w:rFonts w:hint="eastAsia"/>
                <w:color w:val="000000"/>
                <w:sz w:val="24"/>
                <w:lang w:val="pt-BR"/>
              </w:rPr>
              <w:t>预测模式</w:t>
            </w:r>
          </w:p>
          <w:p w14:paraId="69D7F42B">
            <w:pPr>
              <w:ind w:firstLine="480" w:firstLineChars="200"/>
              <w:rPr>
                <w:color w:val="000000"/>
                <w:sz w:val="24"/>
                <w:lang w:val="pt-BR"/>
              </w:rPr>
            </w:pPr>
            <w:r>
              <w:rPr>
                <w:rFonts w:hint="eastAsia"/>
                <w:color w:val="000000"/>
                <w:sz w:val="24"/>
                <w:lang w:val="pt-BR"/>
              </w:rPr>
              <w:t>本次评价采用《环境影响评价技术导则</w:t>
            </w:r>
            <w:r>
              <w:rPr>
                <w:color w:val="000000"/>
                <w:sz w:val="24"/>
                <w:lang w:val="pt-BR"/>
              </w:rPr>
              <w:t xml:space="preserve"> </w:t>
            </w:r>
            <w:r>
              <w:rPr>
                <w:rFonts w:hint="eastAsia"/>
                <w:color w:val="000000"/>
                <w:sz w:val="24"/>
                <w:lang w:val="pt-BR"/>
              </w:rPr>
              <w:t>声环境》（</w:t>
            </w:r>
            <w:r>
              <w:rPr>
                <w:color w:val="000000"/>
                <w:sz w:val="24"/>
                <w:lang w:val="pt-BR"/>
              </w:rPr>
              <w:t>HJ2.4-2009</w:t>
            </w:r>
            <w:r>
              <w:rPr>
                <w:rFonts w:hint="eastAsia"/>
                <w:color w:val="000000"/>
                <w:sz w:val="24"/>
                <w:lang w:val="pt-BR"/>
              </w:rPr>
              <w:t>）中推荐模式进行预测，用</w:t>
            </w:r>
            <w:r>
              <w:rPr>
                <w:color w:val="000000"/>
                <w:sz w:val="24"/>
                <w:lang w:val="pt-BR"/>
              </w:rPr>
              <w:t>A</w:t>
            </w:r>
            <w:r>
              <w:rPr>
                <w:rFonts w:hint="eastAsia"/>
                <w:color w:val="000000"/>
                <w:sz w:val="24"/>
                <w:lang w:val="pt-BR"/>
              </w:rPr>
              <w:t>声级计算，由于声源中心距离预测点距离远远大于</w:t>
            </w:r>
            <w:r>
              <w:rPr>
                <w:color w:val="000000"/>
                <w:sz w:val="24"/>
                <w:lang w:val="pt-BR"/>
              </w:rPr>
              <w:t>2</w:t>
            </w:r>
            <w:r>
              <w:rPr>
                <w:rFonts w:hint="eastAsia"/>
                <w:color w:val="000000"/>
                <w:sz w:val="24"/>
                <w:lang w:val="pt-BR"/>
              </w:rPr>
              <w:t>倍声源最大几何尺寸，因此按照点声源预测模式预测，模式如下：</w:t>
            </w:r>
          </w:p>
          <w:p w14:paraId="125875B2">
            <w:pPr>
              <w:ind w:firstLine="480" w:firstLineChars="200"/>
              <w:rPr>
                <w:color w:val="000000"/>
                <w:sz w:val="24"/>
                <w:lang w:val="pt-BR"/>
              </w:rPr>
            </w:pPr>
            <w:r>
              <w:rPr>
                <w:i/>
                <w:iCs/>
                <w:sz w:val="24"/>
                <w:lang w:val="pt-BR"/>
              </w:rPr>
              <w:t>L</w:t>
            </w:r>
            <w:r>
              <w:rPr>
                <w:i/>
                <w:iCs/>
                <w:sz w:val="24"/>
                <w:vertAlign w:val="subscript"/>
                <w:lang w:val="pt-BR"/>
              </w:rPr>
              <w:t>A</w:t>
            </w:r>
            <w:r>
              <w:rPr>
                <w:iCs/>
                <w:sz w:val="24"/>
                <w:lang w:val="pt-BR"/>
              </w:rPr>
              <w:t>(</w:t>
            </w:r>
            <w:r>
              <w:rPr>
                <w:i/>
                <w:iCs/>
                <w:sz w:val="24"/>
                <w:lang w:val="pt-BR"/>
              </w:rPr>
              <w:t>r</w:t>
            </w:r>
            <w:r>
              <w:rPr>
                <w:iCs/>
                <w:sz w:val="24"/>
                <w:lang w:val="pt-BR"/>
              </w:rPr>
              <w:t>)</w:t>
            </w:r>
            <w:r>
              <w:rPr>
                <w:i/>
                <w:iCs/>
                <w:sz w:val="24"/>
                <w:lang w:val="pt-BR"/>
              </w:rPr>
              <w:t>=L</w:t>
            </w:r>
            <w:r>
              <w:rPr>
                <w:i/>
                <w:iCs/>
                <w:sz w:val="24"/>
                <w:vertAlign w:val="subscript"/>
                <w:lang w:val="pt-BR"/>
              </w:rPr>
              <w:t>WA</w:t>
            </w:r>
            <w:r>
              <w:rPr>
                <w:rFonts w:hint="eastAsia"/>
                <w:i/>
                <w:iCs/>
                <w:sz w:val="24"/>
                <w:lang w:val="pt-BR"/>
              </w:rPr>
              <w:t>－</w:t>
            </w:r>
            <w:r>
              <w:rPr>
                <w:iCs/>
                <w:sz w:val="24"/>
                <w:lang w:val="pt-BR"/>
              </w:rPr>
              <w:t>20</w:t>
            </w:r>
            <w:r>
              <w:rPr>
                <w:i/>
                <w:iCs/>
                <w:sz w:val="24"/>
                <w:lang w:val="pt-BR"/>
              </w:rPr>
              <w:t>lg</w:t>
            </w:r>
            <w:r>
              <w:rPr>
                <w:iCs/>
                <w:sz w:val="24"/>
                <w:lang w:val="pt-BR"/>
              </w:rPr>
              <w:t>(</w:t>
            </w:r>
            <w:r>
              <w:rPr>
                <w:i/>
                <w:iCs/>
                <w:sz w:val="24"/>
                <w:lang w:val="pt-BR"/>
              </w:rPr>
              <w:t>r</w:t>
            </w:r>
            <w:r>
              <w:rPr>
                <w:iCs/>
                <w:sz w:val="24"/>
                <w:lang w:val="pt-BR"/>
              </w:rPr>
              <w:t>)</w:t>
            </w:r>
            <w:r>
              <w:rPr>
                <w:rFonts w:hint="eastAsia"/>
                <w:i/>
                <w:iCs/>
                <w:sz w:val="24"/>
                <w:lang w:val="pt-BR"/>
              </w:rPr>
              <w:t>－</w:t>
            </w:r>
            <w:r>
              <w:rPr>
                <w:iCs/>
                <w:sz w:val="24"/>
                <w:lang w:val="pt-BR"/>
              </w:rPr>
              <w:t>11</w:t>
            </w:r>
          </w:p>
          <w:p w14:paraId="4AAC2827">
            <w:pPr>
              <w:ind w:firstLine="480" w:firstLineChars="200"/>
              <w:rPr>
                <w:color w:val="000000"/>
                <w:sz w:val="24"/>
                <w:lang w:val="pt-BR"/>
              </w:rPr>
            </w:pPr>
            <w:r>
              <w:rPr>
                <w:rFonts w:hint="eastAsia"/>
                <w:color w:val="000000"/>
                <w:sz w:val="24"/>
                <w:lang w:val="pt-BR"/>
              </w:rPr>
              <w:t>式中：</w:t>
            </w:r>
            <w:r>
              <w:rPr>
                <w:i/>
                <w:color w:val="000000"/>
                <w:sz w:val="24"/>
                <w:lang w:val="pt-BR"/>
              </w:rPr>
              <w:t>L</w:t>
            </w:r>
            <w:r>
              <w:rPr>
                <w:i/>
                <w:color w:val="000000"/>
                <w:sz w:val="24"/>
                <w:vertAlign w:val="subscript"/>
                <w:lang w:val="pt-BR"/>
              </w:rPr>
              <w:t>A</w:t>
            </w:r>
            <w:r>
              <w:rPr>
                <w:color w:val="000000"/>
                <w:sz w:val="24"/>
                <w:lang w:val="pt-BR"/>
              </w:rPr>
              <w:t>(</w:t>
            </w:r>
            <w:r>
              <w:rPr>
                <w:i/>
                <w:color w:val="000000"/>
                <w:sz w:val="24"/>
                <w:lang w:val="pt-BR"/>
              </w:rPr>
              <w:t>r</w:t>
            </w:r>
            <w:r>
              <w:rPr>
                <w:color w:val="000000"/>
                <w:sz w:val="24"/>
                <w:lang w:val="pt-BR"/>
              </w:rPr>
              <w:t>)</w:t>
            </w:r>
            <w:r>
              <w:rPr>
                <w:rFonts w:hint="eastAsia"/>
                <w:color w:val="000000"/>
                <w:sz w:val="24"/>
                <w:lang w:val="pt-BR"/>
              </w:rPr>
              <w:t>—距声源</w:t>
            </w:r>
            <w:r>
              <w:rPr>
                <w:i/>
                <w:color w:val="000000"/>
                <w:sz w:val="24"/>
                <w:lang w:val="pt-BR"/>
              </w:rPr>
              <w:t>r</w:t>
            </w:r>
            <w:r>
              <w:rPr>
                <w:rFonts w:hint="eastAsia"/>
                <w:color w:val="000000"/>
                <w:sz w:val="24"/>
                <w:lang w:val="pt-BR"/>
              </w:rPr>
              <w:t>处声压级，</w:t>
            </w:r>
            <w:r>
              <w:rPr>
                <w:color w:val="000000"/>
                <w:sz w:val="24"/>
                <w:lang w:val="pt-BR"/>
              </w:rPr>
              <w:t>dB</w:t>
            </w:r>
            <w:r>
              <w:rPr>
                <w:rFonts w:hint="eastAsia"/>
                <w:color w:val="000000"/>
                <w:sz w:val="24"/>
                <w:lang w:val="pt-BR"/>
              </w:rPr>
              <w:t>（</w:t>
            </w:r>
            <w:r>
              <w:rPr>
                <w:color w:val="000000"/>
                <w:sz w:val="24"/>
                <w:lang w:val="pt-BR"/>
              </w:rPr>
              <w:t>A</w:t>
            </w:r>
            <w:r>
              <w:rPr>
                <w:rFonts w:hint="eastAsia"/>
                <w:color w:val="000000"/>
                <w:sz w:val="24"/>
                <w:lang w:val="pt-BR"/>
              </w:rPr>
              <w:t>）；</w:t>
            </w:r>
          </w:p>
          <w:p w14:paraId="15CA08FD">
            <w:pPr>
              <w:ind w:firstLine="1200" w:firstLineChars="500"/>
              <w:rPr>
                <w:color w:val="000000"/>
                <w:sz w:val="24"/>
                <w:lang w:val="pt-BR"/>
              </w:rPr>
            </w:pPr>
            <w:r>
              <w:rPr>
                <w:i/>
                <w:color w:val="000000"/>
                <w:sz w:val="24"/>
                <w:lang w:val="pt-BR"/>
              </w:rPr>
              <w:t>L</w:t>
            </w:r>
            <w:r>
              <w:rPr>
                <w:i/>
                <w:color w:val="000000"/>
                <w:sz w:val="24"/>
                <w:vertAlign w:val="subscript"/>
                <w:lang w:val="pt-BR"/>
              </w:rPr>
              <w:t>WA</w:t>
            </w:r>
            <w:r>
              <w:rPr>
                <w:color w:val="000000"/>
                <w:sz w:val="24"/>
                <w:lang w:val="pt-BR"/>
              </w:rPr>
              <w:t xml:space="preserve"> </w:t>
            </w:r>
            <w:r>
              <w:rPr>
                <w:rFonts w:hint="eastAsia"/>
                <w:color w:val="000000"/>
                <w:sz w:val="24"/>
                <w:lang w:val="pt-BR"/>
              </w:rPr>
              <w:t>—点声源的</w:t>
            </w:r>
            <w:r>
              <w:rPr>
                <w:color w:val="000000"/>
                <w:sz w:val="24"/>
                <w:lang w:val="pt-BR"/>
              </w:rPr>
              <w:t>A</w:t>
            </w:r>
            <w:r>
              <w:rPr>
                <w:rFonts w:hint="eastAsia"/>
                <w:color w:val="000000"/>
                <w:sz w:val="24"/>
                <w:lang w:val="pt-BR"/>
              </w:rPr>
              <w:t>声功率级，</w:t>
            </w:r>
            <w:r>
              <w:rPr>
                <w:color w:val="000000"/>
                <w:sz w:val="24"/>
                <w:lang w:val="pt-BR"/>
              </w:rPr>
              <w:t>dB</w:t>
            </w:r>
            <w:r>
              <w:rPr>
                <w:rFonts w:hint="eastAsia"/>
                <w:color w:val="000000"/>
                <w:sz w:val="24"/>
                <w:lang w:val="pt-BR"/>
              </w:rPr>
              <w:t>（</w:t>
            </w:r>
            <w:r>
              <w:rPr>
                <w:color w:val="000000"/>
                <w:sz w:val="24"/>
                <w:lang w:val="pt-BR"/>
              </w:rPr>
              <w:t>A</w:t>
            </w:r>
            <w:r>
              <w:rPr>
                <w:rFonts w:hint="eastAsia"/>
                <w:color w:val="000000"/>
                <w:sz w:val="24"/>
                <w:lang w:val="pt-BR"/>
              </w:rPr>
              <w:t>）。</w:t>
            </w:r>
          </w:p>
          <w:p w14:paraId="6EEF37AE">
            <w:pPr>
              <w:ind w:firstLine="480" w:firstLineChars="200"/>
              <w:rPr>
                <w:color w:val="000000"/>
                <w:sz w:val="24"/>
                <w:lang w:val="pt-BR"/>
              </w:rPr>
            </w:pPr>
            <w:r>
              <w:rPr>
                <w:rFonts w:hint="eastAsia"/>
                <w:color w:val="000000"/>
                <w:sz w:val="24"/>
                <w:lang w:val="pt-BR"/>
              </w:rPr>
              <w:t>④</w:t>
            </w:r>
            <w:r>
              <w:rPr>
                <w:color w:val="000000"/>
                <w:sz w:val="24"/>
                <w:lang w:val="pt-BR"/>
              </w:rPr>
              <w:t xml:space="preserve"> </w:t>
            </w:r>
            <w:r>
              <w:rPr>
                <w:rFonts w:hint="eastAsia"/>
                <w:color w:val="000000"/>
                <w:sz w:val="24"/>
                <w:lang w:val="pt-BR"/>
              </w:rPr>
              <w:t>预测结果及分析</w:t>
            </w:r>
          </w:p>
          <w:p w14:paraId="45AEB78F">
            <w:pPr>
              <w:ind w:firstLine="480" w:firstLineChars="200"/>
              <w:rPr>
                <w:color w:val="000000"/>
                <w:sz w:val="24"/>
                <w:lang w:val="pt-BR"/>
              </w:rPr>
            </w:pPr>
            <w:r>
              <w:rPr>
                <w:rFonts w:hint="eastAsia"/>
                <w:color w:val="000000"/>
                <w:sz w:val="24"/>
                <w:lang w:val="pt-BR"/>
              </w:rPr>
              <w:t>本项目正常工况下，场界噪声预测结果见表</w:t>
            </w:r>
            <w:r>
              <w:rPr>
                <w:color w:val="000000"/>
                <w:sz w:val="24"/>
                <w:lang w:val="pt-BR"/>
              </w:rPr>
              <w:t>25</w:t>
            </w:r>
            <w:r>
              <w:rPr>
                <w:rFonts w:hint="eastAsia"/>
                <w:color w:val="000000"/>
                <w:sz w:val="24"/>
                <w:lang w:val="pt-BR"/>
              </w:rPr>
              <w:t>。</w:t>
            </w:r>
          </w:p>
          <w:p w14:paraId="48B86FA4">
            <w:pPr>
              <w:ind w:firstLine="480" w:firstLineChars="200"/>
              <w:rPr>
                <w:rFonts w:ascii="黑体" w:hAnsi="黑体" w:eastAsia="黑体"/>
                <w:color w:val="000000"/>
                <w:sz w:val="24"/>
              </w:rPr>
            </w:pPr>
            <w:r>
              <w:rPr>
                <w:rFonts w:hint="eastAsia" w:ascii="黑体" w:hAnsi="黑体" w:eastAsia="黑体"/>
                <w:color w:val="000000"/>
                <w:sz w:val="24"/>
              </w:rPr>
              <w:t>表25              升压站厂界噪声预测结果表             单位：dB（A）</w:t>
            </w:r>
          </w:p>
          <w:tbl>
            <w:tblPr>
              <w:tblStyle w:val="25"/>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1757"/>
              <w:gridCol w:w="1758"/>
              <w:gridCol w:w="1758"/>
              <w:gridCol w:w="1758"/>
              <w:gridCol w:w="1758"/>
            </w:tblGrid>
            <w:tr w14:paraId="799DCFA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1757" w:type="dxa"/>
                  <w:vMerge w:val="restart"/>
                  <w:tcBorders>
                    <w:top w:val="single" w:color="auto" w:sz="8" w:space="0"/>
                    <w:left w:val="single" w:color="auto" w:sz="8" w:space="0"/>
                    <w:bottom w:val="single" w:color="auto" w:sz="4" w:space="0"/>
                    <w:right w:val="single" w:color="auto" w:sz="4" w:space="0"/>
                  </w:tcBorders>
                  <w:vAlign w:val="center"/>
                </w:tcPr>
                <w:p w14:paraId="15855FD1">
                  <w:pPr>
                    <w:spacing w:line="0" w:lineRule="atLeast"/>
                    <w:ind w:left="-105" w:leftChars="-50" w:right="-105" w:rightChars="-50"/>
                    <w:jc w:val="center"/>
                    <w:rPr>
                      <w:color w:val="000000"/>
                      <w:szCs w:val="21"/>
                    </w:rPr>
                  </w:pPr>
                  <w:r>
                    <w:rPr>
                      <w:rFonts w:hint="eastAsia"/>
                    </w:rPr>
                    <w:t>预测点</w:t>
                  </w:r>
                </w:p>
              </w:tc>
              <w:tc>
                <w:tcPr>
                  <w:tcW w:w="3516" w:type="dxa"/>
                  <w:gridSpan w:val="2"/>
                  <w:tcBorders>
                    <w:top w:val="single" w:color="auto" w:sz="8" w:space="0"/>
                    <w:left w:val="single" w:color="auto" w:sz="4" w:space="0"/>
                    <w:bottom w:val="single" w:color="auto" w:sz="4" w:space="0"/>
                    <w:right w:val="single" w:color="auto" w:sz="4" w:space="0"/>
                  </w:tcBorders>
                  <w:vAlign w:val="center"/>
                </w:tcPr>
                <w:p w14:paraId="5384069E">
                  <w:pPr>
                    <w:spacing w:line="0" w:lineRule="atLeast"/>
                    <w:ind w:left="-105" w:leftChars="-50" w:right="-105" w:rightChars="-50"/>
                    <w:jc w:val="center"/>
                    <w:rPr>
                      <w:color w:val="000000"/>
                      <w:szCs w:val="21"/>
                    </w:rPr>
                  </w:pPr>
                  <w:r>
                    <w:rPr>
                      <w:rFonts w:hint="eastAsia"/>
                    </w:rPr>
                    <w:t>昼间</w:t>
                  </w:r>
                </w:p>
              </w:tc>
              <w:tc>
                <w:tcPr>
                  <w:tcW w:w="3516" w:type="dxa"/>
                  <w:gridSpan w:val="2"/>
                  <w:tcBorders>
                    <w:top w:val="single" w:color="auto" w:sz="8" w:space="0"/>
                    <w:left w:val="single" w:color="auto" w:sz="4" w:space="0"/>
                    <w:bottom w:val="single" w:color="auto" w:sz="4" w:space="0"/>
                    <w:right w:val="single" w:color="auto" w:sz="8" w:space="0"/>
                  </w:tcBorders>
                  <w:vAlign w:val="center"/>
                </w:tcPr>
                <w:p w14:paraId="2DED3942">
                  <w:pPr>
                    <w:spacing w:line="0" w:lineRule="atLeast"/>
                    <w:ind w:left="-105" w:leftChars="-50" w:right="-105" w:rightChars="-50"/>
                    <w:jc w:val="center"/>
                    <w:rPr>
                      <w:color w:val="000000"/>
                      <w:szCs w:val="21"/>
                    </w:rPr>
                  </w:pPr>
                  <w:r>
                    <w:rPr>
                      <w:rFonts w:hint="eastAsia"/>
                    </w:rPr>
                    <w:t>夜间</w:t>
                  </w:r>
                </w:p>
              </w:tc>
            </w:tr>
            <w:tr w14:paraId="500EDC2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1757" w:type="dxa"/>
                  <w:vMerge w:val="continue"/>
                  <w:tcBorders>
                    <w:top w:val="single" w:color="auto" w:sz="8" w:space="0"/>
                    <w:left w:val="single" w:color="auto" w:sz="8" w:space="0"/>
                    <w:bottom w:val="single" w:color="auto" w:sz="4" w:space="0"/>
                    <w:right w:val="single" w:color="auto" w:sz="4" w:space="0"/>
                  </w:tcBorders>
                  <w:vAlign w:val="center"/>
                </w:tcPr>
                <w:p w14:paraId="12D97C72">
                  <w:pPr>
                    <w:widowControl/>
                    <w:spacing w:line="240" w:lineRule="auto"/>
                    <w:jc w:val="left"/>
                    <w:rPr>
                      <w:color w:val="000000"/>
                      <w:szCs w:val="21"/>
                    </w:rPr>
                  </w:pPr>
                </w:p>
              </w:tc>
              <w:tc>
                <w:tcPr>
                  <w:tcW w:w="1758" w:type="dxa"/>
                  <w:tcBorders>
                    <w:top w:val="single" w:color="auto" w:sz="4" w:space="0"/>
                    <w:left w:val="single" w:color="auto" w:sz="4" w:space="0"/>
                    <w:bottom w:val="single" w:color="auto" w:sz="4" w:space="0"/>
                    <w:right w:val="single" w:color="auto" w:sz="4" w:space="0"/>
                  </w:tcBorders>
                  <w:vAlign w:val="center"/>
                </w:tcPr>
                <w:p w14:paraId="29778CDD">
                  <w:pPr>
                    <w:spacing w:line="0" w:lineRule="atLeast"/>
                    <w:ind w:left="-105" w:leftChars="-50" w:right="-105" w:rightChars="-50"/>
                    <w:jc w:val="center"/>
                    <w:rPr>
                      <w:color w:val="000000"/>
                      <w:szCs w:val="21"/>
                    </w:rPr>
                  </w:pPr>
                  <w:r>
                    <w:rPr>
                      <w:rFonts w:hint="eastAsia"/>
                    </w:rPr>
                    <w:t>贡献值</w:t>
                  </w:r>
                </w:p>
              </w:tc>
              <w:tc>
                <w:tcPr>
                  <w:tcW w:w="1758" w:type="dxa"/>
                  <w:tcBorders>
                    <w:top w:val="single" w:color="auto" w:sz="4" w:space="0"/>
                    <w:left w:val="single" w:color="auto" w:sz="4" w:space="0"/>
                    <w:bottom w:val="single" w:color="auto" w:sz="4" w:space="0"/>
                    <w:right w:val="single" w:color="auto" w:sz="4" w:space="0"/>
                  </w:tcBorders>
                  <w:vAlign w:val="center"/>
                </w:tcPr>
                <w:p w14:paraId="056BC760">
                  <w:pPr>
                    <w:spacing w:line="0" w:lineRule="atLeast"/>
                    <w:ind w:left="-105" w:leftChars="-50" w:right="-105" w:rightChars="-50"/>
                    <w:jc w:val="center"/>
                    <w:rPr>
                      <w:color w:val="000000"/>
                      <w:szCs w:val="21"/>
                    </w:rPr>
                  </w:pPr>
                  <w:r>
                    <w:rPr>
                      <w:rFonts w:hint="eastAsia"/>
                    </w:rPr>
                    <w:t>标准值</w:t>
                  </w:r>
                </w:p>
              </w:tc>
              <w:tc>
                <w:tcPr>
                  <w:tcW w:w="1758" w:type="dxa"/>
                  <w:tcBorders>
                    <w:top w:val="single" w:color="auto" w:sz="4" w:space="0"/>
                    <w:left w:val="single" w:color="auto" w:sz="4" w:space="0"/>
                    <w:bottom w:val="single" w:color="auto" w:sz="4" w:space="0"/>
                    <w:right w:val="single" w:color="auto" w:sz="4" w:space="0"/>
                  </w:tcBorders>
                  <w:vAlign w:val="center"/>
                </w:tcPr>
                <w:p w14:paraId="05D50763">
                  <w:pPr>
                    <w:spacing w:line="0" w:lineRule="atLeast"/>
                    <w:ind w:left="-105" w:leftChars="-50" w:right="-105" w:rightChars="-50"/>
                    <w:jc w:val="center"/>
                    <w:rPr>
                      <w:color w:val="000000"/>
                      <w:szCs w:val="21"/>
                    </w:rPr>
                  </w:pPr>
                  <w:r>
                    <w:rPr>
                      <w:rFonts w:hint="eastAsia"/>
                    </w:rPr>
                    <w:t>贡献值</w:t>
                  </w:r>
                </w:p>
              </w:tc>
              <w:tc>
                <w:tcPr>
                  <w:tcW w:w="1758" w:type="dxa"/>
                  <w:tcBorders>
                    <w:top w:val="single" w:color="auto" w:sz="4" w:space="0"/>
                    <w:left w:val="single" w:color="auto" w:sz="4" w:space="0"/>
                    <w:bottom w:val="single" w:color="auto" w:sz="4" w:space="0"/>
                    <w:right w:val="single" w:color="auto" w:sz="8" w:space="0"/>
                  </w:tcBorders>
                  <w:vAlign w:val="center"/>
                </w:tcPr>
                <w:p w14:paraId="23FA1ABF">
                  <w:pPr>
                    <w:spacing w:line="0" w:lineRule="atLeast"/>
                    <w:ind w:left="-105" w:leftChars="-50" w:right="-105" w:rightChars="-50"/>
                    <w:jc w:val="center"/>
                    <w:rPr>
                      <w:color w:val="000000"/>
                      <w:szCs w:val="21"/>
                    </w:rPr>
                  </w:pPr>
                  <w:r>
                    <w:rPr>
                      <w:rFonts w:hint="eastAsia"/>
                    </w:rPr>
                    <w:t>标准值</w:t>
                  </w:r>
                </w:p>
              </w:tc>
            </w:tr>
            <w:tr w14:paraId="5D04D98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1757" w:type="dxa"/>
                  <w:tcBorders>
                    <w:top w:val="single" w:color="auto" w:sz="4" w:space="0"/>
                    <w:left w:val="single" w:color="auto" w:sz="8" w:space="0"/>
                    <w:bottom w:val="single" w:color="auto" w:sz="4" w:space="0"/>
                    <w:right w:val="single" w:color="auto" w:sz="4" w:space="0"/>
                  </w:tcBorders>
                  <w:vAlign w:val="center"/>
                </w:tcPr>
                <w:p w14:paraId="0F687150">
                  <w:pPr>
                    <w:spacing w:line="0" w:lineRule="atLeast"/>
                    <w:ind w:left="-105" w:leftChars="-50" w:right="-105" w:rightChars="-50"/>
                    <w:jc w:val="center"/>
                    <w:rPr>
                      <w:color w:val="000000"/>
                      <w:szCs w:val="21"/>
                    </w:rPr>
                  </w:pPr>
                  <w:r>
                    <w:rPr>
                      <w:rFonts w:hint="eastAsia"/>
                    </w:rPr>
                    <w:t>东</w:t>
                  </w:r>
                  <w:r>
                    <w:rPr>
                      <w:rFonts w:hint="eastAsia"/>
                      <w:color w:val="000000"/>
                      <w:szCs w:val="21"/>
                    </w:rPr>
                    <w:t>场界</w:t>
                  </w:r>
                </w:p>
              </w:tc>
              <w:tc>
                <w:tcPr>
                  <w:tcW w:w="1758" w:type="dxa"/>
                  <w:tcBorders>
                    <w:top w:val="single" w:color="auto" w:sz="4" w:space="0"/>
                    <w:left w:val="single" w:color="auto" w:sz="4" w:space="0"/>
                    <w:bottom w:val="single" w:color="auto" w:sz="4" w:space="0"/>
                    <w:right w:val="single" w:color="auto" w:sz="4" w:space="0"/>
                  </w:tcBorders>
                  <w:vAlign w:val="center"/>
                </w:tcPr>
                <w:p w14:paraId="312BD49F">
                  <w:pPr>
                    <w:spacing w:line="0" w:lineRule="atLeast"/>
                    <w:ind w:left="-105" w:leftChars="-50" w:right="-105" w:rightChars="-50"/>
                    <w:jc w:val="center"/>
                    <w:rPr>
                      <w:color w:val="000000"/>
                      <w:szCs w:val="21"/>
                    </w:rPr>
                  </w:pPr>
                  <w:r>
                    <w:rPr>
                      <w:color w:val="000000"/>
                      <w:szCs w:val="21"/>
                    </w:rPr>
                    <w:t>26.8</w:t>
                  </w:r>
                </w:p>
              </w:tc>
              <w:tc>
                <w:tcPr>
                  <w:tcW w:w="1758" w:type="dxa"/>
                  <w:vMerge w:val="restart"/>
                  <w:tcBorders>
                    <w:top w:val="single" w:color="auto" w:sz="4" w:space="0"/>
                    <w:left w:val="single" w:color="auto" w:sz="4" w:space="0"/>
                    <w:bottom w:val="single" w:color="auto" w:sz="8" w:space="0"/>
                    <w:right w:val="single" w:color="auto" w:sz="4" w:space="0"/>
                  </w:tcBorders>
                  <w:vAlign w:val="center"/>
                </w:tcPr>
                <w:p w14:paraId="0B2AAF1A">
                  <w:pPr>
                    <w:spacing w:line="0" w:lineRule="atLeast"/>
                    <w:ind w:left="-105" w:leftChars="-50" w:right="-105" w:rightChars="-50"/>
                    <w:jc w:val="center"/>
                    <w:rPr>
                      <w:color w:val="000000"/>
                      <w:szCs w:val="21"/>
                    </w:rPr>
                  </w:pPr>
                  <w:r>
                    <w:rPr>
                      <w:color w:val="000000"/>
                      <w:szCs w:val="21"/>
                    </w:rPr>
                    <w:t>55</w:t>
                  </w:r>
                </w:p>
              </w:tc>
              <w:tc>
                <w:tcPr>
                  <w:tcW w:w="1758" w:type="dxa"/>
                  <w:tcBorders>
                    <w:top w:val="single" w:color="auto" w:sz="4" w:space="0"/>
                    <w:left w:val="single" w:color="auto" w:sz="4" w:space="0"/>
                    <w:bottom w:val="single" w:color="auto" w:sz="4" w:space="0"/>
                    <w:right w:val="single" w:color="auto" w:sz="4" w:space="0"/>
                  </w:tcBorders>
                  <w:vAlign w:val="center"/>
                </w:tcPr>
                <w:p w14:paraId="393E726E">
                  <w:pPr>
                    <w:spacing w:line="0" w:lineRule="atLeast"/>
                    <w:ind w:left="-105" w:leftChars="-50" w:right="-105" w:rightChars="-50"/>
                    <w:jc w:val="center"/>
                    <w:rPr>
                      <w:color w:val="000000"/>
                      <w:szCs w:val="21"/>
                    </w:rPr>
                  </w:pPr>
                  <w:r>
                    <w:rPr>
                      <w:color w:val="000000"/>
                      <w:szCs w:val="21"/>
                    </w:rPr>
                    <w:t>26.8</w:t>
                  </w:r>
                </w:p>
              </w:tc>
              <w:tc>
                <w:tcPr>
                  <w:tcW w:w="1758" w:type="dxa"/>
                  <w:vMerge w:val="restart"/>
                  <w:tcBorders>
                    <w:top w:val="single" w:color="auto" w:sz="4" w:space="0"/>
                    <w:left w:val="single" w:color="auto" w:sz="4" w:space="0"/>
                    <w:bottom w:val="single" w:color="auto" w:sz="8" w:space="0"/>
                    <w:right w:val="single" w:color="auto" w:sz="8" w:space="0"/>
                  </w:tcBorders>
                  <w:vAlign w:val="center"/>
                </w:tcPr>
                <w:p w14:paraId="7E538001">
                  <w:pPr>
                    <w:spacing w:line="0" w:lineRule="atLeast"/>
                    <w:ind w:left="-105" w:leftChars="-50" w:right="-105" w:rightChars="-50"/>
                    <w:jc w:val="center"/>
                    <w:rPr>
                      <w:color w:val="000000"/>
                      <w:szCs w:val="21"/>
                    </w:rPr>
                  </w:pPr>
                  <w:r>
                    <w:rPr>
                      <w:color w:val="000000"/>
                      <w:szCs w:val="21"/>
                    </w:rPr>
                    <w:t>45</w:t>
                  </w:r>
                </w:p>
              </w:tc>
            </w:tr>
            <w:tr w14:paraId="7036C3C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1757" w:type="dxa"/>
                  <w:tcBorders>
                    <w:top w:val="single" w:color="auto" w:sz="4" w:space="0"/>
                    <w:left w:val="single" w:color="auto" w:sz="8" w:space="0"/>
                    <w:bottom w:val="single" w:color="auto" w:sz="4" w:space="0"/>
                    <w:right w:val="single" w:color="auto" w:sz="4" w:space="0"/>
                  </w:tcBorders>
                  <w:vAlign w:val="center"/>
                </w:tcPr>
                <w:p w14:paraId="7CB26BBC">
                  <w:pPr>
                    <w:spacing w:line="0" w:lineRule="atLeast"/>
                    <w:ind w:left="-105" w:leftChars="-50" w:right="-105" w:rightChars="-50"/>
                    <w:jc w:val="center"/>
                    <w:rPr>
                      <w:color w:val="000000"/>
                      <w:szCs w:val="21"/>
                    </w:rPr>
                  </w:pPr>
                  <w:r>
                    <w:rPr>
                      <w:rFonts w:hint="eastAsia"/>
                    </w:rPr>
                    <w:t>南</w:t>
                  </w:r>
                  <w:r>
                    <w:rPr>
                      <w:rFonts w:hint="eastAsia"/>
                      <w:color w:val="000000"/>
                      <w:szCs w:val="21"/>
                    </w:rPr>
                    <w:t>场界</w:t>
                  </w:r>
                </w:p>
              </w:tc>
              <w:tc>
                <w:tcPr>
                  <w:tcW w:w="1758" w:type="dxa"/>
                  <w:tcBorders>
                    <w:top w:val="single" w:color="auto" w:sz="4" w:space="0"/>
                    <w:left w:val="single" w:color="auto" w:sz="4" w:space="0"/>
                    <w:bottom w:val="single" w:color="auto" w:sz="4" w:space="0"/>
                    <w:right w:val="single" w:color="auto" w:sz="4" w:space="0"/>
                  </w:tcBorders>
                  <w:vAlign w:val="center"/>
                </w:tcPr>
                <w:p w14:paraId="27A8E22A">
                  <w:pPr>
                    <w:spacing w:line="0" w:lineRule="atLeast"/>
                    <w:ind w:left="-105" w:leftChars="-50" w:right="-105" w:rightChars="-50"/>
                    <w:jc w:val="center"/>
                    <w:rPr>
                      <w:color w:val="000000"/>
                      <w:szCs w:val="21"/>
                    </w:rPr>
                  </w:pPr>
                  <w:r>
                    <w:rPr>
                      <w:color w:val="000000"/>
                      <w:szCs w:val="21"/>
                    </w:rPr>
                    <w:t>33.0</w:t>
                  </w:r>
                </w:p>
              </w:tc>
              <w:tc>
                <w:tcPr>
                  <w:tcW w:w="1758" w:type="dxa"/>
                  <w:vMerge w:val="continue"/>
                  <w:tcBorders>
                    <w:top w:val="single" w:color="auto" w:sz="4" w:space="0"/>
                    <w:left w:val="single" w:color="auto" w:sz="4" w:space="0"/>
                    <w:bottom w:val="single" w:color="auto" w:sz="8" w:space="0"/>
                    <w:right w:val="single" w:color="auto" w:sz="4" w:space="0"/>
                  </w:tcBorders>
                  <w:vAlign w:val="center"/>
                </w:tcPr>
                <w:p w14:paraId="3992909B">
                  <w:pPr>
                    <w:widowControl/>
                    <w:spacing w:line="240" w:lineRule="auto"/>
                    <w:jc w:val="left"/>
                    <w:rPr>
                      <w:color w:val="000000"/>
                      <w:szCs w:val="21"/>
                    </w:rPr>
                  </w:pPr>
                </w:p>
              </w:tc>
              <w:tc>
                <w:tcPr>
                  <w:tcW w:w="1758" w:type="dxa"/>
                  <w:tcBorders>
                    <w:top w:val="single" w:color="auto" w:sz="4" w:space="0"/>
                    <w:left w:val="single" w:color="auto" w:sz="4" w:space="0"/>
                    <w:bottom w:val="single" w:color="auto" w:sz="4" w:space="0"/>
                    <w:right w:val="single" w:color="auto" w:sz="4" w:space="0"/>
                  </w:tcBorders>
                  <w:vAlign w:val="center"/>
                </w:tcPr>
                <w:p w14:paraId="0622A419">
                  <w:pPr>
                    <w:spacing w:line="0" w:lineRule="atLeast"/>
                    <w:ind w:left="-105" w:leftChars="-50" w:right="-105" w:rightChars="-50"/>
                    <w:jc w:val="center"/>
                    <w:rPr>
                      <w:color w:val="000000"/>
                      <w:szCs w:val="21"/>
                    </w:rPr>
                  </w:pPr>
                  <w:r>
                    <w:rPr>
                      <w:color w:val="000000"/>
                      <w:szCs w:val="21"/>
                    </w:rPr>
                    <w:t>33.0</w:t>
                  </w:r>
                </w:p>
              </w:tc>
              <w:tc>
                <w:tcPr>
                  <w:tcW w:w="1758" w:type="dxa"/>
                  <w:vMerge w:val="continue"/>
                  <w:tcBorders>
                    <w:top w:val="single" w:color="auto" w:sz="4" w:space="0"/>
                    <w:left w:val="single" w:color="auto" w:sz="4" w:space="0"/>
                    <w:bottom w:val="single" w:color="auto" w:sz="8" w:space="0"/>
                    <w:right w:val="single" w:color="auto" w:sz="8" w:space="0"/>
                  </w:tcBorders>
                  <w:vAlign w:val="center"/>
                </w:tcPr>
                <w:p w14:paraId="38447686">
                  <w:pPr>
                    <w:widowControl/>
                    <w:spacing w:line="240" w:lineRule="auto"/>
                    <w:jc w:val="left"/>
                    <w:rPr>
                      <w:color w:val="000000"/>
                      <w:szCs w:val="21"/>
                    </w:rPr>
                  </w:pPr>
                </w:p>
              </w:tc>
            </w:tr>
            <w:tr w14:paraId="6E6AB8D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1757" w:type="dxa"/>
                  <w:tcBorders>
                    <w:top w:val="single" w:color="auto" w:sz="4" w:space="0"/>
                    <w:left w:val="single" w:color="auto" w:sz="8" w:space="0"/>
                    <w:bottom w:val="single" w:color="auto" w:sz="4" w:space="0"/>
                    <w:right w:val="single" w:color="auto" w:sz="4" w:space="0"/>
                  </w:tcBorders>
                  <w:vAlign w:val="center"/>
                </w:tcPr>
                <w:p w14:paraId="261B61E4">
                  <w:pPr>
                    <w:spacing w:line="0" w:lineRule="atLeast"/>
                    <w:ind w:left="-105" w:leftChars="-50" w:right="-105" w:rightChars="-50"/>
                    <w:jc w:val="center"/>
                    <w:rPr>
                      <w:color w:val="000000"/>
                      <w:szCs w:val="21"/>
                    </w:rPr>
                  </w:pPr>
                  <w:r>
                    <w:rPr>
                      <w:rFonts w:hint="eastAsia"/>
                    </w:rPr>
                    <w:t>西</w:t>
                  </w:r>
                  <w:r>
                    <w:rPr>
                      <w:rFonts w:hint="eastAsia"/>
                      <w:color w:val="000000"/>
                      <w:szCs w:val="21"/>
                    </w:rPr>
                    <w:t>场界</w:t>
                  </w:r>
                </w:p>
              </w:tc>
              <w:tc>
                <w:tcPr>
                  <w:tcW w:w="1758" w:type="dxa"/>
                  <w:tcBorders>
                    <w:top w:val="single" w:color="auto" w:sz="4" w:space="0"/>
                    <w:left w:val="single" w:color="auto" w:sz="4" w:space="0"/>
                    <w:bottom w:val="single" w:color="auto" w:sz="4" w:space="0"/>
                    <w:right w:val="single" w:color="auto" w:sz="4" w:space="0"/>
                  </w:tcBorders>
                  <w:vAlign w:val="center"/>
                </w:tcPr>
                <w:p w14:paraId="23E6B00F">
                  <w:pPr>
                    <w:spacing w:line="0" w:lineRule="atLeast"/>
                    <w:ind w:left="-105" w:leftChars="-50" w:right="-105" w:rightChars="-50"/>
                    <w:jc w:val="center"/>
                    <w:rPr>
                      <w:color w:val="000000"/>
                      <w:szCs w:val="21"/>
                    </w:rPr>
                  </w:pPr>
                  <w:r>
                    <w:rPr>
                      <w:color w:val="000000"/>
                      <w:szCs w:val="21"/>
                    </w:rPr>
                    <w:t>29.5</w:t>
                  </w:r>
                </w:p>
              </w:tc>
              <w:tc>
                <w:tcPr>
                  <w:tcW w:w="1758" w:type="dxa"/>
                  <w:vMerge w:val="continue"/>
                  <w:tcBorders>
                    <w:top w:val="single" w:color="auto" w:sz="4" w:space="0"/>
                    <w:left w:val="single" w:color="auto" w:sz="4" w:space="0"/>
                    <w:bottom w:val="single" w:color="auto" w:sz="8" w:space="0"/>
                    <w:right w:val="single" w:color="auto" w:sz="4" w:space="0"/>
                  </w:tcBorders>
                  <w:vAlign w:val="center"/>
                </w:tcPr>
                <w:p w14:paraId="163DC232">
                  <w:pPr>
                    <w:widowControl/>
                    <w:spacing w:line="240" w:lineRule="auto"/>
                    <w:jc w:val="left"/>
                    <w:rPr>
                      <w:color w:val="000000"/>
                      <w:szCs w:val="21"/>
                    </w:rPr>
                  </w:pPr>
                </w:p>
              </w:tc>
              <w:tc>
                <w:tcPr>
                  <w:tcW w:w="1758" w:type="dxa"/>
                  <w:tcBorders>
                    <w:top w:val="single" w:color="auto" w:sz="4" w:space="0"/>
                    <w:left w:val="single" w:color="auto" w:sz="4" w:space="0"/>
                    <w:bottom w:val="single" w:color="auto" w:sz="4" w:space="0"/>
                    <w:right w:val="single" w:color="auto" w:sz="4" w:space="0"/>
                  </w:tcBorders>
                  <w:vAlign w:val="center"/>
                </w:tcPr>
                <w:p w14:paraId="11A789EE">
                  <w:pPr>
                    <w:spacing w:line="0" w:lineRule="atLeast"/>
                    <w:ind w:left="-105" w:leftChars="-50" w:right="-105" w:rightChars="-50"/>
                    <w:jc w:val="center"/>
                    <w:rPr>
                      <w:color w:val="000000"/>
                      <w:szCs w:val="21"/>
                    </w:rPr>
                  </w:pPr>
                  <w:r>
                    <w:rPr>
                      <w:color w:val="000000"/>
                      <w:szCs w:val="21"/>
                    </w:rPr>
                    <w:t>29.5</w:t>
                  </w:r>
                </w:p>
              </w:tc>
              <w:tc>
                <w:tcPr>
                  <w:tcW w:w="1758" w:type="dxa"/>
                  <w:vMerge w:val="continue"/>
                  <w:tcBorders>
                    <w:top w:val="single" w:color="auto" w:sz="4" w:space="0"/>
                    <w:left w:val="single" w:color="auto" w:sz="4" w:space="0"/>
                    <w:bottom w:val="single" w:color="auto" w:sz="8" w:space="0"/>
                    <w:right w:val="single" w:color="auto" w:sz="8" w:space="0"/>
                  </w:tcBorders>
                  <w:vAlign w:val="center"/>
                </w:tcPr>
                <w:p w14:paraId="34F7D7D5">
                  <w:pPr>
                    <w:widowControl/>
                    <w:spacing w:line="240" w:lineRule="auto"/>
                    <w:jc w:val="left"/>
                    <w:rPr>
                      <w:color w:val="000000"/>
                      <w:szCs w:val="21"/>
                    </w:rPr>
                  </w:pPr>
                </w:p>
              </w:tc>
            </w:tr>
            <w:tr w14:paraId="7C13BD0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1757" w:type="dxa"/>
                  <w:tcBorders>
                    <w:top w:val="single" w:color="auto" w:sz="4" w:space="0"/>
                    <w:left w:val="single" w:color="auto" w:sz="8" w:space="0"/>
                    <w:bottom w:val="single" w:color="auto" w:sz="8" w:space="0"/>
                    <w:right w:val="single" w:color="auto" w:sz="4" w:space="0"/>
                  </w:tcBorders>
                  <w:vAlign w:val="center"/>
                </w:tcPr>
                <w:p w14:paraId="3B59E2D7">
                  <w:pPr>
                    <w:spacing w:line="0" w:lineRule="atLeast"/>
                    <w:ind w:left="-105" w:leftChars="-50" w:right="-105" w:rightChars="-50"/>
                    <w:jc w:val="center"/>
                    <w:rPr>
                      <w:color w:val="000000"/>
                      <w:szCs w:val="21"/>
                    </w:rPr>
                  </w:pPr>
                  <w:r>
                    <w:rPr>
                      <w:rFonts w:hint="eastAsia"/>
                    </w:rPr>
                    <w:t>北</w:t>
                  </w:r>
                  <w:r>
                    <w:rPr>
                      <w:rFonts w:hint="eastAsia"/>
                      <w:color w:val="000000"/>
                      <w:szCs w:val="21"/>
                    </w:rPr>
                    <w:t>场界</w:t>
                  </w:r>
                </w:p>
              </w:tc>
              <w:tc>
                <w:tcPr>
                  <w:tcW w:w="1758" w:type="dxa"/>
                  <w:tcBorders>
                    <w:top w:val="single" w:color="auto" w:sz="4" w:space="0"/>
                    <w:left w:val="single" w:color="auto" w:sz="4" w:space="0"/>
                    <w:bottom w:val="single" w:color="auto" w:sz="8" w:space="0"/>
                    <w:right w:val="single" w:color="auto" w:sz="4" w:space="0"/>
                  </w:tcBorders>
                  <w:vAlign w:val="center"/>
                </w:tcPr>
                <w:p w14:paraId="3974D444">
                  <w:pPr>
                    <w:spacing w:line="0" w:lineRule="atLeast"/>
                    <w:ind w:left="-105" w:leftChars="-50" w:right="-105" w:rightChars="-50"/>
                    <w:jc w:val="center"/>
                    <w:rPr>
                      <w:color w:val="000000"/>
                      <w:szCs w:val="21"/>
                    </w:rPr>
                  </w:pPr>
                  <w:r>
                    <w:rPr>
                      <w:color w:val="000000"/>
                      <w:szCs w:val="21"/>
                    </w:rPr>
                    <w:t>31.7</w:t>
                  </w:r>
                </w:p>
              </w:tc>
              <w:tc>
                <w:tcPr>
                  <w:tcW w:w="1758" w:type="dxa"/>
                  <w:vMerge w:val="continue"/>
                  <w:tcBorders>
                    <w:top w:val="single" w:color="auto" w:sz="4" w:space="0"/>
                    <w:left w:val="single" w:color="auto" w:sz="4" w:space="0"/>
                    <w:bottom w:val="single" w:color="auto" w:sz="8" w:space="0"/>
                    <w:right w:val="single" w:color="auto" w:sz="4" w:space="0"/>
                  </w:tcBorders>
                  <w:vAlign w:val="center"/>
                </w:tcPr>
                <w:p w14:paraId="78C26699">
                  <w:pPr>
                    <w:widowControl/>
                    <w:spacing w:line="240" w:lineRule="auto"/>
                    <w:jc w:val="left"/>
                    <w:rPr>
                      <w:color w:val="000000"/>
                      <w:szCs w:val="21"/>
                    </w:rPr>
                  </w:pPr>
                </w:p>
              </w:tc>
              <w:tc>
                <w:tcPr>
                  <w:tcW w:w="1758" w:type="dxa"/>
                  <w:tcBorders>
                    <w:top w:val="single" w:color="auto" w:sz="4" w:space="0"/>
                    <w:left w:val="single" w:color="auto" w:sz="4" w:space="0"/>
                    <w:bottom w:val="single" w:color="auto" w:sz="8" w:space="0"/>
                    <w:right w:val="single" w:color="auto" w:sz="4" w:space="0"/>
                  </w:tcBorders>
                  <w:vAlign w:val="center"/>
                </w:tcPr>
                <w:p w14:paraId="7037B433">
                  <w:pPr>
                    <w:spacing w:line="0" w:lineRule="atLeast"/>
                    <w:ind w:left="-105" w:leftChars="-50" w:right="-105" w:rightChars="-50"/>
                    <w:jc w:val="center"/>
                    <w:rPr>
                      <w:color w:val="000000"/>
                      <w:szCs w:val="21"/>
                    </w:rPr>
                  </w:pPr>
                  <w:r>
                    <w:rPr>
                      <w:color w:val="000000"/>
                      <w:szCs w:val="21"/>
                    </w:rPr>
                    <w:t>31.7</w:t>
                  </w:r>
                </w:p>
              </w:tc>
              <w:tc>
                <w:tcPr>
                  <w:tcW w:w="1758" w:type="dxa"/>
                  <w:vMerge w:val="continue"/>
                  <w:tcBorders>
                    <w:top w:val="single" w:color="auto" w:sz="4" w:space="0"/>
                    <w:left w:val="single" w:color="auto" w:sz="4" w:space="0"/>
                    <w:bottom w:val="single" w:color="auto" w:sz="8" w:space="0"/>
                    <w:right w:val="single" w:color="auto" w:sz="8" w:space="0"/>
                  </w:tcBorders>
                  <w:vAlign w:val="center"/>
                </w:tcPr>
                <w:p w14:paraId="29815B8B">
                  <w:pPr>
                    <w:widowControl/>
                    <w:spacing w:line="240" w:lineRule="auto"/>
                    <w:jc w:val="left"/>
                    <w:rPr>
                      <w:color w:val="000000"/>
                      <w:szCs w:val="21"/>
                    </w:rPr>
                  </w:pPr>
                </w:p>
              </w:tc>
            </w:tr>
          </w:tbl>
          <w:p w14:paraId="07EC16BE">
            <w:pPr>
              <w:spacing w:beforeLines="50"/>
              <w:ind w:firstLine="480" w:firstLineChars="200"/>
              <w:rPr>
                <w:color w:val="000000"/>
                <w:sz w:val="24"/>
                <w:lang w:val="pt-BR"/>
              </w:rPr>
            </w:pPr>
            <w:r>
              <w:rPr>
                <w:rFonts w:hint="eastAsia"/>
                <w:color w:val="000000"/>
                <w:sz w:val="24"/>
                <w:lang w:val="pt-BR"/>
              </w:rPr>
              <w:t>由预测结果可知，项目正常工况下，升压站内的主要噪声源对厂界噪声贡献值较小，最大贡献值出现在北厂界，但仅为</w:t>
            </w:r>
            <w:r>
              <w:rPr>
                <w:color w:val="000000"/>
                <w:sz w:val="24"/>
                <w:lang w:val="pt-BR"/>
              </w:rPr>
              <w:t>33.0dB</w:t>
            </w:r>
            <w:r>
              <w:rPr>
                <w:rFonts w:hint="eastAsia"/>
                <w:color w:val="000000"/>
                <w:sz w:val="24"/>
                <w:lang w:val="pt-BR"/>
              </w:rPr>
              <w:t>（</w:t>
            </w:r>
            <w:r>
              <w:rPr>
                <w:color w:val="000000"/>
                <w:sz w:val="24"/>
                <w:lang w:val="pt-BR"/>
              </w:rPr>
              <w:t>A</w:t>
            </w:r>
            <w:r>
              <w:rPr>
                <w:rFonts w:hint="eastAsia"/>
                <w:color w:val="000000"/>
                <w:sz w:val="24"/>
                <w:lang w:val="pt-BR"/>
              </w:rPr>
              <w:t>），能够满足《工业企业厂界环境噪声排放标准》（</w:t>
            </w:r>
            <w:r>
              <w:rPr>
                <w:color w:val="000000"/>
                <w:sz w:val="24"/>
                <w:lang w:val="pt-BR"/>
              </w:rPr>
              <w:t>GB 12348-2008</w:t>
            </w:r>
            <w:r>
              <w:rPr>
                <w:rFonts w:hint="eastAsia"/>
                <w:color w:val="000000"/>
                <w:sz w:val="24"/>
                <w:lang w:val="pt-BR"/>
              </w:rPr>
              <w:t>）中的</w:t>
            </w:r>
            <w:r>
              <w:rPr>
                <w:color w:val="000000"/>
                <w:sz w:val="24"/>
                <w:lang w:val="pt-BR"/>
              </w:rPr>
              <w:t>1</w:t>
            </w:r>
            <w:r>
              <w:rPr>
                <w:rFonts w:hint="eastAsia"/>
                <w:color w:val="000000"/>
                <w:sz w:val="24"/>
                <w:lang w:val="pt-BR"/>
              </w:rPr>
              <w:t>类标准要求。</w:t>
            </w:r>
          </w:p>
          <w:p w14:paraId="1B13CC6A">
            <w:pPr>
              <w:ind w:firstLine="480" w:firstLineChars="200"/>
              <w:rPr>
                <w:color w:val="000000"/>
                <w:sz w:val="24"/>
                <w:lang w:val="pt-BR"/>
              </w:rPr>
            </w:pPr>
            <w:r>
              <w:rPr>
                <w:rFonts w:hint="eastAsia"/>
                <w:color w:val="000000"/>
                <w:sz w:val="24"/>
                <w:lang w:val="pt-BR"/>
              </w:rPr>
              <w:t>升压站周边最近居民区为距离升压站厂界东北方向</w:t>
            </w:r>
            <w:r>
              <w:rPr>
                <w:color w:val="000000"/>
                <w:sz w:val="24"/>
                <w:lang w:val="pt-BR"/>
              </w:rPr>
              <w:t>1235m</w:t>
            </w:r>
            <w:r>
              <w:rPr>
                <w:rFonts w:hint="eastAsia"/>
                <w:color w:val="000000"/>
                <w:sz w:val="24"/>
                <w:lang w:val="pt-BR"/>
              </w:rPr>
              <w:t>的塔尔干，不在升压站噪声影响范围内，对其基本无影响。</w:t>
            </w:r>
          </w:p>
          <w:p w14:paraId="2F11FF86">
            <w:pPr>
              <w:ind w:firstLine="480" w:firstLineChars="200"/>
              <w:rPr>
                <w:sz w:val="24"/>
                <w:lang w:val="pt-BR"/>
              </w:rPr>
            </w:pPr>
            <w:r>
              <w:rPr>
                <w:rFonts w:hint="eastAsia"/>
                <w:sz w:val="24"/>
                <w:lang w:val="pt-BR"/>
              </w:rPr>
              <w:t>（</w:t>
            </w:r>
            <w:r>
              <w:rPr>
                <w:sz w:val="24"/>
                <w:lang w:val="pt-BR"/>
              </w:rPr>
              <w:t>3</w:t>
            </w:r>
            <w:r>
              <w:rPr>
                <w:rFonts w:hint="eastAsia"/>
                <w:sz w:val="24"/>
                <w:lang w:val="pt-BR"/>
              </w:rPr>
              <w:t>）检修车辆噪声影响分析</w:t>
            </w:r>
          </w:p>
          <w:p w14:paraId="0BE42F20">
            <w:pPr>
              <w:ind w:firstLine="480" w:firstLineChars="200"/>
              <w:rPr>
                <w:sz w:val="24"/>
                <w:lang w:val="pt-BR"/>
              </w:rPr>
            </w:pPr>
            <w:r>
              <w:rPr>
                <w:rFonts w:hint="eastAsia"/>
                <w:sz w:val="24"/>
                <w:lang w:val="pt-BR"/>
              </w:rPr>
              <w:t>营运期风电机组因故障、检修等情况发生时，需要派出检修车辆和人员，一般派出检修车辆为小型客车，且车次极少，具有瞬时性，即使途径居民区，也不会对居民区声环境产生明显影响。</w:t>
            </w:r>
          </w:p>
          <w:p w14:paraId="44E51D32">
            <w:pPr>
              <w:ind w:firstLine="480" w:firstLineChars="200"/>
              <w:rPr>
                <w:color w:val="000000"/>
                <w:sz w:val="24"/>
              </w:rPr>
            </w:pPr>
            <w:r>
              <w:rPr>
                <w:color w:val="000000"/>
                <w:sz w:val="24"/>
              </w:rPr>
              <w:t>4</w:t>
            </w:r>
            <w:r>
              <w:rPr>
                <w:rFonts w:hint="eastAsia"/>
                <w:color w:val="000000"/>
                <w:sz w:val="24"/>
              </w:rPr>
              <w:t>、固体废物影响分析</w:t>
            </w:r>
          </w:p>
          <w:p w14:paraId="30973E82">
            <w:pPr>
              <w:ind w:firstLine="480" w:firstLineChars="200"/>
              <w:rPr>
                <w:color w:val="000000"/>
                <w:sz w:val="24"/>
              </w:rPr>
            </w:pPr>
            <w:r>
              <w:rPr>
                <w:rFonts w:hint="eastAsia"/>
                <w:color w:val="000000"/>
                <w:sz w:val="24"/>
              </w:rPr>
              <w:t>①</w:t>
            </w:r>
            <w:r>
              <w:rPr>
                <w:color w:val="000000"/>
                <w:sz w:val="24"/>
              </w:rPr>
              <w:t xml:space="preserve"> </w:t>
            </w:r>
            <w:r>
              <w:rPr>
                <w:rFonts w:hint="eastAsia"/>
                <w:color w:val="000000"/>
                <w:sz w:val="24"/>
              </w:rPr>
              <w:t>生活垃圾</w:t>
            </w:r>
          </w:p>
          <w:p w14:paraId="7A1326B5">
            <w:pPr>
              <w:ind w:firstLine="480" w:firstLineChars="200"/>
              <w:rPr>
                <w:color w:val="000000"/>
                <w:sz w:val="24"/>
              </w:rPr>
            </w:pPr>
            <w:r>
              <w:rPr>
                <w:rFonts w:hint="eastAsia"/>
                <w:color w:val="000000"/>
                <w:sz w:val="24"/>
              </w:rPr>
              <w:t>本项目劳动定员</w:t>
            </w:r>
            <w:r>
              <w:rPr>
                <w:color w:val="000000"/>
                <w:sz w:val="24"/>
              </w:rPr>
              <w:t>30</w:t>
            </w:r>
            <w:r>
              <w:rPr>
                <w:rFonts w:hint="eastAsia"/>
                <w:color w:val="000000"/>
                <w:sz w:val="24"/>
              </w:rPr>
              <w:t>人，按人均垃圾产生量</w:t>
            </w:r>
            <w:r>
              <w:rPr>
                <w:color w:val="000000"/>
                <w:sz w:val="24"/>
              </w:rPr>
              <w:t>0.8kg/</w:t>
            </w:r>
            <w:r>
              <w:rPr>
                <w:rFonts w:hint="eastAsia"/>
                <w:color w:val="000000"/>
                <w:sz w:val="24"/>
              </w:rPr>
              <w:t>（人</w:t>
            </w:r>
            <w:r>
              <w:rPr>
                <w:color w:val="000000"/>
                <w:sz w:val="24"/>
              </w:rPr>
              <w:t>·d</w:t>
            </w:r>
            <w:r>
              <w:rPr>
                <w:rFonts w:hint="eastAsia"/>
                <w:color w:val="000000"/>
                <w:sz w:val="24"/>
              </w:rPr>
              <w:t>）计，日生活垃圾产生量为</w:t>
            </w:r>
            <w:r>
              <w:rPr>
                <w:color w:val="000000"/>
                <w:sz w:val="24"/>
              </w:rPr>
              <w:t>24kg</w:t>
            </w:r>
            <w:r>
              <w:rPr>
                <w:rFonts w:hint="eastAsia"/>
                <w:color w:val="000000"/>
                <w:sz w:val="24"/>
              </w:rPr>
              <w:t>，则生活垃圾年产生量为</w:t>
            </w:r>
            <w:r>
              <w:rPr>
                <w:color w:val="000000"/>
                <w:sz w:val="24"/>
              </w:rPr>
              <w:t>8.76t/a</w:t>
            </w:r>
            <w:r>
              <w:rPr>
                <w:rFonts w:hint="eastAsia"/>
                <w:color w:val="000000"/>
                <w:sz w:val="24"/>
              </w:rPr>
              <w:t>，</w:t>
            </w:r>
            <w:r>
              <w:rPr>
                <w:rFonts w:hint="eastAsia"/>
                <w:color w:val="FF0000"/>
                <w:sz w:val="24"/>
              </w:rPr>
              <w:t>本项目在升压站内设置垃圾箱</w:t>
            </w:r>
            <w:r>
              <w:rPr>
                <w:color w:val="FF0000"/>
                <w:sz w:val="24"/>
              </w:rPr>
              <w:t>1</w:t>
            </w:r>
            <w:r>
              <w:rPr>
                <w:rFonts w:hint="eastAsia"/>
                <w:color w:val="FF0000"/>
                <w:sz w:val="24"/>
              </w:rPr>
              <w:t>座，用于生活垃圾暂存</w:t>
            </w:r>
            <w:r>
              <w:rPr>
                <w:rFonts w:hint="eastAsia"/>
                <w:color w:val="000000"/>
                <w:sz w:val="24"/>
              </w:rPr>
              <w:t>。生活污水处理污泥年产生量约为</w:t>
            </w:r>
            <w:r>
              <w:rPr>
                <w:color w:val="000000"/>
                <w:sz w:val="24"/>
              </w:rPr>
              <w:t>0.19t/a</w:t>
            </w:r>
            <w:r>
              <w:rPr>
                <w:rFonts w:hint="eastAsia"/>
                <w:color w:val="000000"/>
                <w:sz w:val="24"/>
              </w:rPr>
              <w:t>。生活垃圾和污泥全部交由环卫部门统一处理，不外排，</w:t>
            </w:r>
            <w:r>
              <w:rPr>
                <w:rFonts w:hint="eastAsia"/>
                <w:sz w:val="24"/>
              </w:rPr>
              <w:t>对环境影响较小。</w:t>
            </w:r>
          </w:p>
          <w:p w14:paraId="07BC241F">
            <w:pPr>
              <w:ind w:firstLine="480" w:firstLineChars="200"/>
              <w:rPr>
                <w:color w:val="000000"/>
                <w:sz w:val="24"/>
              </w:rPr>
            </w:pPr>
            <w:r>
              <w:rPr>
                <w:rFonts w:hint="eastAsia"/>
                <w:color w:val="000000"/>
                <w:sz w:val="24"/>
              </w:rPr>
              <w:t>②</w:t>
            </w:r>
            <w:r>
              <w:rPr>
                <w:color w:val="000000"/>
                <w:sz w:val="24"/>
              </w:rPr>
              <w:t xml:space="preserve"> </w:t>
            </w:r>
            <w:r>
              <w:rPr>
                <w:rFonts w:hint="eastAsia"/>
                <w:color w:val="FF0000"/>
                <w:sz w:val="24"/>
              </w:rPr>
              <w:t>维修垃圾</w:t>
            </w:r>
          </w:p>
          <w:p w14:paraId="161B474F">
            <w:pPr>
              <w:ind w:firstLine="480" w:firstLineChars="200"/>
              <w:rPr>
                <w:sz w:val="24"/>
              </w:rPr>
            </w:pPr>
            <w:r>
              <w:rPr>
                <w:rFonts w:hint="eastAsia"/>
                <w:sz w:val="24"/>
              </w:rPr>
              <w:t>风电场日常检修中要进行拆卸、加油洗等，该过程会产生维修垃圾（主要为废油等）。类比同类风电场，每台风机年维修垃圾按</w:t>
            </w:r>
            <w:r>
              <w:rPr>
                <w:sz w:val="24"/>
              </w:rPr>
              <w:t>10kg/a</w:t>
            </w:r>
            <w:r>
              <w:rPr>
                <w:rFonts w:hint="eastAsia"/>
                <w:sz w:val="24"/>
              </w:rPr>
              <w:t>计，则本项目</w:t>
            </w:r>
            <w:r>
              <w:rPr>
                <w:rFonts w:hint="eastAsia"/>
                <w:color w:val="FF0000"/>
                <w:sz w:val="24"/>
              </w:rPr>
              <w:t>维修垃圾</w:t>
            </w:r>
            <w:r>
              <w:rPr>
                <w:rFonts w:hint="eastAsia"/>
                <w:sz w:val="24"/>
              </w:rPr>
              <w:t>年产生量为</w:t>
            </w:r>
            <w:r>
              <w:rPr>
                <w:sz w:val="24"/>
              </w:rPr>
              <w:t>1.2t/a</w:t>
            </w:r>
            <w:r>
              <w:rPr>
                <w:rFonts w:hint="eastAsia"/>
                <w:sz w:val="24"/>
              </w:rPr>
              <w:t>。按照《国家危险废物名录》（</w:t>
            </w:r>
            <w:r>
              <w:rPr>
                <w:sz w:val="24"/>
              </w:rPr>
              <w:t>2016</w:t>
            </w:r>
            <w:r>
              <w:rPr>
                <w:rFonts w:hint="eastAsia"/>
                <w:sz w:val="24"/>
              </w:rPr>
              <w:t>年），属危险废物（</w:t>
            </w:r>
            <w:r>
              <w:rPr>
                <w:sz w:val="24"/>
              </w:rPr>
              <w:t>HW49</w:t>
            </w:r>
            <w:r>
              <w:rPr>
                <w:rFonts w:hint="eastAsia"/>
                <w:sz w:val="24"/>
              </w:rPr>
              <w:t>其他废物，废物代码</w:t>
            </w:r>
            <w:r>
              <w:rPr>
                <w:sz w:val="24"/>
              </w:rPr>
              <w:t>900-041-49</w:t>
            </w:r>
            <w:r>
              <w:rPr>
                <w:rFonts w:hint="eastAsia"/>
                <w:sz w:val="24"/>
              </w:rPr>
              <w:t>），经专门容器收集后暂时贮存于场内危险废物暂存间，委托有处理该危险废物资质的单位及时处置。</w:t>
            </w:r>
            <w:r>
              <w:rPr>
                <w:rFonts w:hint="eastAsia"/>
                <w:color w:val="FF0000"/>
                <w:sz w:val="24"/>
              </w:rPr>
              <w:t>检修过程中产生的含油抹布属于《国家危险废物名录》（</w:t>
            </w:r>
            <w:r>
              <w:rPr>
                <w:color w:val="FF0000"/>
                <w:sz w:val="24"/>
              </w:rPr>
              <w:t>2016</w:t>
            </w:r>
            <w:r>
              <w:rPr>
                <w:rFonts w:hint="eastAsia"/>
                <w:color w:val="FF0000"/>
                <w:sz w:val="24"/>
              </w:rPr>
              <w:t>年）规定的豁免管理清单中危险废物，全部混入生活垃圾交由环卫部门统一处理。危废暂存间需符合《危险废物贮存污染控制标准》（</w:t>
            </w:r>
            <w:r>
              <w:rPr>
                <w:color w:val="FF0000"/>
                <w:sz w:val="24"/>
              </w:rPr>
              <w:t>GB18597-2001</w:t>
            </w:r>
            <w:r>
              <w:rPr>
                <w:rFonts w:hint="eastAsia"/>
                <w:color w:val="FF0000"/>
                <w:sz w:val="24"/>
              </w:rPr>
              <w:t>）的要求，四周设置围挡设施，地面及四周裙脚均采用坚固、防渗的材料建造，建筑材料必须与危险废物相容，同时设置泄漏液体的收集装置。基础必须防渗，防渗层采取铺设</w:t>
            </w:r>
            <w:r>
              <w:rPr>
                <w:color w:val="FF0000"/>
                <w:sz w:val="24"/>
              </w:rPr>
              <w:t>2mm</w:t>
            </w:r>
            <w:r>
              <w:rPr>
                <w:rFonts w:hint="eastAsia"/>
                <w:color w:val="FF0000"/>
                <w:sz w:val="24"/>
              </w:rPr>
              <w:t>高密度聚乙烯膜或至少</w:t>
            </w:r>
            <w:r>
              <w:rPr>
                <w:color w:val="FF0000"/>
                <w:sz w:val="24"/>
              </w:rPr>
              <w:t>2mm</w:t>
            </w:r>
            <w:r>
              <w:rPr>
                <w:rFonts w:hint="eastAsia"/>
                <w:color w:val="FF0000"/>
                <w:sz w:val="24"/>
              </w:rPr>
              <w:t>厚的其它人工材料防渗，渗透系数小于等于</w:t>
            </w:r>
            <w:r>
              <w:rPr>
                <w:color w:val="FF0000"/>
                <w:sz w:val="24"/>
              </w:rPr>
              <w:t>10</w:t>
            </w:r>
            <w:r>
              <w:rPr>
                <w:color w:val="FF0000"/>
                <w:sz w:val="24"/>
                <w:vertAlign w:val="superscript"/>
              </w:rPr>
              <w:t>-10</w:t>
            </w:r>
            <w:r>
              <w:rPr>
                <w:color w:val="FF0000"/>
                <w:sz w:val="24"/>
              </w:rPr>
              <w:t>cm/s</w:t>
            </w:r>
            <w:r>
              <w:rPr>
                <w:rFonts w:hint="eastAsia"/>
                <w:color w:val="FF0000"/>
                <w:sz w:val="24"/>
              </w:rPr>
              <w:t>。危废暂存间须按</w:t>
            </w:r>
            <w:r>
              <w:rPr>
                <w:color w:val="FF0000"/>
                <w:sz w:val="24"/>
              </w:rPr>
              <w:t>GB15562.2</w:t>
            </w:r>
            <w:r>
              <w:rPr>
                <w:rFonts w:hint="eastAsia"/>
                <w:color w:val="FF0000"/>
                <w:sz w:val="24"/>
              </w:rPr>
              <w:t>的规定设置警示标志，由专人进行管理，做好危险废物排放及处置记录，并严格按照危险废物转运联单制度执行。</w:t>
            </w:r>
          </w:p>
          <w:p w14:paraId="19095A41">
            <w:pPr>
              <w:ind w:firstLine="480" w:firstLineChars="200"/>
              <w:rPr>
                <w:sz w:val="24"/>
              </w:rPr>
            </w:pPr>
            <w:r>
              <w:rPr>
                <w:rFonts w:hint="eastAsia"/>
                <w:sz w:val="24"/>
              </w:rPr>
              <w:t>③</w:t>
            </w:r>
            <w:r>
              <w:rPr>
                <w:sz w:val="24"/>
              </w:rPr>
              <w:t xml:space="preserve"> </w:t>
            </w:r>
            <w:r>
              <w:rPr>
                <w:rFonts w:hint="eastAsia"/>
                <w:sz w:val="24"/>
              </w:rPr>
              <w:t>废蓄电池</w:t>
            </w:r>
          </w:p>
          <w:p w14:paraId="5E1921C7">
            <w:pPr>
              <w:ind w:firstLine="480" w:firstLineChars="200"/>
              <w:rPr>
                <w:sz w:val="24"/>
              </w:rPr>
            </w:pPr>
            <w:r>
              <w:rPr>
                <w:rFonts w:hint="eastAsia"/>
                <w:sz w:val="24"/>
              </w:rPr>
              <w:t>在升压站中，直流系统是核心，为断路器分、合闸机二次回路中的继电保护、仪表及事故照明等提供能源。而直流系统中提供能源是蓄电池，为二次系统的正常运行提供动力。运行期本项目使用免维护铅酸蓄电池，其正常寿命在</w:t>
            </w:r>
            <w:r>
              <w:rPr>
                <w:sz w:val="24"/>
              </w:rPr>
              <w:t>10</w:t>
            </w:r>
            <w:r>
              <w:rPr>
                <w:rFonts w:hint="eastAsia"/>
                <w:sz w:val="24"/>
              </w:rPr>
              <w:t>～</w:t>
            </w:r>
            <w:r>
              <w:rPr>
                <w:sz w:val="24"/>
              </w:rPr>
              <w:t>15</w:t>
            </w:r>
            <w:r>
              <w:rPr>
                <w:rFonts w:hint="eastAsia"/>
                <w:sz w:val="24"/>
              </w:rPr>
              <w:t>年。按照国家危险废物名录，废蓄电池属危险废物（</w:t>
            </w:r>
            <w:r>
              <w:rPr>
                <w:sz w:val="24"/>
              </w:rPr>
              <w:t>HW49</w:t>
            </w:r>
            <w:r>
              <w:rPr>
                <w:rFonts w:hint="eastAsia"/>
                <w:sz w:val="24"/>
              </w:rPr>
              <w:t>其他废物，废物代码</w:t>
            </w:r>
            <w:r>
              <w:rPr>
                <w:sz w:val="24"/>
              </w:rPr>
              <w:t>900-041-49</w:t>
            </w:r>
            <w:r>
              <w:rPr>
                <w:rFonts w:hint="eastAsia"/>
                <w:sz w:val="24"/>
              </w:rPr>
              <w:t>）。根据建设单位提供资料，废蓄电池产生量为</w:t>
            </w:r>
            <w:r>
              <w:rPr>
                <w:sz w:val="24"/>
              </w:rPr>
              <w:t>22kg/</w:t>
            </w:r>
            <w:r>
              <w:rPr>
                <w:rFonts w:hint="eastAsia"/>
                <w:sz w:val="24"/>
              </w:rPr>
              <w:t>次，拟由蓄电池提供单位回收处置。</w:t>
            </w:r>
          </w:p>
          <w:p w14:paraId="438579C2">
            <w:pPr>
              <w:rPr>
                <w:sz w:val="24"/>
              </w:rPr>
            </w:pPr>
            <w:r>
              <w:rPr>
                <w:sz w:val="24"/>
              </w:rPr>
              <w:t xml:space="preserve">    </w:t>
            </w:r>
            <w:r>
              <w:rPr>
                <w:rFonts w:hint="eastAsia"/>
                <w:sz w:val="24"/>
              </w:rPr>
              <w:t>④</w:t>
            </w:r>
            <w:r>
              <w:rPr>
                <w:sz w:val="24"/>
              </w:rPr>
              <w:t xml:space="preserve"> </w:t>
            </w:r>
            <w:r>
              <w:rPr>
                <w:rFonts w:hint="eastAsia"/>
                <w:sz w:val="24"/>
              </w:rPr>
              <w:t>变压器事故废油</w:t>
            </w:r>
          </w:p>
          <w:p w14:paraId="1183E7B5">
            <w:pPr>
              <w:ind w:firstLine="480" w:firstLineChars="200"/>
              <w:rPr>
                <w:color w:val="000000"/>
                <w:sz w:val="24"/>
              </w:rPr>
            </w:pPr>
            <w:r>
              <w:rPr>
                <w:rFonts w:hint="eastAsia"/>
                <w:sz w:val="24"/>
              </w:rPr>
              <w:t>变压器正常运行时不产生废油，</w:t>
            </w:r>
            <w:r>
              <w:rPr>
                <w:rFonts w:hint="eastAsia"/>
                <w:color w:val="FF0000"/>
                <w:sz w:val="24"/>
              </w:rPr>
              <w:t>发生事故时将变压器油排入变压器下部设置的围堰内，再通过管道自流进入事故池临时贮存</w:t>
            </w:r>
            <w:r>
              <w:rPr>
                <w:rFonts w:hint="eastAsia"/>
                <w:sz w:val="24"/>
              </w:rPr>
              <w:t>。主变压器（</w:t>
            </w:r>
            <w:r>
              <w:rPr>
                <w:sz w:val="24"/>
              </w:rPr>
              <w:t>150MVA</w:t>
            </w:r>
            <w:r>
              <w:rPr>
                <w:rFonts w:hint="eastAsia"/>
                <w:sz w:val="24"/>
              </w:rPr>
              <w:t>）油量约</w:t>
            </w:r>
            <w:r>
              <w:rPr>
                <w:sz w:val="24"/>
              </w:rPr>
              <w:t>60t</w:t>
            </w:r>
            <w:r>
              <w:rPr>
                <w:rFonts w:hint="eastAsia"/>
                <w:sz w:val="24"/>
              </w:rPr>
              <w:t>（约</w:t>
            </w:r>
            <w:r>
              <w:rPr>
                <w:sz w:val="24"/>
              </w:rPr>
              <w:t>66m</w:t>
            </w:r>
            <w:r>
              <w:rPr>
                <w:sz w:val="24"/>
                <w:vertAlign w:val="superscript"/>
              </w:rPr>
              <w:t>3</w:t>
            </w:r>
            <w:r>
              <w:rPr>
                <w:rFonts w:hint="eastAsia"/>
                <w:sz w:val="24"/>
              </w:rPr>
              <w:t>），</w:t>
            </w:r>
            <w:r>
              <w:rPr>
                <w:sz w:val="24"/>
              </w:rPr>
              <w:t>1</w:t>
            </w:r>
            <w:r>
              <w:rPr>
                <w:rFonts w:hint="eastAsia"/>
                <w:sz w:val="24"/>
              </w:rPr>
              <w:t>台主变发生事故时排油量（按全部泄漏）</w:t>
            </w:r>
            <w:r>
              <w:rPr>
                <w:sz w:val="24"/>
              </w:rPr>
              <w:t>66m</w:t>
            </w:r>
            <w:r>
              <w:rPr>
                <w:sz w:val="24"/>
                <w:vertAlign w:val="superscript"/>
              </w:rPr>
              <w:t>3</w:t>
            </w:r>
            <w:r>
              <w:rPr>
                <w:rFonts w:hint="eastAsia"/>
                <w:sz w:val="24"/>
              </w:rPr>
              <w:t>，主变事故油池容积为</w:t>
            </w:r>
            <w:r>
              <w:rPr>
                <w:sz w:val="24"/>
              </w:rPr>
              <w:t>96m</w:t>
            </w:r>
            <w:r>
              <w:rPr>
                <w:sz w:val="24"/>
                <w:vertAlign w:val="superscript"/>
              </w:rPr>
              <w:t>3</w:t>
            </w:r>
            <w:r>
              <w:rPr>
                <w:rFonts w:hint="eastAsia"/>
                <w:sz w:val="24"/>
              </w:rPr>
              <w:t>，可满足变电站事故排油的需求。同时考虑到降雨可能进入事故油池，因此事故油中含有的废水一并委托处理。主变事故油为石油类</w:t>
            </w:r>
            <w:r>
              <w:rPr>
                <w:sz w:val="24"/>
              </w:rPr>
              <w:t>HW08</w:t>
            </w:r>
            <w:r>
              <w:rPr>
                <w:rFonts w:hint="eastAsia"/>
                <w:sz w:val="24"/>
              </w:rPr>
              <w:t>废矿物油，属于危险废物（废物代码</w:t>
            </w:r>
            <w:r>
              <w:rPr>
                <w:sz w:val="24"/>
              </w:rPr>
              <w:t>900-220-08</w:t>
            </w:r>
            <w:r>
              <w:rPr>
                <w:rFonts w:hint="eastAsia"/>
                <w:sz w:val="24"/>
              </w:rPr>
              <w:t>），由变压器油提供单位回收综合利用。</w:t>
            </w:r>
          </w:p>
          <w:p w14:paraId="4F80EF55">
            <w:pPr>
              <w:ind w:firstLine="480" w:firstLineChars="200"/>
              <w:rPr>
                <w:color w:val="000000"/>
                <w:sz w:val="24"/>
              </w:rPr>
            </w:pPr>
            <w:r>
              <w:rPr>
                <w:rFonts w:hint="eastAsia"/>
                <w:color w:val="000000"/>
                <w:sz w:val="24"/>
              </w:rPr>
              <w:t>综上所述，本项目产生的生活垃圾、污泥、</w:t>
            </w:r>
            <w:r>
              <w:rPr>
                <w:rFonts w:hint="eastAsia"/>
                <w:color w:val="FF0000"/>
                <w:sz w:val="24"/>
              </w:rPr>
              <w:t>维修垃圾</w:t>
            </w:r>
            <w:r>
              <w:rPr>
                <w:rFonts w:hint="eastAsia"/>
                <w:color w:val="000000"/>
                <w:sz w:val="24"/>
              </w:rPr>
              <w:t>以及事故时变压器废油等均得到妥善处理处置，去向合理，对环境影响较小。</w:t>
            </w:r>
          </w:p>
          <w:p w14:paraId="01606EE2">
            <w:pPr>
              <w:ind w:firstLine="480" w:firstLineChars="200"/>
              <w:rPr>
                <w:color w:val="000000"/>
                <w:sz w:val="24"/>
              </w:rPr>
            </w:pPr>
            <w:r>
              <w:rPr>
                <w:color w:val="000000"/>
                <w:sz w:val="24"/>
              </w:rPr>
              <w:t>5</w:t>
            </w:r>
            <w:r>
              <w:rPr>
                <w:rFonts w:hint="eastAsia"/>
                <w:color w:val="000000"/>
                <w:sz w:val="24"/>
              </w:rPr>
              <w:t>、生态影响分析</w:t>
            </w:r>
          </w:p>
          <w:p w14:paraId="70A5E218">
            <w:pPr>
              <w:ind w:firstLine="480" w:firstLineChars="200"/>
              <w:rPr>
                <w:color w:val="000000"/>
                <w:sz w:val="24"/>
              </w:rPr>
            </w:pPr>
            <w:r>
              <w:rPr>
                <w:rFonts w:hint="eastAsia"/>
                <w:color w:val="000000"/>
                <w:sz w:val="24"/>
              </w:rPr>
              <w:t>（</w:t>
            </w:r>
            <w:r>
              <w:rPr>
                <w:color w:val="000000"/>
                <w:sz w:val="24"/>
              </w:rPr>
              <w:t>1</w:t>
            </w:r>
            <w:r>
              <w:rPr>
                <w:rFonts w:hint="eastAsia"/>
                <w:color w:val="000000"/>
                <w:sz w:val="24"/>
              </w:rPr>
              <w:t>）生态系统影响分析</w:t>
            </w:r>
          </w:p>
          <w:p w14:paraId="41F44368">
            <w:pPr>
              <w:ind w:firstLine="480" w:firstLineChars="200"/>
              <w:rPr>
                <w:color w:val="000000"/>
                <w:sz w:val="24"/>
              </w:rPr>
            </w:pPr>
            <w:r>
              <w:rPr>
                <w:rFonts w:hint="eastAsia"/>
                <w:color w:val="000000"/>
                <w:sz w:val="24"/>
              </w:rPr>
              <w:t>风机运转过程中可能会对鸟类产生恫吓作用，使得食物链下级动物增多，如啮齿类动物和兔子等，从而使动物啃食量增加，通过食物链作用影响植物的种类和数量，在一定程度上会破坏生态系统的生态平衡，由于评价区域为典型草原，草场生产力不高，啮齿类动物和大型鸟类总量不多，食物链各级生物量基数较小，在本项目运营后，啮齿类、兔子等动物仍然受着人类活动的干扰，不会有数量的大增长，因此风场建设项目对食物链及当地生态完整性反应较缓慢，影响较小。</w:t>
            </w:r>
          </w:p>
          <w:p w14:paraId="7B51FE3B">
            <w:pPr>
              <w:ind w:firstLine="480" w:firstLineChars="200"/>
              <w:rPr>
                <w:color w:val="000000"/>
                <w:sz w:val="24"/>
              </w:rPr>
            </w:pPr>
            <w:r>
              <w:rPr>
                <w:rFonts w:hint="eastAsia"/>
                <w:color w:val="000000"/>
                <w:sz w:val="24"/>
              </w:rPr>
              <w:t>（</w:t>
            </w:r>
            <w:r>
              <w:rPr>
                <w:color w:val="000000"/>
                <w:sz w:val="24"/>
              </w:rPr>
              <w:t>2</w:t>
            </w:r>
            <w:r>
              <w:rPr>
                <w:rFonts w:hint="eastAsia"/>
                <w:color w:val="000000"/>
                <w:sz w:val="24"/>
              </w:rPr>
              <w:t>）对动物影响分析</w:t>
            </w:r>
          </w:p>
          <w:p w14:paraId="02B49CB1">
            <w:pPr>
              <w:ind w:firstLine="480" w:firstLineChars="200"/>
              <w:rPr>
                <w:color w:val="000000"/>
                <w:sz w:val="24"/>
              </w:rPr>
            </w:pPr>
            <w:r>
              <w:rPr>
                <w:rFonts w:hint="eastAsia"/>
                <w:color w:val="000000"/>
                <w:sz w:val="24"/>
              </w:rPr>
              <w:t>风电场建设项目对动物的影响主要是对鸟类的影响，这种影响分为直接影响和间接影响两种。</w:t>
            </w:r>
          </w:p>
          <w:p w14:paraId="3BC66596">
            <w:pPr>
              <w:ind w:firstLine="480" w:firstLineChars="200"/>
              <w:rPr>
                <w:color w:val="000000"/>
                <w:sz w:val="24"/>
              </w:rPr>
            </w:pPr>
            <w:r>
              <w:rPr>
                <w:rFonts w:hint="eastAsia"/>
                <w:color w:val="000000"/>
                <w:sz w:val="24"/>
              </w:rPr>
              <w:t>①</w:t>
            </w:r>
            <w:r>
              <w:rPr>
                <w:color w:val="000000"/>
                <w:sz w:val="24"/>
              </w:rPr>
              <w:t xml:space="preserve"> </w:t>
            </w:r>
            <w:r>
              <w:rPr>
                <w:rFonts w:hint="eastAsia"/>
                <w:color w:val="000000"/>
                <w:sz w:val="24"/>
              </w:rPr>
              <w:t>直接影响</w:t>
            </w:r>
          </w:p>
          <w:p w14:paraId="06A6AECD">
            <w:pPr>
              <w:ind w:firstLine="480" w:firstLineChars="200"/>
              <w:rPr>
                <w:color w:val="000000"/>
                <w:sz w:val="24"/>
              </w:rPr>
            </w:pPr>
            <w:r>
              <w:rPr>
                <w:rFonts w:hint="eastAsia"/>
                <w:color w:val="000000"/>
                <w:sz w:val="24"/>
              </w:rPr>
              <w:t>直接影响主要是指当鸟飞过风电场时，可能撞在塔架或风轮机叶片上造成伤亡，这种碰撞可能发生在鸟类的本地迁徙活动中（如往来于休息地与觅食地、饮水地之间等），也可能发生在季节性迁徙途中。荷兰自然物理研究所曾对风电场对鸟类的伤害进行研究，认为鸟类撞击风机而死亡的事件总体来说是稀少的，每公里风电伤害的飞鸟比每公里高压输电线伤害的鸟只少</w:t>
            </w:r>
            <w:r>
              <w:rPr>
                <w:color w:val="000000"/>
                <w:sz w:val="24"/>
              </w:rPr>
              <w:t>10</w:t>
            </w:r>
            <w:r>
              <w:rPr>
                <w:rFonts w:hint="eastAsia"/>
                <w:color w:val="000000"/>
                <w:sz w:val="24"/>
              </w:rPr>
              <w:t>倍，与高速公路上汽车对飞鸟的伤害处于同等水平。风电机运转过程中会产生叶片扫风噪声和机械运转噪声。大多数鸟类对噪声具有较高的敏感性，在该噪声环境条件下，部分鸟类会选择回避，减小活动范围。鸟类在飞行中撞到输电线时会造成死亡或受伤，但多数情况下，这种可能性较小。</w:t>
            </w:r>
          </w:p>
          <w:p w14:paraId="232C4D28">
            <w:pPr>
              <w:ind w:firstLine="480" w:firstLineChars="200"/>
              <w:rPr>
                <w:color w:val="000000"/>
                <w:sz w:val="24"/>
              </w:rPr>
            </w:pPr>
            <w:r>
              <w:rPr>
                <w:rFonts w:hint="eastAsia"/>
                <w:color w:val="000000"/>
                <w:sz w:val="24"/>
              </w:rPr>
              <w:t>②</w:t>
            </w:r>
            <w:r>
              <w:rPr>
                <w:color w:val="000000"/>
                <w:sz w:val="24"/>
              </w:rPr>
              <w:t xml:space="preserve"> </w:t>
            </w:r>
            <w:r>
              <w:rPr>
                <w:rFonts w:hint="eastAsia"/>
                <w:color w:val="000000"/>
                <w:sz w:val="24"/>
              </w:rPr>
              <w:t>间接影响</w:t>
            </w:r>
          </w:p>
          <w:p w14:paraId="72CBA641">
            <w:pPr>
              <w:ind w:firstLine="480" w:firstLineChars="200"/>
              <w:rPr>
                <w:color w:val="000000"/>
                <w:sz w:val="24"/>
              </w:rPr>
            </w:pPr>
            <w:r>
              <w:rPr>
                <w:rFonts w:hint="eastAsia"/>
                <w:color w:val="000000"/>
                <w:sz w:val="24"/>
              </w:rPr>
              <w:t>间接影响主要是指对鸟类栖息环境的影响和对鸟类迁徙活动的影响。据有关文献记载，鸟类在栖息和觅食时的飞行高度与迁徙时的飞行高度是不同的，因此，风电场对两种不同状态下的鸟类影响也不同。</w:t>
            </w:r>
          </w:p>
          <w:p w14:paraId="37D864AA">
            <w:pPr>
              <w:ind w:firstLine="480" w:firstLineChars="200"/>
              <w:rPr>
                <w:color w:val="000000"/>
                <w:sz w:val="24"/>
              </w:rPr>
            </w:pPr>
            <w:r>
              <w:rPr>
                <w:color w:val="000000"/>
                <w:sz w:val="24"/>
              </w:rPr>
              <w:t>a</w:t>
            </w:r>
            <w:r>
              <w:rPr>
                <w:rFonts w:hint="eastAsia"/>
                <w:color w:val="000000"/>
                <w:sz w:val="24"/>
              </w:rPr>
              <w:t>、对鸟类栖息环境影响</w:t>
            </w:r>
          </w:p>
          <w:p w14:paraId="6C37CE69">
            <w:pPr>
              <w:ind w:firstLine="480" w:firstLineChars="200"/>
              <w:rPr>
                <w:color w:val="000000"/>
                <w:sz w:val="24"/>
              </w:rPr>
            </w:pPr>
            <w:r>
              <w:rPr>
                <w:rFonts w:hint="eastAsia"/>
                <w:color w:val="000000"/>
                <w:sz w:val="24"/>
              </w:rPr>
              <w:t>在栖息和觅食时，鸟类飞行高度一般低于</w:t>
            </w:r>
            <w:r>
              <w:rPr>
                <w:color w:val="000000"/>
                <w:sz w:val="24"/>
              </w:rPr>
              <w:t>100m</w:t>
            </w:r>
            <w:r>
              <w:rPr>
                <w:rFonts w:hint="eastAsia"/>
                <w:color w:val="000000"/>
                <w:sz w:val="24"/>
              </w:rPr>
              <w:t>，而风机叶片旋转高度为</w:t>
            </w:r>
            <w:r>
              <w:rPr>
                <w:color w:val="000000"/>
                <w:sz w:val="24"/>
              </w:rPr>
              <w:t>40~100m</w:t>
            </w:r>
            <w:r>
              <w:rPr>
                <w:rFonts w:hint="eastAsia"/>
                <w:color w:val="000000"/>
                <w:sz w:val="24"/>
              </w:rPr>
              <w:t>，运行线速度为</w:t>
            </w:r>
            <w:r>
              <w:rPr>
                <w:color w:val="000000"/>
                <w:sz w:val="24"/>
              </w:rPr>
              <w:t>34</w:t>
            </w:r>
            <w:r>
              <w:rPr>
                <w:rFonts w:hint="eastAsia" w:ascii="宋体" w:hAnsi="宋体"/>
                <w:color w:val="000000"/>
                <w:sz w:val="24"/>
              </w:rPr>
              <w:t>～</w:t>
            </w:r>
            <w:r>
              <w:rPr>
                <w:color w:val="000000"/>
                <w:sz w:val="24"/>
              </w:rPr>
              <w:t>61m/s</w:t>
            </w:r>
            <w:r>
              <w:rPr>
                <w:rFonts w:hint="eastAsia"/>
                <w:color w:val="000000"/>
                <w:sz w:val="24"/>
              </w:rPr>
              <w:t>，因此风机运行将直接影响鸟类在风电场范围内的飞行，所以风电场范围不再适宜作为鸟类的栖息觅食场所。鸟类通常选择水草肥美的湿地作为栖息觅食地，风电场建设范围内的湿地资源很少，鸟类栖息觅食地也很少。小型鸟类的主要栖息地是居民点附近，风机多布置距居民点较远，因此风电场建设对当地鸟类的直接影响不大。因此，本项目的建设对鸟类栖息环境的影响较小。</w:t>
            </w:r>
          </w:p>
          <w:p w14:paraId="6E476DFB">
            <w:pPr>
              <w:ind w:firstLine="480" w:firstLineChars="200"/>
              <w:rPr>
                <w:color w:val="000000"/>
                <w:sz w:val="24"/>
              </w:rPr>
            </w:pPr>
            <w:r>
              <w:rPr>
                <w:color w:val="000000"/>
                <w:sz w:val="24"/>
              </w:rPr>
              <w:t>b</w:t>
            </w:r>
            <w:r>
              <w:rPr>
                <w:rFonts w:hint="eastAsia"/>
                <w:color w:val="000000"/>
                <w:sz w:val="24"/>
              </w:rPr>
              <w:t>、对鸟类迁徙活动影响</w:t>
            </w:r>
          </w:p>
          <w:p w14:paraId="62DA93E6">
            <w:pPr>
              <w:ind w:firstLine="480" w:firstLineChars="200"/>
              <w:rPr>
                <w:color w:val="000000"/>
                <w:sz w:val="24"/>
              </w:rPr>
            </w:pPr>
            <w:r>
              <w:rPr>
                <w:rFonts w:hint="eastAsia"/>
                <w:color w:val="000000"/>
                <w:sz w:val="24"/>
              </w:rPr>
              <w:t>风电场占地面积极大，一般是几平方公里，甚至上百平方公里。由于风电机运行过程产生的噪声和光影会对鸟类产生干扰，鸟类会远离风电场。</w:t>
            </w:r>
          </w:p>
          <w:p w14:paraId="3CE216E2">
            <w:pPr>
              <w:ind w:firstLine="480" w:firstLineChars="200"/>
              <w:rPr>
                <w:color w:val="000000"/>
                <w:sz w:val="24"/>
              </w:rPr>
            </w:pPr>
            <w:r>
              <w:rPr>
                <w:rFonts w:hint="eastAsia"/>
                <w:color w:val="000000"/>
                <w:sz w:val="24"/>
              </w:rPr>
              <w:t>鸟类迁徙的高度一般在</w:t>
            </w:r>
            <w:r>
              <w:rPr>
                <w:color w:val="000000"/>
                <w:sz w:val="24"/>
              </w:rPr>
              <w:t>300m</w:t>
            </w:r>
            <w:r>
              <w:rPr>
                <w:rFonts w:hint="eastAsia"/>
                <w:color w:val="000000"/>
                <w:sz w:val="24"/>
              </w:rPr>
              <w:t>左右，小型鸟禽的迁徙高度不超过</w:t>
            </w:r>
            <w:r>
              <w:rPr>
                <w:color w:val="000000"/>
                <w:sz w:val="24"/>
              </w:rPr>
              <w:t>300m</w:t>
            </w:r>
            <w:r>
              <w:rPr>
                <w:rFonts w:hint="eastAsia"/>
                <w:color w:val="000000"/>
                <w:sz w:val="24"/>
              </w:rPr>
              <w:t>，大型鸟类可达</w:t>
            </w:r>
            <w:r>
              <w:rPr>
                <w:color w:val="000000"/>
                <w:sz w:val="24"/>
              </w:rPr>
              <w:t>300</w:t>
            </w:r>
            <w:r>
              <w:rPr>
                <w:rFonts w:hint="eastAsia" w:ascii="宋体" w:hAnsi="宋体"/>
                <w:color w:val="000000"/>
                <w:sz w:val="24"/>
              </w:rPr>
              <w:t>～</w:t>
            </w:r>
            <w:r>
              <w:rPr>
                <w:color w:val="000000"/>
                <w:sz w:val="24"/>
              </w:rPr>
              <w:t>3600m</w:t>
            </w:r>
            <w:r>
              <w:rPr>
                <w:rFonts w:hint="eastAsia"/>
                <w:color w:val="000000"/>
                <w:sz w:val="24"/>
              </w:rPr>
              <w:t>，如燕的迁徙高度为</w:t>
            </w:r>
            <w:r>
              <w:rPr>
                <w:color w:val="000000"/>
                <w:sz w:val="24"/>
              </w:rPr>
              <w:t>450m</w:t>
            </w:r>
            <w:r>
              <w:rPr>
                <w:rFonts w:hint="eastAsia"/>
                <w:color w:val="000000"/>
                <w:sz w:val="24"/>
              </w:rPr>
              <w:t>，雁为</w:t>
            </w:r>
            <w:r>
              <w:rPr>
                <w:color w:val="000000"/>
                <w:sz w:val="24"/>
              </w:rPr>
              <w:t>900m</w:t>
            </w:r>
            <w:r>
              <w:rPr>
                <w:rFonts w:hint="eastAsia"/>
                <w:color w:val="000000"/>
                <w:sz w:val="24"/>
              </w:rPr>
              <w:t>。可见，鸟类迁徙飞行高度远在风电机高度之上。鸟类一般又都具有较好的视力，它们很容易发现并躲避障碍物，在飞行途中遇到障碍物都会在大约</w:t>
            </w:r>
            <w:r>
              <w:rPr>
                <w:color w:val="000000"/>
                <w:sz w:val="24"/>
              </w:rPr>
              <w:t>100</w:t>
            </w:r>
            <w:r>
              <w:rPr>
                <w:rFonts w:hint="eastAsia" w:ascii="宋体" w:hAnsi="宋体"/>
                <w:color w:val="000000"/>
                <w:sz w:val="24"/>
              </w:rPr>
              <w:t>～</w:t>
            </w:r>
            <w:r>
              <w:rPr>
                <w:color w:val="000000"/>
                <w:sz w:val="24"/>
              </w:rPr>
              <w:t>200m</w:t>
            </w:r>
            <w:r>
              <w:rPr>
                <w:rFonts w:hint="eastAsia"/>
                <w:color w:val="000000"/>
                <w:sz w:val="24"/>
              </w:rPr>
              <w:t>的距离下避开。因此，在天气晴好的情况下，鸟类误撞风电机的几率极小。但是，在鸟类迁徙遇到逆风不能着陆时，飞得很低，几乎是近地面飞行，会撞在障碍物上死亡。在夜间，或在有雾、烟、密云和蒙蒙雨、透视度很低的白天，发生误撞而死亡的几率会提高。</w:t>
            </w:r>
          </w:p>
          <w:p w14:paraId="480B1887">
            <w:pPr>
              <w:ind w:firstLine="480" w:firstLineChars="200"/>
              <w:rPr>
                <w:color w:val="000000"/>
                <w:sz w:val="24"/>
              </w:rPr>
            </w:pPr>
            <w:r>
              <w:rPr>
                <w:rFonts w:hint="eastAsia"/>
                <w:color w:val="000000"/>
                <w:sz w:val="24"/>
              </w:rPr>
              <w:t>根据中国候鸟迁徙路线示意图，本项目不在候鸟迁徙通道上，所以拟建风电场对鸟类迁徙活动影响较小。</w:t>
            </w:r>
          </w:p>
          <w:p w14:paraId="2443BBDB">
            <w:pPr>
              <w:jc w:val="center"/>
              <w:rPr>
                <w:color w:val="000000"/>
                <w:sz w:val="24"/>
              </w:rPr>
            </w:pPr>
            <w:r>
              <w:pict>
                <v:shape id="任意多边形 747" o:spid="_x0000_s1035" style="position:absolute;left:0pt;margin-left:303.05pt;margin-top:79.25pt;height:3.55pt;width:6.75pt;z-index:251660288;mso-width-relative:page;mso-height-relative:page;" filled="f" stroked="t" coordsize="6420,1575" path="m0,0l5370,0,6420,1410,45,1575,0,0xe">
                  <v:path arrowok="t"/>
                  <v:fill on="f" focussize="0,0"/>
                  <v:stroke weight="1pt" color="#FF0000"/>
                  <v:imagedata o:title=""/>
                  <o:lock v:ext="edit"/>
                </v:shape>
              </w:pict>
            </w:r>
            <w:r>
              <w:pict>
                <v:shape id="自选图形 726" o:spid="_x0000_s1034" o:spt="62" type="#_x0000_t62" style="position:absolute;left:0pt;margin-left:250.7pt;margin-top:37.25pt;height:19.5pt;width:57pt;z-index:251661312;mso-width-relative:page;mso-height-relative:page;" filled="f" stroked="t" coordsize="21600,21600" adj="20956,48683">
                  <v:path/>
                  <v:fill on="f" focussize="0,0"/>
                  <v:stroke color="#0000FF" joinstyle="miter"/>
                  <v:imagedata o:title=""/>
                  <o:lock v:ext="edit"/>
                  <v:textbox>
                    <w:txbxContent>
                      <w:p w14:paraId="6BDB0335">
                        <w:pPr>
                          <w:spacing w:line="200" w:lineRule="exact"/>
                          <w:ind w:left="-105" w:leftChars="-50" w:right="-105" w:rightChars="-50"/>
                          <w:jc w:val="center"/>
                          <w:rPr>
                            <w:rFonts w:ascii="黑体" w:eastAsia="黑体"/>
                            <w:color w:val="0000FF"/>
                            <w:sz w:val="18"/>
                            <w:szCs w:val="18"/>
                          </w:rPr>
                        </w:pPr>
                        <w:r>
                          <w:rPr>
                            <w:rFonts w:hint="eastAsia" w:ascii="黑体" w:eastAsia="黑体"/>
                            <w:color w:val="0000FF"/>
                            <w:sz w:val="18"/>
                            <w:szCs w:val="18"/>
                          </w:rPr>
                          <w:t>风电场位置</w:t>
                        </w:r>
                      </w:p>
                    </w:txbxContent>
                  </v:textbox>
                </v:shape>
              </w:pict>
            </w:r>
            <w:r>
              <w:drawing>
                <wp:inline distT="0" distB="0" distL="0" distR="0">
                  <wp:extent cx="5248275" cy="3457575"/>
                  <wp:effectExtent l="19050" t="0" r="9525" b="0"/>
                  <wp:docPr id="2"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3"/>
                          <pic:cNvPicPr>
                            <a:picLocks noChangeAspect="1" noChangeArrowheads="1"/>
                          </pic:cNvPicPr>
                        </pic:nvPicPr>
                        <pic:blipFill>
                          <a:blip r:embed="rId20"/>
                          <a:srcRect/>
                          <a:stretch>
                            <a:fillRect/>
                          </a:stretch>
                        </pic:blipFill>
                        <pic:spPr>
                          <a:xfrm>
                            <a:off x="0" y="0"/>
                            <a:ext cx="5248275" cy="3457575"/>
                          </a:xfrm>
                          <a:prstGeom prst="rect">
                            <a:avLst/>
                          </a:prstGeom>
                          <a:noFill/>
                          <a:ln w="9525">
                            <a:noFill/>
                            <a:miter lim="800000"/>
                            <a:headEnd/>
                            <a:tailEnd/>
                          </a:ln>
                        </pic:spPr>
                      </pic:pic>
                    </a:graphicData>
                  </a:graphic>
                </wp:inline>
              </w:drawing>
            </w:r>
          </w:p>
          <w:p w14:paraId="1651AFCB">
            <w:pPr>
              <w:jc w:val="center"/>
              <w:rPr>
                <w:rFonts w:ascii="黑体" w:hAnsi="黑体" w:eastAsia="黑体"/>
                <w:color w:val="000000"/>
                <w:sz w:val="24"/>
              </w:rPr>
            </w:pPr>
            <w:r>
              <w:rPr>
                <w:rFonts w:hint="eastAsia" w:ascii="黑体" w:hAnsi="黑体" w:eastAsia="黑体"/>
                <w:color w:val="000000"/>
                <w:sz w:val="24"/>
              </w:rPr>
              <w:t>表17   风电场在中国鸟类迁徙路线中的位置</w:t>
            </w:r>
          </w:p>
          <w:p w14:paraId="2F9E8652">
            <w:pPr>
              <w:ind w:firstLine="480" w:firstLineChars="200"/>
              <w:rPr>
                <w:color w:val="000000"/>
                <w:sz w:val="24"/>
              </w:rPr>
            </w:pPr>
            <w:r>
              <w:rPr>
                <w:rFonts w:hint="eastAsia"/>
                <w:color w:val="000000"/>
                <w:sz w:val="24"/>
              </w:rPr>
              <w:t>③</w:t>
            </w:r>
            <w:r>
              <w:rPr>
                <w:color w:val="000000"/>
                <w:sz w:val="24"/>
              </w:rPr>
              <w:t xml:space="preserve"> </w:t>
            </w:r>
            <w:r>
              <w:rPr>
                <w:rFonts w:hint="eastAsia"/>
                <w:color w:val="000000"/>
                <w:sz w:val="24"/>
              </w:rPr>
              <w:t>低频噪声对动物影响分析</w:t>
            </w:r>
          </w:p>
          <w:p w14:paraId="762F80DD">
            <w:pPr>
              <w:ind w:firstLine="480" w:firstLineChars="200"/>
              <w:rPr>
                <w:color w:val="000000"/>
                <w:sz w:val="24"/>
              </w:rPr>
            </w:pPr>
            <w:r>
              <w:rPr>
                <w:rFonts w:hint="eastAsia"/>
                <w:color w:val="000000"/>
                <w:sz w:val="24"/>
              </w:rPr>
              <w:t>根据袁征、马丽等人《海上风机噪声对海洋生物的影响研究》的研究结果，风电场在运行过程中产生的噪声多为窄频噪声，频率小于</w:t>
            </w:r>
            <w:r>
              <w:rPr>
                <w:color w:val="000000"/>
                <w:sz w:val="24"/>
              </w:rPr>
              <w:t>1kHz</w:t>
            </w:r>
            <w:r>
              <w:rPr>
                <w:rFonts w:hint="eastAsia"/>
                <w:color w:val="000000"/>
                <w:sz w:val="24"/>
              </w:rPr>
              <w:t>，多数集中在</w:t>
            </w:r>
            <w:r>
              <w:rPr>
                <w:color w:val="000000"/>
                <w:sz w:val="24"/>
              </w:rPr>
              <w:t>700Hz</w:t>
            </w:r>
            <w:r>
              <w:rPr>
                <w:rFonts w:hint="eastAsia"/>
                <w:color w:val="000000"/>
                <w:sz w:val="24"/>
              </w:rPr>
              <w:t>以内，其声音频谱通常与风机性能有关而与其他条件无关。多数研究表明风机噪声可能会对野生动物产生一定的影响，但不会造成不良生理反应及听力损伤。拟建风电场范围内野生动物分布较少，评价区范围内无保护动物，且拟建风电场周围已有风电场建成并运营。所以，拟建风电场低频噪声对评价区域内野生动物造成影响较小。</w:t>
            </w:r>
          </w:p>
          <w:p w14:paraId="30B26840">
            <w:pPr>
              <w:ind w:firstLine="480" w:firstLineChars="200"/>
              <w:rPr>
                <w:color w:val="000000"/>
                <w:sz w:val="24"/>
              </w:rPr>
            </w:pPr>
            <w:r>
              <w:rPr>
                <w:rFonts w:hint="eastAsia"/>
                <w:color w:val="000000"/>
                <w:sz w:val="24"/>
              </w:rPr>
              <w:t>（</w:t>
            </w:r>
            <w:r>
              <w:rPr>
                <w:color w:val="000000"/>
                <w:sz w:val="24"/>
              </w:rPr>
              <w:t>3</w:t>
            </w:r>
            <w:r>
              <w:rPr>
                <w:rFonts w:hint="eastAsia"/>
                <w:color w:val="000000"/>
                <w:sz w:val="24"/>
              </w:rPr>
              <w:t>）植物影响因素</w:t>
            </w:r>
          </w:p>
          <w:p w14:paraId="6BC5623A">
            <w:pPr>
              <w:ind w:firstLine="480" w:firstLineChars="200"/>
              <w:rPr>
                <w:color w:val="000000"/>
                <w:sz w:val="24"/>
              </w:rPr>
            </w:pPr>
            <w:r>
              <w:rPr>
                <w:rFonts w:hint="eastAsia"/>
                <w:color w:val="000000"/>
                <w:sz w:val="24"/>
              </w:rPr>
              <w:t>本项目运营期无破坏植被的行为，运营期对植被无影响。</w:t>
            </w:r>
          </w:p>
          <w:p w14:paraId="78B5ABE8">
            <w:pPr>
              <w:ind w:firstLine="480" w:firstLineChars="200"/>
              <w:rPr>
                <w:color w:val="000000"/>
                <w:sz w:val="24"/>
              </w:rPr>
            </w:pPr>
            <w:r>
              <w:rPr>
                <w:rFonts w:hint="eastAsia"/>
                <w:color w:val="000000"/>
                <w:sz w:val="24"/>
              </w:rPr>
              <w:t>（</w:t>
            </w:r>
            <w:r>
              <w:rPr>
                <w:color w:val="000000"/>
                <w:sz w:val="24"/>
              </w:rPr>
              <w:t>4</w:t>
            </w:r>
            <w:r>
              <w:rPr>
                <w:rFonts w:hint="eastAsia"/>
                <w:color w:val="000000"/>
                <w:sz w:val="24"/>
              </w:rPr>
              <w:t>）水土流失影响因素</w:t>
            </w:r>
          </w:p>
          <w:p w14:paraId="57428227">
            <w:pPr>
              <w:ind w:firstLine="480" w:firstLineChars="200"/>
              <w:rPr>
                <w:color w:val="000000"/>
                <w:sz w:val="24"/>
              </w:rPr>
            </w:pPr>
            <w:r>
              <w:rPr>
                <w:rFonts w:hint="eastAsia"/>
                <w:color w:val="000000"/>
                <w:sz w:val="24"/>
              </w:rPr>
              <w:t>本项目建成营运后，风机基础、升压站等永久占地失去原有的生物生产功能和生态功能，植被基本完全损失，植被覆盖率降低，在恶劣天气条件下会加剧该区域的水土流失。另外，运营初期的植物措施恢复期，也存在着一定的水土流失。随着植被的恢复，运营期水土流失将恢复至建设项目前的水平，因此，运营期水土流失较小。</w:t>
            </w:r>
          </w:p>
          <w:p w14:paraId="14190202">
            <w:pPr>
              <w:ind w:firstLine="480" w:firstLineChars="200"/>
              <w:rPr>
                <w:color w:val="000000"/>
                <w:sz w:val="24"/>
              </w:rPr>
            </w:pPr>
            <w:r>
              <w:rPr>
                <w:rFonts w:hint="eastAsia"/>
                <w:color w:val="000000"/>
                <w:sz w:val="24"/>
              </w:rPr>
              <w:t>（</w:t>
            </w:r>
            <w:r>
              <w:rPr>
                <w:color w:val="000000"/>
                <w:sz w:val="24"/>
              </w:rPr>
              <w:t>5</w:t>
            </w:r>
            <w:r>
              <w:rPr>
                <w:rFonts w:hint="eastAsia"/>
                <w:color w:val="000000"/>
                <w:sz w:val="24"/>
              </w:rPr>
              <w:t>）土地利用类型影响因素</w:t>
            </w:r>
          </w:p>
          <w:p w14:paraId="7E75544E">
            <w:pPr>
              <w:ind w:firstLine="480" w:firstLineChars="200"/>
              <w:rPr>
                <w:sz w:val="24"/>
              </w:rPr>
            </w:pPr>
            <w:r>
              <w:rPr>
                <w:rFonts w:hint="eastAsia"/>
                <w:sz w:val="24"/>
              </w:rPr>
              <w:t>本项目的建成运营将改变土地利用类型，由原来的草地变为工业用地。本评价区域总面积为</w:t>
            </w:r>
            <w:r>
              <w:rPr>
                <w:sz w:val="24"/>
              </w:rPr>
              <w:t>15532.22hm</w:t>
            </w:r>
            <w:r>
              <w:rPr>
                <w:sz w:val="24"/>
                <w:vertAlign w:val="superscript"/>
              </w:rPr>
              <w:t>2</w:t>
            </w:r>
            <w:r>
              <w:rPr>
                <w:rFonts w:hint="eastAsia"/>
                <w:sz w:val="24"/>
              </w:rPr>
              <w:t>，土地利用类型以草地为主。永久占地包括风力发电机基础占地、箱式变压器基础占地、升压站占地、进站道路占地、架空线路基础占地等永久占地，工程永久占地为</w:t>
            </w:r>
            <w:r>
              <w:rPr>
                <w:sz w:val="24"/>
              </w:rPr>
              <w:t>9.9016hm</w:t>
            </w:r>
            <w:r>
              <w:rPr>
                <w:sz w:val="24"/>
                <w:vertAlign w:val="superscript"/>
              </w:rPr>
              <w:t>2</w:t>
            </w:r>
            <w:r>
              <w:rPr>
                <w:rFonts w:hint="eastAsia"/>
                <w:sz w:val="24"/>
              </w:rPr>
              <w:t>，占地类型基本为草地，由原来的草地转变为工业用地，但永久占地仅占评价区域总面积的</w:t>
            </w:r>
            <w:r>
              <w:rPr>
                <w:sz w:val="24"/>
              </w:rPr>
              <w:t>0.06%</w:t>
            </w:r>
            <w:r>
              <w:rPr>
                <w:rFonts w:hint="eastAsia"/>
                <w:sz w:val="24"/>
              </w:rPr>
              <w:t>，土地利用类型面积改变较小。</w:t>
            </w:r>
          </w:p>
          <w:p w14:paraId="23CC96A8">
            <w:pPr>
              <w:ind w:firstLine="480" w:firstLineChars="200"/>
              <w:rPr>
                <w:color w:val="000000"/>
                <w:sz w:val="24"/>
              </w:rPr>
            </w:pPr>
            <w:r>
              <w:rPr>
                <w:rFonts w:hint="eastAsia"/>
                <w:color w:val="000000"/>
                <w:sz w:val="24"/>
              </w:rPr>
              <w:t>（</w:t>
            </w:r>
            <w:r>
              <w:rPr>
                <w:color w:val="000000"/>
                <w:sz w:val="24"/>
              </w:rPr>
              <w:t>6</w:t>
            </w:r>
            <w:r>
              <w:rPr>
                <w:rFonts w:hint="eastAsia"/>
                <w:color w:val="000000"/>
                <w:sz w:val="24"/>
              </w:rPr>
              <w:t>）</w:t>
            </w:r>
            <w:r>
              <w:rPr>
                <w:rFonts w:hint="eastAsia"/>
                <w:sz w:val="24"/>
              </w:rPr>
              <w:t>景观影响因素</w:t>
            </w:r>
          </w:p>
          <w:p w14:paraId="447B7E94">
            <w:pPr>
              <w:ind w:firstLine="480" w:firstLineChars="200"/>
              <w:rPr>
                <w:color w:val="000000"/>
                <w:sz w:val="24"/>
              </w:rPr>
            </w:pPr>
            <w:r>
              <w:rPr>
                <w:rFonts w:hint="eastAsia"/>
                <w:color w:val="000000"/>
                <w:sz w:val="24"/>
              </w:rPr>
              <w:t>本风电场所在区域原有景观为低山丘陵景观，大面积风机布置，打破了原有的自然景观，会对人的视觉产生一定的影响，由原来的自然景观转变为风电人工和自然组合景观。</w:t>
            </w:r>
          </w:p>
          <w:p w14:paraId="5AEDCC19">
            <w:pPr>
              <w:ind w:firstLine="480" w:firstLineChars="200"/>
              <w:rPr>
                <w:color w:val="000000"/>
                <w:sz w:val="24"/>
              </w:rPr>
            </w:pPr>
            <w:r>
              <w:rPr>
                <w:rFonts w:hint="eastAsia"/>
                <w:color w:val="000000"/>
                <w:sz w:val="24"/>
              </w:rPr>
              <w:t>拟建工程为了获得较好的风况，一般将风轮机布置在地势相对较高处，因此，人们从很远的地方就可以看到风轮机，风电场的建设对景观的影响十分明显。风电场的视觉影响主要与风机颜色的选择和布置相关。</w:t>
            </w:r>
          </w:p>
          <w:p w14:paraId="29523E5C">
            <w:pPr>
              <w:ind w:firstLine="480" w:firstLineChars="200"/>
              <w:rPr>
                <w:color w:val="000000"/>
                <w:sz w:val="24"/>
              </w:rPr>
            </w:pPr>
            <w:r>
              <w:rPr>
                <w:rFonts w:hint="eastAsia"/>
                <w:color w:val="000000"/>
                <w:sz w:val="24"/>
              </w:rPr>
              <w:t>拟建地区由于台地空地面积很大，可以将多台风轮机建在一块儿，形成风电场。为了避免风轮机看起来在景观中占据统治地位，风轮机之间应保持一定的距离。景观中风轮机的数量越多，对人的视觉影响也越大。本工程将风轮机成分散布置，风轮机之间保持很大距离，这能给人以较舒适的感觉，对视觉景观的影响较小。</w:t>
            </w:r>
          </w:p>
          <w:p w14:paraId="1A9C783D">
            <w:pPr>
              <w:ind w:firstLine="480" w:firstLineChars="200"/>
              <w:rPr>
                <w:color w:val="000000"/>
                <w:sz w:val="24"/>
              </w:rPr>
            </w:pPr>
            <w:r>
              <w:rPr>
                <w:rFonts w:hint="eastAsia"/>
                <w:color w:val="000000"/>
                <w:sz w:val="24"/>
              </w:rPr>
              <w:t>风轮机的颜色选择对景观具有决定性的影响，通常需要根据景观特点及该地区的一般天气状况来选择风轮机的颜色。最常见的风轮机颜色有：白色、灰白色和淡蓝色。从近距离来看，人们通常感觉白色风轮机非常漂亮，并且它是按自然的方式来反射太阳光的。本工程拟选择白色风机，使风电场看上去与周围景观十分协调。</w:t>
            </w:r>
          </w:p>
          <w:p w14:paraId="4D549F25">
            <w:pPr>
              <w:ind w:firstLine="480" w:firstLineChars="200"/>
              <w:rPr>
                <w:color w:val="000000"/>
                <w:sz w:val="24"/>
              </w:rPr>
            </w:pPr>
            <w:r>
              <w:rPr>
                <w:rFonts w:hint="eastAsia"/>
                <w:color w:val="000000"/>
                <w:sz w:val="24"/>
              </w:rPr>
              <w:t>风机塔基在施工过程中，扰动的土壤面积较大，一般扰动直径为</w:t>
            </w:r>
            <w:r>
              <w:rPr>
                <w:color w:val="000000"/>
                <w:sz w:val="24"/>
              </w:rPr>
              <w:t>20m</w:t>
            </w:r>
            <w:r>
              <w:rPr>
                <w:rFonts w:hint="eastAsia" w:ascii="宋体" w:hAnsi="宋体"/>
                <w:color w:val="000000"/>
                <w:sz w:val="24"/>
              </w:rPr>
              <w:t>～</w:t>
            </w:r>
            <w:r>
              <w:rPr>
                <w:color w:val="000000"/>
                <w:sz w:val="24"/>
              </w:rPr>
              <w:t>30m</w:t>
            </w:r>
            <w:r>
              <w:rPr>
                <w:rFonts w:hint="eastAsia"/>
                <w:color w:val="000000"/>
                <w:sz w:val="24"/>
              </w:rPr>
              <w:t>，施工后扰动土地裸露，在视觉效果上令人感觉与周围草原不协调，在项目施工结束后，对扰动的土地及时种植牧草等当地原有植物，恢复其生态及视觉景观功能，与周围景色融为一体。</w:t>
            </w:r>
          </w:p>
          <w:p w14:paraId="70870B70">
            <w:pPr>
              <w:ind w:firstLine="480" w:firstLineChars="200"/>
              <w:rPr>
                <w:color w:val="000000"/>
                <w:sz w:val="24"/>
              </w:rPr>
            </w:pPr>
            <w:r>
              <w:rPr>
                <w:rFonts w:hint="eastAsia"/>
                <w:color w:val="000000"/>
                <w:sz w:val="24"/>
              </w:rPr>
              <w:t>由于杆塔体积较大且颜色较深，架空高压线的建设通常会对视觉景观造成一定影响。</w:t>
            </w:r>
          </w:p>
          <w:p w14:paraId="1EF665E1">
            <w:pPr>
              <w:ind w:firstLine="480" w:firstLineChars="200"/>
              <w:rPr>
                <w:color w:val="000000"/>
                <w:sz w:val="24"/>
              </w:rPr>
            </w:pPr>
            <w:r>
              <w:rPr>
                <w:rFonts w:hint="eastAsia"/>
                <w:color w:val="000000"/>
                <w:sz w:val="24"/>
              </w:rPr>
              <w:t>本工程附近无自然保护区、生态旅游区、风景名胜区等，工程建设对周围视觉景观影响较小。视觉影响影响具有一定的主观性，为了减小人们心理上对风电场的负面情绪，应使风电场内的各风机都处于良好的运行状态。当人们看到风机在运转，就会觉得这种视觉景观十分漂亮，抑或感觉这种视觉损失是值得的；当风机停止转动时，人们就会感觉这种视觉损失的负面影响很明显。</w:t>
            </w:r>
          </w:p>
          <w:p w14:paraId="22979D71">
            <w:pPr>
              <w:ind w:firstLine="480" w:firstLineChars="200"/>
              <w:rPr>
                <w:color w:val="000000"/>
                <w:sz w:val="24"/>
              </w:rPr>
            </w:pPr>
            <w:r>
              <w:rPr>
                <w:rFonts w:hint="eastAsia"/>
                <w:color w:val="000000"/>
                <w:sz w:val="24"/>
              </w:rPr>
              <w:t>（</w:t>
            </w:r>
            <w:r>
              <w:rPr>
                <w:color w:val="000000"/>
                <w:sz w:val="24"/>
              </w:rPr>
              <w:t>7</w:t>
            </w:r>
            <w:r>
              <w:rPr>
                <w:rFonts w:hint="eastAsia"/>
                <w:color w:val="000000"/>
                <w:sz w:val="24"/>
              </w:rPr>
              <w:t>）生态环境保护和恢复措施</w:t>
            </w:r>
          </w:p>
          <w:p w14:paraId="41754834">
            <w:pPr>
              <w:ind w:firstLine="480" w:firstLineChars="200"/>
              <w:rPr>
                <w:color w:val="000000"/>
                <w:sz w:val="24"/>
              </w:rPr>
            </w:pPr>
            <w:r>
              <w:rPr>
                <w:rFonts w:hint="eastAsia"/>
                <w:color w:val="000000"/>
                <w:sz w:val="24"/>
              </w:rPr>
              <w:t>①</w:t>
            </w:r>
            <w:r>
              <w:rPr>
                <w:color w:val="000000"/>
                <w:sz w:val="24"/>
              </w:rPr>
              <w:t xml:space="preserve"> </w:t>
            </w:r>
            <w:r>
              <w:rPr>
                <w:rFonts w:hint="eastAsia"/>
                <w:color w:val="000000"/>
                <w:sz w:val="24"/>
              </w:rPr>
              <w:t>施工期环境管理措施</w:t>
            </w:r>
          </w:p>
          <w:p w14:paraId="16FF6BD8">
            <w:pPr>
              <w:ind w:firstLine="480" w:firstLineChars="200"/>
              <w:rPr>
                <w:color w:val="000000"/>
                <w:sz w:val="24"/>
              </w:rPr>
            </w:pPr>
            <w:r>
              <w:rPr>
                <w:rFonts w:hint="eastAsia"/>
                <w:color w:val="000000"/>
                <w:sz w:val="24"/>
              </w:rPr>
              <w:t>施工期建设单位、施工单位成立环境保护管理机构，制定本项目严格的环境保护管理制度，明确相关环境保护管理人员的职责。加强对施工人员的生态环境保护的宣传教育工作，在工地及周边地区，设立与环境保护有关的科普性宣传牌，包括生态保护的科普知识、相关法规、本工程拟采用的生态保护措施及意义等。此外，为了加强风场建设区及周边生态环境的保护及实施力度，建议建设单位与施工单位共同协商制订相应环境保护奖惩制度，明确环保职责，提高施工主体的环保责任感，禁止随意破坏植被的活动，切实做好占用区周边草地的生态保护工作。</w:t>
            </w:r>
          </w:p>
          <w:p w14:paraId="28BFD3A5">
            <w:pPr>
              <w:ind w:firstLine="480" w:firstLineChars="200"/>
              <w:rPr>
                <w:color w:val="000000"/>
                <w:sz w:val="24"/>
              </w:rPr>
            </w:pPr>
            <w:r>
              <w:rPr>
                <w:rFonts w:hint="eastAsia"/>
                <w:color w:val="000000"/>
                <w:sz w:val="24"/>
              </w:rPr>
              <w:t>②</w:t>
            </w:r>
            <w:r>
              <w:rPr>
                <w:color w:val="000000"/>
                <w:sz w:val="24"/>
              </w:rPr>
              <w:t xml:space="preserve"> </w:t>
            </w:r>
            <w:r>
              <w:rPr>
                <w:rFonts w:hint="eastAsia"/>
                <w:color w:val="000000"/>
                <w:sz w:val="24"/>
              </w:rPr>
              <w:t>植被保护和恢复措施</w:t>
            </w:r>
          </w:p>
          <w:p w14:paraId="6BA417C9">
            <w:pPr>
              <w:ind w:firstLine="480" w:firstLineChars="200"/>
              <w:rPr>
                <w:color w:val="000000"/>
                <w:sz w:val="24"/>
              </w:rPr>
            </w:pPr>
            <w:r>
              <w:rPr>
                <w:color w:val="000000"/>
                <w:sz w:val="24"/>
              </w:rPr>
              <w:t>a</w:t>
            </w:r>
            <w:r>
              <w:rPr>
                <w:rFonts w:hint="eastAsia"/>
                <w:color w:val="000000"/>
                <w:sz w:val="24"/>
              </w:rPr>
              <w:t>、施工前对施工范围临时设施的布置要进行严格的审查，尽量少占草地，不占耕地，又方便施工。</w:t>
            </w:r>
          </w:p>
          <w:p w14:paraId="637C31DE">
            <w:pPr>
              <w:ind w:firstLine="480" w:firstLineChars="200"/>
              <w:rPr>
                <w:color w:val="000000"/>
                <w:sz w:val="24"/>
              </w:rPr>
            </w:pPr>
            <w:r>
              <w:rPr>
                <w:color w:val="000000"/>
                <w:sz w:val="24"/>
              </w:rPr>
              <w:t>b</w:t>
            </w:r>
            <w:r>
              <w:rPr>
                <w:rFonts w:hint="eastAsia"/>
                <w:color w:val="000000"/>
                <w:sz w:val="24"/>
              </w:rPr>
              <w:t>、严格按照设计文件确定征占土地范围，进行地表植被的清理工作，表土单独堆放，剥离的表土采取临时挡护平整夯实措施，防治表土流失。</w:t>
            </w:r>
          </w:p>
          <w:p w14:paraId="4E989C00">
            <w:pPr>
              <w:ind w:firstLine="480" w:firstLineChars="200"/>
              <w:rPr>
                <w:color w:val="000000"/>
                <w:sz w:val="24"/>
              </w:rPr>
            </w:pPr>
            <w:r>
              <w:rPr>
                <w:color w:val="000000"/>
                <w:sz w:val="24"/>
              </w:rPr>
              <w:t>c</w:t>
            </w:r>
            <w:r>
              <w:rPr>
                <w:rFonts w:hint="eastAsia"/>
                <w:color w:val="000000"/>
                <w:sz w:val="24"/>
              </w:rPr>
              <w:t>、工程施工过程中，不允许将工程临时废渣随处乱排，场内运输车辆严格按照指定运输道路行驶。</w:t>
            </w:r>
          </w:p>
          <w:p w14:paraId="7AF65ECA">
            <w:pPr>
              <w:ind w:firstLine="480" w:firstLineChars="200"/>
              <w:rPr>
                <w:color w:val="000000"/>
                <w:sz w:val="24"/>
              </w:rPr>
            </w:pPr>
            <w:r>
              <w:rPr>
                <w:color w:val="000000"/>
                <w:sz w:val="24"/>
              </w:rPr>
              <w:t>d</w:t>
            </w:r>
            <w:r>
              <w:rPr>
                <w:rFonts w:hint="eastAsia"/>
                <w:color w:val="000000"/>
                <w:sz w:val="24"/>
              </w:rPr>
              <w:t>、施工营地等临时建筑尽可能采用成品或简易拼装方式，尽量减轻对土壤及植被的破坏。</w:t>
            </w:r>
          </w:p>
          <w:p w14:paraId="51FDC7D2">
            <w:pPr>
              <w:ind w:firstLine="480" w:firstLineChars="200"/>
              <w:rPr>
                <w:color w:val="000000"/>
                <w:sz w:val="24"/>
              </w:rPr>
            </w:pPr>
            <w:r>
              <w:rPr>
                <w:color w:val="000000"/>
                <w:sz w:val="24"/>
              </w:rPr>
              <w:t>e</w:t>
            </w:r>
            <w:r>
              <w:rPr>
                <w:rFonts w:hint="eastAsia"/>
                <w:color w:val="000000"/>
                <w:sz w:val="24"/>
              </w:rPr>
              <w:t>、架空输电线路，采用铁塔建设的，塔架底部及周围临时占地区域进行覆土并播撒草种，草种选择耐寒耐旱草种；采用水泥杆架设的，每基水泥杆周围播撒草种。</w:t>
            </w:r>
          </w:p>
          <w:p w14:paraId="03DAC4C9">
            <w:pPr>
              <w:ind w:firstLine="480" w:firstLineChars="200"/>
              <w:rPr>
                <w:color w:val="000000"/>
                <w:sz w:val="24"/>
              </w:rPr>
            </w:pPr>
            <w:r>
              <w:rPr>
                <w:color w:val="000000"/>
                <w:sz w:val="24"/>
              </w:rPr>
              <w:t>f</w:t>
            </w:r>
            <w:r>
              <w:rPr>
                <w:rFonts w:hint="eastAsia"/>
                <w:color w:val="000000"/>
                <w:sz w:val="24"/>
              </w:rPr>
              <w:t>、凡因风电场施工破坏植被而造成裸露的土地（包括风场界内外）应在施工结束后立即整治利用，尽量采用羊草等当地乡土种进行植被恢复。</w:t>
            </w:r>
          </w:p>
          <w:p w14:paraId="15E87713">
            <w:pPr>
              <w:ind w:firstLine="480" w:firstLineChars="200"/>
              <w:rPr>
                <w:color w:val="000000"/>
                <w:sz w:val="24"/>
              </w:rPr>
            </w:pPr>
            <w:r>
              <w:rPr>
                <w:color w:val="000000"/>
                <w:sz w:val="24"/>
              </w:rPr>
              <w:t>g</w:t>
            </w:r>
            <w:r>
              <w:rPr>
                <w:rFonts w:hint="eastAsia"/>
                <w:color w:val="000000"/>
                <w:sz w:val="24"/>
              </w:rPr>
              <w:t>、基础、电缆沟等开挖时，应将表层土与下层土分开，单独收集并保存表层土，暂时堆放于临时表土堆场，用于今后的植被恢复覆土，以恢复土壤理性；临时表土堆场采取临时防护措施：设土袋挡护、拍实、表层覆盖草垫或苫盖纤维布等其它覆盖物。表土恢复情况见表</w:t>
            </w:r>
            <w:r>
              <w:rPr>
                <w:color w:val="000000"/>
                <w:sz w:val="24"/>
              </w:rPr>
              <w:t>26</w:t>
            </w:r>
            <w:r>
              <w:rPr>
                <w:rFonts w:hint="eastAsia"/>
                <w:color w:val="000000"/>
                <w:sz w:val="24"/>
              </w:rPr>
              <w:t>。</w:t>
            </w:r>
          </w:p>
          <w:p w14:paraId="4D663FD1">
            <w:pPr>
              <w:ind w:firstLine="480" w:firstLineChars="200"/>
              <w:rPr>
                <w:rFonts w:ascii="黑体" w:hAnsi="黑体" w:eastAsia="黑体"/>
                <w:color w:val="000000"/>
                <w:sz w:val="24"/>
              </w:rPr>
            </w:pPr>
            <w:r>
              <w:rPr>
                <w:rFonts w:hint="eastAsia" w:ascii="黑体" w:hAnsi="黑体" w:eastAsia="黑体"/>
                <w:color w:val="000000"/>
                <w:sz w:val="24"/>
              </w:rPr>
              <w:t>表26                  表土恢复情况表</w:t>
            </w:r>
          </w:p>
          <w:tbl>
            <w:tblPr>
              <w:tblStyle w:val="25"/>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2198"/>
              <w:gridCol w:w="2197"/>
              <w:gridCol w:w="2197"/>
              <w:gridCol w:w="2197"/>
            </w:tblGrid>
            <w:tr w14:paraId="4301255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2198" w:type="dxa"/>
                  <w:tcBorders>
                    <w:top w:val="single" w:color="auto" w:sz="8" w:space="0"/>
                    <w:left w:val="single" w:color="auto" w:sz="8" w:space="0"/>
                    <w:bottom w:val="single" w:color="auto" w:sz="4" w:space="0"/>
                    <w:right w:val="single" w:color="auto" w:sz="4" w:space="0"/>
                  </w:tcBorders>
                  <w:vAlign w:val="center"/>
                </w:tcPr>
                <w:p w14:paraId="3D1BE71F">
                  <w:pPr>
                    <w:spacing w:line="0" w:lineRule="atLeast"/>
                    <w:ind w:left="-105" w:leftChars="-50" w:right="-105" w:rightChars="-50"/>
                    <w:jc w:val="center"/>
                  </w:pPr>
                  <w:r>
                    <w:rPr>
                      <w:rFonts w:hint="eastAsia"/>
                    </w:rPr>
                    <w:t>项目</w:t>
                  </w:r>
                </w:p>
              </w:tc>
              <w:tc>
                <w:tcPr>
                  <w:tcW w:w="2197" w:type="dxa"/>
                  <w:tcBorders>
                    <w:top w:val="single" w:color="auto" w:sz="8" w:space="0"/>
                    <w:left w:val="single" w:color="auto" w:sz="4" w:space="0"/>
                    <w:bottom w:val="single" w:color="auto" w:sz="4" w:space="0"/>
                    <w:right w:val="single" w:color="auto" w:sz="4" w:space="0"/>
                  </w:tcBorders>
                  <w:vAlign w:val="center"/>
                </w:tcPr>
                <w:p w14:paraId="531CF0DC">
                  <w:pPr>
                    <w:spacing w:line="0" w:lineRule="atLeast"/>
                    <w:ind w:left="-105" w:leftChars="-50" w:right="-105" w:rightChars="-50"/>
                    <w:jc w:val="center"/>
                  </w:pPr>
                  <w:r>
                    <w:rPr>
                      <w:rFonts w:hint="eastAsia"/>
                    </w:rPr>
                    <w:t>临时表土场位置</w:t>
                  </w:r>
                </w:p>
              </w:tc>
              <w:tc>
                <w:tcPr>
                  <w:tcW w:w="2197" w:type="dxa"/>
                  <w:tcBorders>
                    <w:top w:val="single" w:color="auto" w:sz="8" w:space="0"/>
                    <w:left w:val="single" w:color="auto" w:sz="4" w:space="0"/>
                    <w:bottom w:val="single" w:color="auto" w:sz="4" w:space="0"/>
                    <w:right w:val="single" w:color="auto" w:sz="4" w:space="0"/>
                  </w:tcBorders>
                  <w:vAlign w:val="center"/>
                </w:tcPr>
                <w:p w14:paraId="1E408B88">
                  <w:pPr>
                    <w:spacing w:line="0" w:lineRule="atLeast"/>
                    <w:ind w:left="-105" w:leftChars="-50" w:right="-105" w:rightChars="-50"/>
                    <w:jc w:val="center"/>
                  </w:pPr>
                  <w:r>
                    <w:rPr>
                      <w:rFonts w:hint="eastAsia"/>
                    </w:rPr>
                    <w:t>表土去向</w:t>
                  </w:r>
                </w:p>
              </w:tc>
              <w:tc>
                <w:tcPr>
                  <w:tcW w:w="2197" w:type="dxa"/>
                  <w:tcBorders>
                    <w:top w:val="single" w:color="auto" w:sz="8" w:space="0"/>
                    <w:left w:val="single" w:color="auto" w:sz="4" w:space="0"/>
                    <w:bottom w:val="single" w:color="auto" w:sz="4" w:space="0"/>
                    <w:right w:val="single" w:color="auto" w:sz="8" w:space="0"/>
                  </w:tcBorders>
                  <w:vAlign w:val="center"/>
                </w:tcPr>
                <w:p w14:paraId="7762F395">
                  <w:pPr>
                    <w:spacing w:line="0" w:lineRule="atLeast"/>
                    <w:ind w:left="-105" w:leftChars="-50" w:right="-105" w:rightChars="-50"/>
                    <w:jc w:val="center"/>
                  </w:pPr>
                  <w:r>
                    <w:rPr>
                      <w:rFonts w:hint="eastAsia"/>
                    </w:rPr>
                    <w:t>恢复时间</w:t>
                  </w:r>
                </w:p>
              </w:tc>
            </w:tr>
            <w:tr w14:paraId="5547BD0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2198" w:type="dxa"/>
                  <w:tcBorders>
                    <w:top w:val="single" w:color="auto" w:sz="4" w:space="0"/>
                    <w:left w:val="single" w:color="auto" w:sz="8" w:space="0"/>
                    <w:bottom w:val="single" w:color="auto" w:sz="4" w:space="0"/>
                    <w:right w:val="single" w:color="auto" w:sz="4" w:space="0"/>
                  </w:tcBorders>
                  <w:vAlign w:val="center"/>
                </w:tcPr>
                <w:p w14:paraId="1693D276">
                  <w:pPr>
                    <w:spacing w:line="0" w:lineRule="atLeast"/>
                  </w:pPr>
                  <w:r>
                    <w:t>220kV</w:t>
                  </w:r>
                  <w:r>
                    <w:rPr>
                      <w:rFonts w:hint="eastAsia"/>
                    </w:rPr>
                    <w:t>升压站建设剥离表土</w:t>
                  </w:r>
                </w:p>
              </w:tc>
              <w:tc>
                <w:tcPr>
                  <w:tcW w:w="2197" w:type="dxa"/>
                  <w:tcBorders>
                    <w:top w:val="single" w:color="auto" w:sz="4" w:space="0"/>
                    <w:left w:val="single" w:color="auto" w:sz="4" w:space="0"/>
                    <w:bottom w:val="single" w:color="auto" w:sz="4" w:space="0"/>
                    <w:right w:val="single" w:color="auto" w:sz="4" w:space="0"/>
                  </w:tcBorders>
                  <w:vAlign w:val="center"/>
                </w:tcPr>
                <w:p w14:paraId="048E14C2">
                  <w:pPr>
                    <w:spacing w:line="0" w:lineRule="atLeast"/>
                    <w:jc w:val="center"/>
                  </w:pPr>
                  <w:r>
                    <w:rPr>
                      <w:rFonts w:hint="eastAsia"/>
                    </w:rPr>
                    <w:t>升压站施工场地</w:t>
                  </w:r>
                </w:p>
              </w:tc>
              <w:tc>
                <w:tcPr>
                  <w:tcW w:w="2197" w:type="dxa"/>
                  <w:tcBorders>
                    <w:top w:val="single" w:color="auto" w:sz="4" w:space="0"/>
                    <w:left w:val="single" w:color="auto" w:sz="4" w:space="0"/>
                    <w:bottom w:val="single" w:color="auto" w:sz="4" w:space="0"/>
                    <w:right w:val="single" w:color="auto" w:sz="4" w:space="0"/>
                  </w:tcBorders>
                  <w:vAlign w:val="center"/>
                </w:tcPr>
                <w:p w14:paraId="177688F7">
                  <w:pPr>
                    <w:spacing w:line="0" w:lineRule="atLeast"/>
                    <w:jc w:val="center"/>
                  </w:pPr>
                  <w:r>
                    <w:rPr>
                      <w:rFonts w:hint="eastAsia"/>
                    </w:rPr>
                    <w:t>升压站回填覆土</w:t>
                  </w:r>
                </w:p>
              </w:tc>
              <w:tc>
                <w:tcPr>
                  <w:tcW w:w="2197" w:type="dxa"/>
                  <w:tcBorders>
                    <w:top w:val="single" w:color="auto" w:sz="4" w:space="0"/>
                    <w:left w:val="single" w:color="auto" w:sz="4" w:space="0"/>
                    <w:bottom w:val="single" w:color="auto" w:sz="4" w:space="0"/>
                    <w:right w:val="single" w:color="auto" w:sz="8" w:space="0"/>
                  </w:tcBorders>
                  <w:vAlign w:val="center"/>
                </w:tcPr>
                <w:p w14:paraId="75E234AC">
                  <w:pPr>
                    <w:spacing w:line="0" w:lineRule="atLeast"/>
                    <w:jc w:val="center"/>
                  </w:pPr>
                  <w:r>
                    <w:rPr>
                      <w:rFonts w:hint="eastAsia"/>
                    </w:rPr>
                    <w:t>升压站建设完成</w:t>
                  </w:r>
                </w:p>
              </w:tc>
            </w:tr>
            <w:tr w14:paraId="49A7306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2198" w:type="dxa"/>
                  <w:tcBorders>
                    <w:top w:val="single" w:color="auto" w:sz="4" w:space="0"/>
                    <w:left w:val="single" w:color="auto" w:sz="8" w:space="0"/>
                    <w:bottom w:val="single" w:color="auto" w:sz="4" w:space="0"/>
                    <w:right w:val="single" w:color="auto" w:sz="4" w:space="0"/>
                  </w:tcBorders>
                  <w:vAlign w:val="center"/>
                </w:tcPr>
                <w:p w14:paraId="775013A6">
                  <w:pPr>
                    <w:spacing w:line="0" w:lineRule="atLeast"/>
                  </w:pPr>
                  <w:r>
                    <w:rPr>
                      <w:rFonts w:hint="eastAsia"/>
                    </w:rPr>
                    <w:t>风机及箱式变压器基础剥离表土</w:t>
                  </w:r>
                </w:p>
              </w:tc>
              <w:tc>
                <w:tcPr>
                  <w:tcW w:w="2197" w:type="dxa"/>
                  <w:tcBorders>
                    <w:top w:val="single" w:color="auto" w:sz="4" w:space="0"/>
                    <w:left w:val="single" w:color="auto" w:sz="4" w:space="0"/>
                    <w:bottom w:val="single" w:color="auto" w:sz="4" w:space="0"/>
                    <w:right w:val="single" w:color="auto" w:sz="4" w:space="0"/>
                  </w:tcBorders>
                  <w:vAlign w:val="center"/>
                </w:tcPr>
                <w:p w14:paraId="64EA3217">
                  <w:pPr>
                    <w:spacing w:line="0" w:lineRule="atLeast"/>
                    <w:jc w:val="center"/>
                  </w:pPr>
                  <w:r>
                    <w:rPr>
                      <w:rFonts w:hint="eastAsia"/>
                    </w:rPr>
                    <w:t>风机基坑一侧</w:t>
                  </w:r>
                </w:p>
              </w:tc>
              <w:tc>
                <w:tcPr>
                  <w:tcW w:w="2197" w:type="dxa"/>
                  <w:tcBorders>
                    <w:top w:val="single" w:color="auto" w:sz="4" w:space="0"/>
                    <w:left w:val="single" w:color="auto" w:sz="4" w:space="0"/>
                    <w:bottom w:val="single" w:color="auto" w:sz="4" w:space="0"/>
                    <w:right w:val="single" w:color="auto" w:sz="4" w:space="0"/>
                  </w:tcBorders>
                  <w:vAlign w:val="center"/>
                </w:tcPr>
                <w:p w14:paraId="35C09A85">
                  <w:pPr>
                    <w:spacing w:line="0" w:lineRule="atLeast"/>
                    <w:jc w:val="center"/>
                  </w:pPr>
                  <w:r>
                    <w:rPr>
                      <w:rFonts w:hint="eastAsia"/>
                    </w:rPr>
                    <w:t>吊装场地覆土</w:t>
                  </w:r>
                </w:p>
              </w:tc>
              <w:tc>
                <w:tcPr>
                  <w:tcW w:w="2197" w:type="dxa"/>
                  <w:tcBorders>
                    <w:top w:val="single" w:color="auto" w:sz="4" w:space="0"/>
                    <w:left w:val="single" w:color="auto" w:sz="4" w:space="0"/>
                    <w:bottom w:val="single" w:color="auto" w:sz="4" w:space="0"/>
                    <w:right w:val="single" w:color="auto" w:sz="8" w:space="0"/>
                  </w:tcBorders>
                  <w:vAlign w:val="center"/>
                </w:tcPr>
                <w:p w14:paraId="3CED5C69">
                  <w:pPr>
                    <w:spacing w:line="0" w:lineRule="atLeast"/>
                  </w:pPr>
                  <w:r>
                    <w:rPr>
                      <w:rFonts w:hint="eastAsia"/>
                    </w:rPr>
                    <w:t>单个风机吊装完成后及时恢复</w:t>
                  </w:r>
                </w:p>
              </w:tc>
            </w:tr>
            <w:tr w14:paraId="2B4823D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2198" w:type="dxa"/>
                  <w:tcBorders>
                    <w:top w:val="single" w:color="auto" w:sz="4" w:space="0"/>
                    <w:left w:val="single" w:color="auto" w:sz="8" w:space="0"/>
                    <w:bottom w:val="single" w:color="auto" w:sz="8" w:space="0"/>
                    <w:right w:val="single" w:color="auto" w:sz="4" w:space="0"/>
                  </w:tcBorders>
                  <w:vAlign w:val="center"/>
                </w:tcPr>
                <w:p w14:paraId="207A8436">
                  <w:pPr>
                    <w:spacing w:line="0" w:lineRule="atLeast"/>
                  </w:pPr>
                  <w:r>
                    <w:rPr>
                      <w:rFonts w:hint="eastAsia"/>
                    </w:rPr>
                    <w:t>施工及检修道路路基剥离表土</w:t>
                  </w:r>
                </w:p>
              </w:tc>
              <w:tc>
                <w:tcPr>
                  <w:tcW w:w="2197" w:type="dxa"/>
                  <w:tcBorders>
                    <w:top w:val="single" w:color="auto" w:sz="4" w:space="0"/>
                    <w:left w:val="single" w:color="auto" w:sz="4" w:space="0"/>
                    <w:bottom w:val="single" w:color="auto" w:sz="8" w:space="0"/>
                    <w:right w:val="single" w:color="auto" w:sz="4" w:space="0"/>
                  </w:tcBorders>
                  <w:vAlign w:val="center"/>
                </w:tcPr>
                <w:p w14:paraId="0F8FF723">
                  <w:pPr>
                    <w:spacing w:line="0" w:lineRule="atLeast"/>
                    <w:jc w:val="center"/>
                  </w:pPr>
                  <w:r>
                    <w:rPr>
                      <w:rFonts w:hint="eastAsia"/>
                    </w:rPr>
                    <w:t>道路一侧</w:t>
                  </w:r>
                </w:p>
              </w:tc>
              <w:tc>
                <w:tcPr>
                  <w:tcW w:w="2197" w:type="dxa"/>
                  <w:tcBorders>
                    <w:top w:val="single" w:color="auto" w:sz="4" w:space="0"/>
                    <w:left w:val="single" w:color="auto" w:sz="4" w:space="0"/>
                    <w:bottom w:val="single" w:color="auto" w:sz="8" w:space="0"/>
                    <w:right w:val="single" w:color="auto" w:sz="4" w:space="0"/>
                  </w:tcBorders>
                  <w:vAlign w:val="center"/>
                </w:tcPr>
                <w:p w14:paraId="1A6A6062">
                  <w:pPr>
                    <w:spacing w:line="0" w:lineRule="atLeast"/>
                  </w:pPr>
                  <w:r>
                    <w:rPr>
                      <w:rFonts w:hint="eastAsia"/>
                    </w:rPr>
                    <w:t>施工及检修道路回填覆土</w:t>
                  </w:r>
                </w:p>
              </w:tc>
              <w:tc>
                <w:tcPr>
                  <w:tcW w:w="2197" w:type="dxa"/>
                  <w:tcBorders>
                    <w:top w:val="single" w:color="auto" w:sz="4" w:space="0"/>
                    <w:left w:val="single" w:color="auto" w:sz="4" w:space="0"/>
                    <w:bottom w:val="single" w:color="auto" w:sz="8" w:space="0"/>
                    <w:right w:val="single" w:color="auto" w:sz="8" w:space="0"/>
                  </w:tcBorders>
                  <w:vAlign w:val="center"/>
                </w:tcPr>
                <w:p w14:paraId="4D3730BA">
                  <w:pPr>
                    <w:spacing w:line="0" w:lineRule="atLeast"/>
                  </w:pPr>
                  <w:r>
                    <w:rPr>
                      <w:rFonts w:hint="eastAsia"/>
                    </w:rPr>
                    <w:t>施工及检修道路建成后，分段及时恢复</w:t>
                  </w:r>
                </w:p>
              </w:tc>
            </w:tr>
          </w:tbl>
          <w:p w14:paraId="1F4849B6">
            <w:pPr>
              <w:spacing w:beforeLines="50"/>
              <w:ind w:firstLine="480" w:firstLineChars="200"/>
              <w:rPr>
                <w:color w:val="000000"/>
                <w:sz w:val="24"/>
              </w:rPr>
            </w:pPr>
            <w:r>
              <w:rPr>
                <w:rFonts w:hint="eastAsia"/>
                <w:color w:val="000000"/>
                <w:sz w:val="24"/>
              </w:rPr>
              <w:t>③</w:t>
            </w:r>
            <w:r>
              <w:rPr>
                <w:color w:val="000000"/>
                <w:sz w:val="24"/>
              </w:rPr>
              <w:t xml:space="preserve"> </w:t>
            </w:r>
            <w:r>
              <w:rPr>
                <w:rFonts w:hint="eastAsia"/>
                <w:color w:val="000000"/>
                <w:sz w:val="24"/>
              </w:rPr>
              <w:t>临时占地设置要求及恢复措施</w:t>
            </w:r>
          </w:p>
          <w:p w14:paraId="11E5A1B4">
            <w:pPr>
              <w:ind w:firstLine="480" w:firstLineChars="200"/>
              <w:rPr>
                <w:color w:val="000000"/>
                <w:sz w:val="24"/>
              </w:rPr>
            </w:pPr>
            <w:r>
              <w:rPr>
                <w:rFonts w:hint="eastAsia"/>
                <w:color w:val="000000"/>
                <w:sz w:val="24"/>
              </w:rPr>
              <w:t>建设单位应严格执行国家有关“土地复垦”的规定，在施工结束时对各类临时用地及时复垦，对于有进场耕作条件的土地尽量复垦利用，无条件的则种植灌草类进行植被恢复。施工营地、施工便道等临时工程选址的环保要求如下：</w:t>
            </w:r>
          </w:p>
          <w:p w14:paraId="0CE45FEA">
            <w:pPr>
              <w:ind w:firstLine="480" w:firstLineChars="200"/>
              <w:rPr>
                <w:color w:val="000000"/>
                <w:sz w:val="24"/>
              </w:rPr>
            </w:pPr>
            <w:r>
              <w:rPr>
                <w:color w:val="000000"/>
                <w:sz w:val="24"/>
              </w:rPr>
              <w:t>a</w:t>
            </w:r>
            <w:r>
              <w:rPr>
                <w:rFonts w:hint="eastAsia"/>
                <w:color w:val="000000"/>
                <w:sz w:val="24"/>
              </w:rPr>
              <w:t>、施工便道修筑时尽量利用原有道路，施工运输车辆按照规划运输道路路线行驶，禁止随意开辟道路以及肆意碾压草场和耕地，减少对地表植被的破坏；同时注意做好路面洒水等防尘工作，减少扬尘影响。临时用地应尽量缩短使用时间，用后及时恢复土地原来的功能。</w:t>
            </w:r>
          </w:p>
          <w:p w14:paraId="2800CF97">
            <w:pPr>
              <w:ind w:firstLine="480" w:firstLineChars="200"/>
              <w:rPr>
                <w:color w:val="000000"/>
                <w:sz w:val="24"/>
              </w:rPr>
            </w:pPr>
            <w:r>
              <w:rPr>
                <w:color w:val="000000"/>
                <w:sz w:val="24"/>
              </w:rPr>
              <w:t>b</w:t>
            </w:r>
            <w:r>
              <w:rPr>
                <w:rFonts w:hint="eastAsia"/>
                <w:color w:val="000000"/>
                <w:sz w:val="24"/>
              </w:rPr>
              <w:t>、应严格控制各类临时工程用地的数量，其面积不应大于设计给定的面积，禁止随意的超标占地。</w:t>
            </w:r>
          </w:p>
          <w:p w14:paraId="3ECD0B3E">
            <w:pPr>
              <w:ind w:firstLine="480" w:firstLineChars="200"/>
              <w:rPr>
                <w:color w:val="000000"/>
                <w:sz w:val="24"/>
              </w:rPr>
            </w:pPr>
            <w:r>
              <w:rPr>
                <w:color w:val="000000"/>
                <w:sz w:val="24"/>
              </w:rPr>
              <w:t>c</w:t>
            </w:r>
            <w:r>
              <w:rPr>
                <w:rFonts w:hint="eastAsia"/>
                <w:color w:val="000000"/>
                <w:sz w:val="24"/>
              </w:rPr>
              <w:t>、施工进度安排应紧凑合理，尽量缩短施工工期和地表的裸露时间；各施工片区的各风机建设完成后，应及时对每个风机的吊装场地进行土地整治，恢复植被。</w:t>
            </w:r>
          </w:p>
          <w:p w14:paraId="3C242A44">
            <w:pPr>
              <w:ind w:firstLine="480" w:firstLineChars="200"/>
              <w:rPr>
                <w:color w:val="000000"/>
                <w:sz w:val="24"/>
              </w:rPr>
            </w:pPr>
            <w:r>
              <w:rPr>
                <w:color w:val="000000"/>
                <w:sz w:val="24"/>
              </w:rPr>
              <w:t>d</w:t>
            </w:r>
            <w:r>
              <w:rPr>
                <w:rFonts w:hint="eastAsia"/>
                <w:color w:val="000000"/>
                <w:sz w:val="24"/>
              </w:rPr>
              <w:t>、植被恢复时，在“适地适树、适地适草”的原则下，选择本地适生的树、草种，根据工程特点，各施工场地的主要恢复补偿措施如下：</w:t>
            </w:r>
          </w:p>
          <w:p w14:paraId="0662EC84">
            <w:pPr>
              <w:ind w:firstLine="480" w:firstLineChars="200"/>
              <w:rPr>
                <w:color w:val="000000"/>
                <w:sz w:val="24"/>
              </w:rPr>
            </w:pPr>
            <w:r>
              <w:rPr>
                <w:rFonts w:hint="eastAsia"/>
                <w:color w:val="000000"/>
                <w:sz w:val="24"/>
              </w:rPr>
              <w:t>Ⅰ</w:t>
            </w:r>
            <w:r>
              <w:rPr>
                <w:color w:val="000000"/>
                <w:sz w:val="24"/>
              </w:rPr>
              <w:t>.</w:t>
            </w:r>
            <w:r>
              <w:t xml:space="preserve"> </w:t>
            </w:r>
            <w:r>
              <w:rPr>
                <w:rFonts w:hint="eastAsia"/>
                <w:color w:val="000000"/>
                <w:sz w:val="24"/>
              </w:rPr>
              <w:t>场内道路：高陡边坡采用格梁灌草绿化护坡进行防护，护坡框格间混播灌草；对较缓的边坡采用喷播植草护坡防护；施工结束后对道路两侧的裸露地撒播草籽绿化。</w:t>
            </w:r>
          </w:p>
          <w:p w14:paraId="35FCC02E">
            <w:pPr>
              <w:ind w:firstLine="480" w:firstLineChars="200"/>
              <w:rPr>
                <w:color w:val="000000"/>
                <w:sz w:val="24"/>
              </w:rPr>
            </w:pPr>
            <w:r>
              <w:rPr>
                <w:rFonts w:hint="eastAsia"/>
                <w:color w:val="000000"/>
                <w:sz w:val="24"/>
              </w:rPr>
              <w:t>Ⅱ</w:t>
            </w:r>
            <w:r>
              <w:rPr>
                <w:color w:val="000000"/>
                <w:sz w:val="24"/>
              </w:rPr>
              <w:t>.</w:t>
            </w:r>
            <w:r>
              <w:t xml:space="preserve"> </w:t>
            </w:r>
            <w:r>
              <w:rPr>
                <w:rFonts w:hint="eastAsia"/>
                <w:color w:val="000000"/>
                <w:sz w:val="24"/>
              </w:rPr>
              <w:t>风机塔和吊装平台：施工结束后及时清理恢复施工迹地、平整场地，并结合场地原土地利用情况撒播草籽绿化。</w:t>
            </w:r>
          </w:p>
          <w:p w14:paraId="52A8DEC9">
            <w:pPr>
              <w:ind w:firstLine="480" w:firstLineChars="200"/>
              <w:rPr>
                <w:rFonts w:ascii="宋体" w:hAnsi="宋体"/>
                <w:color w:val="000000"/>
                <w:sz w:val="24"/>
              </w:rPr>
            </w:pPr>
            <w:r>
              <w:rPr>
                <w:rFonts w:hint="eastAsia"/>
                <w:color w:val="000000"/>
                <w:sz w:val="24"/>
              </w:rPr>
              <w:t>Ⅲ</w:t>
            </w:r>
            <w:r>
              <w:rPr>
                <w:color w:val="000000"/>
                <w:sz w:val="24"/>
              </w:rPr>
              <w:t>.</w:t>
            </w:r>
            <w:r>
              <w:t xml:space="preserve"> </w:t>
            </w:r>
            <w:r>
              <w:rPr>
                <w:rFonts w:hint="eastAsia"/>
                <w:color w:val="000000"/>
                <w:sz w:val="24"/>
              </w:rPr>
              <w:t>集电线路：塔基施工及时填埋、平整，恢复施工迹地，结合原土地利用情况恢复植被，以播草籽为主。</w:t>
            </w:r>
          </w:p>
          <w:p w14:paraId="0DB7C64A">
            <w:pPr>
              <w:ind w:firstLine="480" w:firstLineChars="200"/>
              <w:rPr>
                <w:color w:val="000000"/>
                <w:sz w:val="24"/>
              </w:rPr>
            </w:pPr>
            <w:r>
              <w:rPr>
                <w:rFonts w:hint="eastAsia"/>
                <w:color w:val="000000"/>
                <w:sz w:val="24"/>
              </w:rPr>
              <w:t>Ⅳ</w:t>
            </w:r>
            <w:r>
              <w:rPr>
                <w:color w:val="000000"/>
                <w:sz w:val="24"/>
              </w:rPr>
              <w:t>.</w:t>
            </w:r>
            <w:r>
              <w:t xml:space="preserve"> </w:t>
            </w:r>
            <w:r>
              <w:rPr>
                <w:rFonts w:hint="eastAsia"/>
                <w:color w:val="000000"/>
                <w:sz w:val="24"/>
              </w:rPr>
              <w:t>施工营地：施工结束后清理恢复施工迹地、平整土地，根据立地条件，种植撒播草籽恢复。</w:t>
            </w:r>
          </w:p>
          <w:p w14:paraId="33E906F4">
            <w:pPr>
              <w:ind w:firstLine="480" w:firstLineChars="200"/>
              <w:rPr>
                <w:rFonts w:ascii="宋体" w:hAnsi="宋体" w:cs="宋体"/>
                <w:color w:val="000000"/>
                <w:sz w:val="24"/>
              </w:rPr>
            </w:pPr>
            <w:r>
              <w:rPr>
                <w:rFonts w:hint="eastAsia" w:ascii="宋体" w:hAnsi="宋体" w:cs="宋体"/>
                <w:color w:val="000000"/>
                <w:sz w:val="24"/>
              </w:rPr>
              <w:t>④ 鸟类保护措施</w:t>
            </w:r>
          </w:p>
          <w:p w14:paraId="1E9EB240">
            <w:pPr>
              <w:ind w:firstLine="480" w:firstLineChars="200"/>
              <w:rPr>
                <w:color w:val="000000"/>
                <w:sz w:val="24"/>
              </w:rPr>
            </w:pPr>
            <w:r>
              <w:rPr>
                <w:rFonts w:hint="eastAsia"/>
                <w:color w:val="000000"/>
                <w:sz w:val="24"/>
              </w:rPr>
              <w:t>本工程施工期</w:t>
            </w:r>
            <w:r>
              <w:rPr>
                <w:color w:val="000000"/>
                <w:sz w:val="24"/>
              </w:rPr>
              <w:t>18</w:t>
            </w:r>
            <w:r>
              <w:rPr>
                <w:rFonts w:hint="eastAsia"/>
                <w:color w:val="000000"/>
                <w:sz w:val="24"/>
              </w:rPr>
              <w:t>个月，在此期间，伴随着施工活动的进行会对鸟类产生短暂的负面影响。施工期主要从合理安排施工时间，控制施工场地的光源方面采取措施，减小对鸟类的影响。为了减小对夜行性鸟类的干扰，应对施工场地的光源进行遮蔽，减少对外界的漏光量，尤其是在有大雾、小雨或强逆风的夜晚，应该停止施工。</w:t>
            </w:r>
          </w:p>
          <w:p w14:paraId="715BC943">
            <w:pPr>
              <w:ind w:firstLine="480" w:firstLineChars="200"/>
              <w:rPr>
                <w:color w:val="000000"/>
                <w:sz w:val="24"/>
              </w:rPr>
            </w:pPr>
            <w:r>
              <w:rPr>
                <w:rFonts w:hint="eastAsia"/>
                <w:color w:val="000000"/>
                <w:sz w:val="24"/>
              </w:rPr>
              <w:t>⑤</w:t>
            </w:r>
            <w:r>
              <w:rPr>
                <w:color w:val="000000"/>
                <w:sz w:val="24"/>
              </w:rPr>
              <w:t xml:space="preserve"> </w:t>
            </w:r>
            <w:r>
              <w:rPr>
                <w:rFonts w:hint="eastAsia"/>
                <w:color w:val="000000"/>
                <w:sz w:val="24"/>
              </w:rPr>
              <w:t>土壤侵蚀防治措施</w:t>
            </w:r>
          </w:p>
          <w:p w14:paraId="30BFDDD0">
            <w:pPr>
              <w:ind w:firstLine="480" w:firstLineChars="200"/>
              <w:rPr>
                <w:color w:val="000000"/>
                <w:sz w:val="24"/>
              </w:rPr>
            </w:pPr>
            <w:r>
              <w:rPr>
                <w:color w:val="000000"/>
                <w:sz w:val="24"/>
              </w:rPr>
              <w:t>a</w:t>
            </w:r>
            <w:r>
              <w:rPr>
                <w:rFonts w:hint="eastAsia"/>
                <w:color w:val="000000"/>
                <w:sz w:val="24"/>
              </w:rPr>
              <w:t>、加强施工管理，认真做好施工组织设计，科学规划施工场地，合理安排施工进度，将施工措施计划做深做细，尽量减少临时工程占地，缩短临时占地使用时间，及时恢复土地原有功能。</w:t>
            </w:r>
          </w:p>
          <w:p w14:paraId="48554F1E">
            <w:pPr>
              <w:ind w:firstLine="480" w:firstLineChars="200"/>
              <w:rPr>
                <w:color w:val="000000"/>
                <w:sz w:val="24"/>
              </w:rPr>
            </w:pPr>
            <w:r>
              <w:rPr>
                <w:color w:val="000000"/>
                <w:sz w:val="24"/>
              </w:rPr>
              <w:t>b</w:t>
            </w:r>
            <w:r>
              <w:rPr>
                <w:rFonts w:hint="eastAsia"/>
                <w:color w:val="000000"/>
                <w:sz w:val="24"/>
              </w:rPr>
              <w:t>、道路施工可能加剧土壤侵蚀，建议道路两侧应种植天然植被带，并加种沙棘、柠条等植物，减少水土流失。这些植物均为灌丛，降雨时植被可以保留降雨，对降雨的冲刷有一定的缓冲作用，以减小水蚀的发生。</w:t>
            </w:r>
          </w:p>
          <w:p w14:paraId="3A63B49A">
            <w:pPr>
              <w:ind w:firstLine="480" w:firstLineChars="200"/>
              <w:rPr>
                <w:color w:val="000000"/>
                <w:sz w:val="24"/>
              </w:rPr>
            </w:pPr>
            <w:r>
              <w:rPr>
                <w:color w:val="000000"/>
                <w:sz w:val="24"/>
              </w:rPr>
              <w:t>c</w:t>
            </w:r>
            <w:r>
              <w:rPr>
                <w:rFonts w:hint="eastAsia"/>
                <w:color w:val="000000"/>
                <w:sz w:val="24"/>
              </w:rPr>
              <w:t>、尽可能地缩短疏松地面、坡面的裸露时间，合理安排施工时间，尽量避开大风和雨天施工。</w:t>
            </w:r>
          </w:p>
          <w:p w14:paraId="6B5797F0">
            <w:pPr>
              <w:ind w:firstLine="480" w:firstLineChars="200"/>
              <w:rPr>
                <w:color w:val="000000"/>
                <w:sz w:val="24"/>
              </w:rPr>
            </w:pPr>
            <w:r>
              <w:rPr>
                <w:color w:val="000000"/>
                <w:sz w:val="24"/>
              </w:rPr>
              <w:t>d</w:t>
            </w:r>
            <w:r>
              <w:rPr>
                <w:rFonts w:hint="eastAsia"/>
                <w:color w:val="000000"/>
                <w:sz w:val="24"/>
              </w:rPr>
              <w:t>、在雨季和汛期到来之前，应备齐土体临时防护用的物料及各种防汛物资，随时采取临时防护措施，以减少土壤的流失。</w:t>
            </w:r>
          </w:p>
          <w:p w14:paraId="4A06AD27">
            <w:pPr>
              <w:ind w:firstLine="480" w:firstLineChars="200"/>
              <w:rPr>
                <w:color w:val="000000"/>
                <w:sz w:val="24"/>
              </w:rPr>
            </w:pPr>
            <w:r>
              <w:rPr>
                <w:color w:val="000000"/>
                <w:sz w:val="24"/>
              </w:rPr>
              <w:t>e</w:t>
            </w:r>
            <w:r>
              <w:rPr>
                <w:rFonts w:hint="eastAsia"/>
                <w:color w:val="000000"/>
                <w:sz w:val="24"/>
              </w:rPr>
              <w:t>、施工机械和施工人员要按照施工总体平面布置图进行作业，不得乱占土地，施工机械、土石及其它建筑材料不得乱停乱放，防止破坏植被，加剧水土流失。</w:t>
            </w:r>
          </w:p>
          <w:p w14:paraId="6F69613E">
            <w:pPr>
              <w:ind w:firstLine="480" w:firstLineChars="200"/>
              <w:rPr>
                <w:color w:val="000000"/>
                <w:sz w:val="24"/>
              </w:rPr>
            </w:pPr>
            <w:r>
              <w:rPr>
                <w:color w:val="000000"/>
                <w:sz w:val="24"/>
              </w:rPr>
              <w:t>f</w:t>
            </w:r>
            <w:r>
              <w:rPr>
                <w:rFonts w:hint="eastAsia"/>
                <w:color w:val="000000"/>
                <w:sz w:val="24"/>
              </w:rPr>
              <w:t>、施工期应限制施工区域，加强宣传教育及管理，所有车辆按选定的道路走“一”字型作业法，走同一车辙，避免加开新路，尽可能减少对地表的破坏。</w:t>
            </w:r>
          </w:p>
          <w:p w14:paraId="7610402D">
            <w:pPr>
              <w:ind w:firstLine="480" w:firstLineChars="200"/>
              <w:rPr>
                <w:color w:val="000000"/>
                <w:sz w:val="24"/>
              </w:rPr>
            </w:pPr>
            <w:r>
              <w:rPr>
                <w:color w:val="000000"/>
                <w:sz w:val="24"/>
              </w:rPr>
              <w:t>g</w:t>
            </w:r>
            <w:r>
              <w:rPr>
                <w:rFonts w:hint="eastAsia"/>
                <w:color w:val="000000"/>
                <w:sz w:val="24"/>
              </w:rPr>
              <w:t>、施工期间要求尽量做到挖填同步，确需临时堆置的场地四周采取土袋防护以及苫盖措施，并对施工区扰动地表采取碾压、洒水等临时防护措施。施工结束后，及时对场地进行平整和恢复植被。</w:t>
            </w:r>
          </w:p>
          <w:p w14:paraId="33570DC7">
            <w:pPr>
              <w:ind w:firstLine="480" w:firstLineChars="200"/>
              <w:rPr>
                <w:color w:val="000000"/>
                <w:sz w:val="24"/>
              </w:rPr>
            </w:pPr>
            <w:r>
              <w:rPr>
                <w:rFonts w:hint="eastAsia"/>
                <w:color w:val="000000"/>
                <w:sz w:val="24"/>
              </w:rPr>
              <w:t>具体生态保护措施见表</w:t>
            </w:r>
            <w:r>
              <w:rPr>
                <w:color w:val="000000"/>
                <w:sz w:val="24"/>
              </w:rPr>
              <w:t>27</w:t>
            </w:r>
            <w:r>
              <w:rPr>
                <w:rFonts w:hint="eastAsia"/>
                <w:color w:val="000000"/>
                <w:sz w:val="24"/>
              </w:rPr>
              <w:t>及图</w:t>
            </w:r>
            <w:r>
              <w:rPr>
                <w:color w:val="000000"/>
                <w:sz w:val="24"/>
              </w:rPr>
              <w:t>18</w:t>
            </w:r>
            <w:r>
              <w:rPr>
                <w:rFonts w:hint="eastAsia"/>
                <w:color w:val="000000"/>
                <w:sz w:val="24"/>
              </w:rPr>
              <w:t>。</w:t>
            </w:r>
          </w:p>
          <w:p w14:paraId="6E027587">
            <w:pPr>
              <w:ind w:firstLine="480" w:firstLineChars="200"/>
              <w:rPr>
                <w:rFonts w:ascii="黑体" w:hAnsi="黑体" w:eastAsia="黑体"/>
                <w:color w:val="000000"/>
                <w:sz w:val="24"/>
              </w:rPr>
            </w:pPr>
            <w:r>
              <w:rPr>
                <w:rFonts w:hint="eastAsia" w:ascii="黑体" w:hAnsi="黑体" w:eastAsia="黑体"/>
                <w:color w:val="000000"/>
                <w:sz w:val="24"/>
              </w:rPr>
              <w:t>表27                  生态保护措施一览表</w:t>
            </w:r>
          </w:p>
          <w:tbl>
            <w:tblPr>
              <w:tblStyle w:val="25"/>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472"/>
              <w:gridCol w:w="849"/>
              <w:gridCol w:w="2325"/>
              <w:gridCol w:w="2325"/>
              <w:gridCol w:w="797"/>
              <w:gridCol w:w="994"/>
              <w:gridCol w:w="1027"/>
            </w:tblGrid>
            <w:tr w14:paraId="7A917CE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472" w:type="dxa"/>
                  <w:tcBorders>
                    <w:top w:val="single" w:color="auto" w:sz="8" w:space="0"/>
                    <w:left w:val="single" w:color="auto" w:sz="8" w:space="0"/>
                    <w:bottom w:val="single" w:color="auto" w:sz="4" w:space="0"/>
                    <w:right w:val="single" w:color="auto" w:sz="4" w:space="0"/>
                  </w:tcBorders>
                  <w:vAlign w:val="center"/>
                </w:tcPr>
                <w:p w14:paraId="74BF1EBE">
                  <w:pPr>
                    <w:spacing w:line="0" w:lineRule="atLeast"/>
                    <w:ind w:left="-105" w:leftChars="-50" w:right="-105" w:rightChars="-50"/>
                    <w:jc w:val="center"/>
                  </w:pPr>
                  <w:r>
                    <w:rPr>
                      <w:rFonts w:hint="eastAsia"/>
                    </w:rPr>
                    <w:t>序号</w:t>
                  </w:r>
                </w:p>
              </w:tc>
              <w:tc>
                <w:tcPr>
                  <w:tcW w:w="849" w:type="dxa"/>
                  <w:tcBorders>
                    <w:top w:val="single" w:color="auto" w:sz="8" w:space="0"/>
                    <w:left w:val="single" w:color="auto" w:sz="4" w:space="0"/>
                    <w:bottom w:val="single" w:color="auto" w:sz="4" w:space="0"/>
                    <w:right w:val="single" w:color="auto" w:sz="4" w:space="0"/>
                  </w:tcBorders>
                  <w:vAlign w:val="center"/>
                </w:tcPr>
                <w:p w14:paraId="7DB9D395">
                  <w:pPr>
                    <w:spacing w:line="0" w:lineRule="atLeast"/>
                    <w:ind w:left="-105" w:leftChars="-50" w:right="-105" w:rightChars="-50"/>
                    <w:jc w:val="center"/>
                  </w:pPr>
                  <w:r>
                    <w:rPr>
                      <w:rFonts w:hint="eastAsia"/>
                    </w:rPr>
                    <w:t>工程</w:t>
                  </w:r>
                </w:p>
                <w:p w14:paraId="22ABF31E">
                  <w:pPr>
                    <w:spacing w:line="0" w:lineRule="atLeast"/>
                    <w:ind w:left="-105" w:leftChars="-50" w:right="-105" w:rightChars="-50"/>
                    <w:jc w:val="center"/>
                  </w:pPr>
                  <w:r>
                    <w:rPr>
                      <w:rFonts w:hint="eastAsia"/>
                    </w:rPr>
                    <w:t>名称</w:t>
                  </w:r>
                </w:p>
              </w:tc>
              <w:tc>
                <w:tcPr>
                  <w:tcW w:w="2325" w:type="dxa"/>
                  <w:tcBorders>
                    <w:top w:val="single" w:color="auto" w:sz="8" w:space="0"/>
                    <w:left w:val="single" w:color="auto" w:sz="4" w:space="0"/>
                    <w:bottom w:val="single" w:color="auto" w:sz="4" w:space="0"/>
                    <w:right w:val="single" w:color="auto" w:sz="4" w:space="0"/>
                  </w:tcBorders>
                  <w:vAlign w:val="center"/>
                </w:tcPr>
                <w:p w14:paraId="63B18862">
                  <w:pPr>
                    <w:spacing w:line="0" w:lineRule="atLeast"/>
                    <w:ind w:left="-105" w:leftChars="-50" w:right="-105" w:rightChars="-50"/>
                    <w:jc w:val="center"/>
                  </w:pPr>
                  <w:r>
                    <w:rPr>
                      <w:rFonts w:hint="eastAsia" w:hAnsi="宋体"/>
                      <w:szCs w:val="21"/>
                    </w:rPr>
                    <w:t>工程措施</w:t>
                  </w:r>
                </w:p>
              </w:tc>
              <w:tc>
                <w:tcPr>
                  <w:tcW w:w="2325" w:type="dxa"/>
                  <w:tcBorders>
                    <w:top w:val="single" w:color="auto" w:sz="8" w:space="0"/>
                    <w:left w:val="single" w:color="auto" w:sz="4" w:space="0"/>
                    <w:bottom w:val="single" w:color="auto" w:sz="4" w:space="0"/>
                    <w:right w:val="single" w:color="auto" w:sz="4" w:space="0"/>
                  </w:tcBorders>
                  <w:vAlign w:val="center"/>
                </w:tcPr>
                <w:p w14:paraId="7C192A48">
                  <w:pPr>
                    <w:spacing w:line="0" w:lineRule="atLeast"/>
                    <w:ind w:left="-105" w:leftChars="-50" w:right="-105" w:rightChars="-50"/>
                    <w:jc w:val="center"/>
                  </w:pPr>
                  <w:r>
                    <w:rPr>
                      <w:rFonts w:hint="eastAsia" w:hAnsi="宋体"/>
                      <w:szCs w:val="21"/>
                    </w:rPr>
                    <w:t>植物措施</w:t>
                  </w:r>
                </w:p>
              </w:tc>
              <w:tc>
                <w:tcPr>
                  <w:tcW w:w="797" w:type="dxa"/>
                  <w:tcBorders>
                    <w:top w:val="single" w:color="auto" w:sz="8" w:space="0"/>
                    <w:left w:val="single" w:color="auto" w:sz="4" w:space="0"/>
                    <w:bottom w:val="single" w:color="auto" w:sz="4" w:space="0"/>
                    <w:right w:val="single" w:color="auto" w:sz="4" w:space="0"/>
                  </w:tcBorders>
                  <w:vAlign w:val="center"/>
                </w:tcPr>
                <w:p w14:paraId="1D67B747">
                  <w:pPr>
                    <w:spacing w:line="0" w:lineRule="atLeast"/>
                    <w:ind w:left="-105" w:leftChars="-50" w:right="-105" w:rightChars="-50"/>
                    <w:jc w:val="center"/>
                  </w:pPr>
                  <w:r>
                    <w:rPr>
                      <w:rFonts w:hint="eastAsia"/>
                    </w:rPr>
                    <w:t>数量</w:t>
                  </w:r>
                </w:p>
                <w:p w14:paraId="2057C2D6">
                  <w:pPr>
                    <w:spacing w:line="0" w:lineRule="atLeast"/>
                    <w:ind w:left="-105" w:leftChars="-50" w:right="-105" w:rightChars="-50"/>
                    <w:jc w:val="center"/>
                  </w:pPr>
                  <w:r>
                    <w:rPr>
                      <w:rFonts w:hint="eastAsia"/>
                    </w:rPr>
                    <w:t>（</w:t>
                  </w:r>
                  <w:r>
                    <w:t>hm</w:t>
                  </w:r>
                  <w:r>
                    <w:rPr>
                      <w:vertAlign w:val="superscript"/>
                    </w:rPr>
                    <w:t>2</w:t>
                  </w:r>
                  <w:r>
                    <w:rPr>
                      <w:rFonts w:hint="eastAsia"/>
                    </w:rPr>
                    <w:t>）</w:t>
                  </w:r>
                </w:p>
              </w:tc>
              <w:tc>
                <w:tcPr>
                  <w:tcW w:w="994" w:type="dxa"/>
                  <w:tcBorders>
                    <w:top w:val="single" w:color="auto" w:sz="8" w:space="0"/>
                    <w:left w:val="single" w:color="auto" w:sz="4" w:space="0"/>
                    <w:bottom w:val="single" w:color="auto" w:sz="4" w:space="0"/>
                    <w:right w:val="single" w:color="auto" w:sz="4" w:space="0"/>
                  </w:tcBorders>
                  <w:vAlign w:val="center"/>
                </w:tcPr>
                <w:p w14:paraId="1D17CE23">
                  <w:pPr>
                    <w:spacing w:line="0" w:lineRule="atLeast"/>
                    <w:ind w:left="-105" w:leftChars="-50" w:right="-105" w:rightChars="-50"/>
                    <w:jc w:val="center"/>
                  </w:pPr>
                  <w:r>
                    <w:rPr>
                      <w:rFonts w:hint="eastAsia" w:hAnsi="宋体"/>
                      <w:szCs w:val="21"/>
                    </w:rPr>
                    <w:t>实施年限</w:t>
                  </w:r>
                </w:p>
              </w:tc>
              <w:tc>
                <w:tcPr>
                  <w:tcW w:w="1027" w:type="dxa"/>
                  <w:tcBorders>
                    <w:top w:val="single" w:color="auto" w:sz="8" w:space="0"/>
                    <w:left w:val="single" w:color="auto" w:sz="4" w:space="0"/>
                    <w:bottom w:val="single" w:color="auto" w:sz="4" w:space="0"/>
                    <w:right w:val="single" w:color="auto" w:sz="8" w:space="0"/>
                  </w:tcBorders>
                  <w:vAlign w:val="center"/>
                </w:tcPr>
                <w:p w14:paraId="1C5C5D4D">
                  <w:pPr>
                    <w:spacing w:line="0" w:lineRule="atLeast"/>
                    <w:ind w:left="-105" w:leftChars="-50" w:right="-105" w:rightChars="-50"/>
                    <w:jc w:val="center"/>
                  </w:pPr>
                  <w:r>
                    <w:rPr>
                      <w:rFonts w:hint="eastAsia"/>
                    </w:rPr>
                    <w:t>资金安排</w:t>
                  </w:r>
                </w:p>
                <w:p w14:paraId="3DAB238D">
                  <w:pPr>
                    <w:spacing w:line="0" w:lineRule="atLeast"/>
                    <w:ind w:left="-105" w:leftChars="-50" w:right="-105" w:rightChars="-50"/>
                    <w:jc w:val="center"/>
                  </w:pPr>
                  <w:r>
                    <w:rPr>
                      <w:rFonts w:hint="eastAsia"/>
                    </w:rPr>
                    <w:t>（万元）</w:t>
                  </w:r>
                </w:p>
              </w:tc>
            </w:tr>
            <w:tr w14:paraId="138221C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472" w:type="dxa"/>
                  <w:vMerge w:val="restart"/>
                  <w:tcBorders>
                    <w:top w:val="single" w:color="auto" w:sz="4" w:space="0"/>
                    <w:left w:val="single" w:color="auto" w:sz="8" w:space="0"/>
                    <w:bottom w:val="single" w:color="auto" w:sz="4" w:space="0"/>
                    <w:right w:val="single" w:color="auto" w:sz="4" w:space="0"/>
                  </w:tcBorders>
                  <w:vAlign w:val="center"/>
                </w:tcPr>
                <w:p w14:paraId="0DBB3568">
                  <w:pPr>
                    <w:spacing w:line="0" w:lineRule="atLeast"/>
                    <w:ind w:left="-105" w:leftChars="-50" w:right="-105" w:rightChars="-50"/>
                    <w:jc w:val="center"/>
                  </w:pPr>
                  <w:r>
                    <w:t>1</w:t>
                  </w:r>
                </w:p>
              </w:tc>
              <w:tc>
                <w:tcPr>
                  <w:tcW w:w="849" w:type="dxa"/>
                  <w:vMerge w:val="restart"/>
                  <w:tcBorders>
                    <w:top w:val="single" w:color="auto" w:sz="4" w:space="0"/>
                    <w:left w:val="single" w:color="auto" w:sz="4" w:space="0"/>
                    <w:bottom w:val="single" w:color="auto" w:sz="4" w:space="0"/>
                    <w:right w:val="single" w:color="auto" w:sz="4" w:space="0"/>
                  </w:tcBorders>
                  <w:vAlign w:val="center"/>
                </w:tcPr>
                <w:p w14:paraId="1D2BB542">
                  <w:pPr>
                    <w:autoSpaceDE w:val="0"/>
                    <w:autoSpaceDN w:val="0"/>
                    <w:adjustRightInd w:val="0"/>
                    <w:spacing w:line="240" w:lineRule="atLeast"/>
                    <w:jc w:val="center"/>
                    <w:rPr>
                      <w:rFonts w:hAnsi="宋体"/>
                      <w:szCs w:val="21"/>
                    </w:rPr>
                  </w:pPr>
                  <w:r>
                    <w:rPr>
                      <w:rFonts w:hint="eastAsia" w:hAnsi="宋体"/>
                      <w:szCs w:val="21"/>
                    </w:rPr>
                    <w:t>升压站</w:t>
                  </w:r>
                </w:p>
                <w:p w14:paraId="11D47E49">
                  <w:pPr>
                    <w:spacing w:line="0" w:lineRule="atLeast"/>
                    <w:ind w:left="-105" w:leftChars="-50" w:right="-105" w:rightChars="-50"/>
                    <w:jc w:val="center"/>
                  </w:pPr>
                  <w:r>
                    <w:rPr>
                      <w:rFonts w:hint="eastAsia" w:hAnsi="宋体"/>
                      <w:szCs w:val="21"/>
                    </w:rPr>
                    <w:t>防治区</w:t>
                  </w:r>
                </w:p>
              </w:tc>
              <w:tc>
                <w:tcPr>
                  <w:tcW w:w="2325" w:type="dxa"/>
                  <w:tcBorders>
                    <w:top w:val="single" w:color="auto" w:sz="4" w:space="0"/>
                    <w:left w:val="single" w:color="auto" w:sz="4" w:space="0"/>
                    <w:bottom w:val="single" w:color="auto" w:sz="4" w:space="0"/>
                    <w:right w:val="single" w:color="auto" w:sz="4" w:space="0"/>
                  </w:tcBorders>
                  <w:vAlign w:val="center"/>
                </w:tcPr>
                <w:p w14:paraId="44E3236E">
                  <w:pPr>
                    <w:spacing w:line="0" w:lineRule="atLeast"/>
                  </w:pPr>
                  <w:r>
                    <w:rPr>
                      <w:rFonts w:hint="eastAsia" w:hAnsi="宋体"/>
                      <w:szCs w:val="21"/>
                    </w:rPr>
                    <w:t>施工期对表土进行剥离，表土量</w:t>
                  </w:r>
                  <w:r>
                    <w:rPr>
                      <w:rFonts w:hAnsi="宋体"/>
                      <w:szCs w:val="21"/>
                    </w:rPr>
                    <w:t>5158m</w:t>
                  </w:r>
                  <w:r>
                    <w:rPr>
                      <w:rFonts w:hAnsi="宋体"/>
                      <w:szCs w:val="21"/>
                      <w:vertAlign w:val="superscript"/>
                    </w:rPr>
                    <w:t>3</w:t>
                  </w:r>
                  <w:r>
                    <w:rPr>
                      <w:rFonts w:hint="eastAsia" w:hAnsi="宋体"/>
                      <w:szCs w:val="21"/>
                    </w:rPr>
                    <w:t>，集中堆放在升压站施工场地临时堆土场，用于后期覆土后植被恢复</w:t>
                  </w:r>
                </w:p>
              </w:tc>
              <w:tc>
                <w:tcPr>
                  <w:tcW w:w="2325" w:type="dxa"/>
                  <w:tcBorders>
                    <w:top w:val="single" w:color="auto" w:sz="4" w:space="0"/>
                    <w:left w:val="single" w:color="auto" w:sz="4" w:space="0"/>
                    <w:bottom w:val="single" w:color="auto" w:sz="4" w:space="0"/>
                    <w:right w:val="single" w:color="auto" w:sz="4" w:space="0"/>
                  </w:tcBorders>
                  <w:vAlign w:val="center"/>
                </w:tcPr>
                <w:p w14:paraId="3447F678">
                  <w:pPr>
                    <w:spacing w:line="0" w:lineRule="atLeast"/>
                    <w:ind w:left="-105" w:leftChars="-50" w:right="-105" w:rightChars="-50"/>
                    <w:jc w:val="center"/>
                  </w:pPr>
                  <w:r>
                    <w:rPr>
                      <w:rFonts w:hint="eastAsia"/>
                    </w:rPr>
                    <w:t>—</w:t>
                  </w:r>
                </w:p>
              </w:tc>
              <w:tc>
                <w:tcPr>
                  <w:tcW w:w="797" w:type="dxa"/>
                  <w:vMerge w:val="restart"/>
                  <w:tcBorders>
                    <w:top w:val="single" w:color="auto" w:sz="4" w:space="0"/>
                    <w:left w:val="single" w:color="auto" w:sz="4" w:space="0"/>
                    <w:bottom w:val="single" w:color="auto" w:sz="4" w:space="0"/>
                    <w:right w:val="single" w:color="auto" w:sz="4" w:space="0"/>
                  </w:tcBorders>
                  <w:vAlign w:val="center"/>
                </w:tcPr>
                <w:p w14:paraId="707496CA">
                  <w:pPr>
                    <w:spacing w:line="0" w:lineRule="atLeast"/>
                    <w:ind w:left="-105" w:leftChars="-50" w:right="-105" w:rightChars="-50"/>
                    <w:jc w:val="center"/>
                  </w:pPr>
                  <w:r>
                    <w:t>0.3438</w:t>
                  </w:r>
                </w:p>
              </w:tc>
              <w:tc>
                <w:tcPr>
                  <w:tcW w:w="994" w:type="dxa"/>
                  <w:tcBorders>
                    <w:top w:val="single" w:color="auto" w:sz="4" w:space="0"/>
                    <w:left w:val="single" w:color="auto" w:sz="4" w:space="0"/>
                    <w:bottom w:val="single" w:color="auto" w:sz="4" w:space="0"/>
                    <w:right w:val="single" w:color="auto" w:sz="4" w:space="0"/>
                  </w:tcBorders>
                  <w:vAlign w:val="center"/>
                </w:tcPr>
                <w:p w14:paraId="388E2C89">
                  <w:pPr>
                    <w:spacing w:line="0" w:lineRule="atLeast"/>
                    <w:ind w:left="-105" w:leftChars="-50" w:right="-105" w:rightChars="-50"/>
                    <w:jc w:val="center"/>
                  </w:pPr>
                  <w:r>
                    <w:t>2018</w:t>
                  </w:r>
                  <w:r>
                    <w:rPr>
                      <w:rFonts w:hint="eastAsia"/>
                    </w:rPr>
                    <w:t>年</w:t>
                  </w:r>
                </w:p>
              </w:tc>
              <w:tc>
                <w:tcPr>
                  <w:tcW w:w="1027" w:type="dxa"/>
                  <w:vMerge w:val="restart"/>
                  <w:tcBorders>
                    <w:top w:val="single" w:color="auto" w:sz="4" w:space="0"/>
                    <w:left w:val="single" w:color="auto" w:sz="4" w:space="0"/>
                    <w:bottom w:val="single" w:color="auto" w:sz="4" w:space="0"/>
                    <w:right w:val="single" w:color="auto" w:sz="8" w:space="0"/>
                  </w:tcBorders>
                  <w:vAlign w:val="center"/>
                </w:tcPr>
                <w:p w14:paraId="455C7B11">
                  <w:pPr>
                    <w:spacing w:line="0" w:lineRule="atLeast"/>
                    <w:ind w:left="-105" w:leftChars="-50" w:right="-105" w:rightChars="-50"/>
                    <w:jc w:val="center"/>
                  </w:pPr>
                  <w:r>
                    <w:t>3.78</w:t>
                  </w:r>
                </w:p>
              </w:tc>
            </w:tr>
            <w:tr w14:paraId="287B657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1321" w:type="dxa"/>
                  <w:vMerge w:val="continue"/>
                  <w:tcBorders>
                    <w:top w:val="single" w:color="auto" w:sz="4" w:space="0"/>
                    <w:left w:val="single" w:color="auto" w:sz="8" w:space="0"/>
                    <w:bottom w:val="single" w:color="auto" w:sz="4" w:space="0"/>
                    <w:right w:val="single" w:color="auto" w:sz="4" w:space="0"/>
                  </w:tcBorders>
                  <w:vAlign w:val="center"/>
                </w:tcPr>
                <w:p w14:paraId="67D0841B">
                  <w:pPr>
                    <w:widowControl/>
                    <w:spacing w:line="240" w:lineRule="auto"/>
                    <w:jc w:val="left"/>
                  </w:pPr>
                </w:p>
              </w:tc>
              <w:tc>
                <w:tcPr>
                  <w:tcW w:w="849" w:type="dxa"/>
                  <w:vMerge w:val="continue"/>
                  <w:tcBorders>
                    <w:top w:val="single" w:color="auto" w:sz="4" w:space="0"/>
                    <w:left w:val="single" w:color="auto" w:sz="4" w:space="0"/>
                    <w:bottom w:val="single" w:color="auto" w:sz="4" w:space="0"/>
                    <w:right w:val="single" w:color="auto" w:sz="4" w:space="0"/>
                  </w:tcBorders>
                  <w:vAlign w:val="center"/>
                </w:tcPr>
                <w:p w14:paraId="069AF259">
                  <w:pPr>
                    <w:widowControl/>
                    <w:spacing w:line="240" w:lineRule="auto"/>
                    <w:jc w:val="left"/>
                  </w:pPr>
                </w:p>
              </w:tc>
              <w:tc>
                <w:tcPr>
                  <w:tcW w:w="2325" w:type="dxa"/>
                  <w:tcBorders>
                    <w:top w:val="single" w:color="auto" w:sz="4" w:space="0"/>
                    <w:left w:val="single" w:color="auto" w:sz="4" w:space="0"/>
                    <w:bottom w:val="single" w:color="auto" w:sz="4" w:space="0"/>
                    <w:right w:val="single" w:color="auto" w:sz="4" w:space="0"/>
                  </w:tcBorders>
                  <w:vAlign w:val="center"/>
                </w:tcPr>
                <w:p w14:paraId="1419D13C">
                  <w:pPr>
                    <w:spacing w:line="0" w:lineRule="atLeast"/>
                  </w:pPr>
                  <w:r>
                    <w:rPr>
                      <w:rFonts w:hint="eastAsia" w:hAnsi="宋体"/>
                      <w:szCs w:val="21"/>
                    </w:rPr>
                    <w:t>升压站建设完成后，利用堆存表土回填覆土，并进行场地平整，平整面积</w:t>
                  </w:r>
                  <w:r>
                    <w:rPr>
                      <w:rFonts w:hAnsi="宋体"/>
                      <w:szCs w:val="21"/>
                    </w:rPr>
                    <w:t>1.7192hm</w:t>
                  </w:r>
                  <w:r>
                    <w:rPr>
                      <w:rFonts w:hAnsi="宋体"/>
                      <w:szCs w:val="21"/>
                      <w:vertAlign w:val="superscript"/>
                    </w:rPr>
                    <w:t>2</w:t>
                  </w:r>
                </w:p>
              </w:tc>
              <w:tc>
                <w:tcPr>
                  <w:tcW w:w="2325" w:type="dxa"/>
                  <w:tcBorders>
                    <w:top w:val="single" w:color="auto" w:sz="4" w:space="0"/>
                    <w:left w:val="single" w:color="auto" w:sz="4" w:space="0"/>
                    <w:bottom w:val="single" w:color="auto" w:sz="4" w:space="0"/>
                    <w:right w:val="single" w:color="auto" w:sz="4" w:space="0"/>
                  </w:tcBorders>
                  <w:vAlign w:val="center"/>
                </w:tcPr>
                <w:p w14:paraId="053B0CE3">
                  <w:pPr>
                    <w:spacing w:line="0" w:lineRule="atLeast"/>
                  </w:pPr>
                  <w:r>
                    <w:rPr>
                      <w:rFonts w:hint="eastAsia"/>
                    </w:rPr>
                    <w:t>表土回填平整后，采取播撒草种的措施进行植被恢复，恢复面积</w:t>
                  </w:r>
                  <w:r>
                    <w:t>0.3438hm</w:t>
                  </w:r>
                  <w:r>
                    <w:rPr>
                      <w:vertAlign w:val="superscript"/>
                    </w:rPr>
                    <w:t>2</w:t>
                  </w:r>
                </w:p>
              </w:tc>
              <w:tc>
                <w:tcPr>
                  <w:tcW w:w="797" w:type="dxa"/>
                  <w:vMerge w:val="continue"/>
                  <w:tcBorders>
                    <w:top w:val="single" w:color="auto" w:sz="4" w:space="0"/>
                    <w:left w:val="single" w:color="auto" w:sz="4" w:space="0"/>
                    <w:bottom w:val="single" w:color="auto" w:sz="4" w:space="0"/>
                    <w:right w:val="single" w:color="auto" w:sz="4" w:space="0"/>
                  </w:tcBorders>
                  <w:vAlign w:val="center"/>
                </w:tcPr>
                <w:p w14:paraId="177A91DE">
                  <w:pPr>
                    <w:widowControl/>
                    <w:spacing w:line="240" w:lineRule="auto"/>
                    <w:jc w:val="left"/>
                  </w:pPr>
                </w:p>
              </w:tc>
              <w:tc>
                <w:tcPr>
                  <w:tcW w:w="994" w:type="dxa"/>
                  <w:tcBorders>
                    <w:top w:val="single" w:color="auto" w:sz="4" w:space="0"/>
                    <w:left w:val="single" w:color="auto" w:sz="4" w:space="0"/>
                    <w:bottom w:val="single" w:color="auto" w:sz="4" w:space="0"/>
                    <w:right w:val="single" w:color="auto" w:sz="4" w:space="0"/>
                  </w:tcBorders>
                  <w:vAlign w:val="center"/>
                </w:tcPr>
                <w:p w14:paraId="7AC6BF91">
                  <w:pPr>
                    <w:spacing w:line="0" w:lineRule="atLeast"/>
                    <w:ind w:left="-105" w:leftChars="-50" w:right="-105" w:rightChars="-50"/>
                    <w:jc w:val="center"/>
                  </w:pPr>
                  <w:r>
                    <w:t>2018</w:t>
                  </w:r>
                  <w:r>
                    <w:rPr>
                      <w:rFonts w:hint="eastAsia"/>
                    </w:rPr>
                    <w:t>年～</w:t>
                  </w:r>
                </w:p>
                <w:p w14:paraId="39D24CB5">
                  <w:pPr>
                    <w:spacing w:line="0" w:lineRule="atLeast"/>
                    <w:ind w:left="-105" w:leftChars="-50" w:right="-105" w:rightChars="-50"/>
                    <w:jc w:val="center"/>
                  </w:pPr>
                  <w:r>
                    <w:t>2019</w:t>
                  </w:r>
                  <w:r>
                    <w:rPr>
                      <w:rFonts w:hint="eastAsia"/>
                    </w:rPr>
                    <w:t>年</w:t>
                  </w:r>
                </w:p>
              </w:tc>
              <w:tc>
                <w:tcPr>
                  <w:tcW w:w="1027" w:type="dxa"/>
                  <w:vMerge w:val="continue"/>
                  <w:tcBorders>
                    <w:top w:val="single" w:color="auto" w:sz="4" w:space="0"/>
                    <w:left w:val="single" w:color="auto" w:sz="4" w:space="0"/>
                    <w:bottom w:val="single" w:color="auto" w:sz="4" w:space="0"/>
                    <w:right w:val="single" w:color="auto" w:sz="8" w:space="0"/>
                  </w:tcBorders>
                  <w:vAlign w:val="center"/>
                </w:tcPr>
                <w:p w14:paraId="48B728BF">
                  <w:pPr>
                    <w:widowControl/>
                    <w:spacing w:line="240" w:lineRule="auto"/>
                    <w:jc w:val="left"/>
                  </w:pPr>
                </w:p>
              </w:tc>
            </w:tr>
            <w:tr w14:paraId="376ADA9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472" w:type="dxa"/>
                  <w:vMerge w:val="restart"/>
                  <w:tcBorders>
                    <w:top w:val="single" w:color="auto" w:sz="4" w:space="0"/>
                    <w:left w:val="single" w:color="auto" w:sz="8" w:space="0"/>
                    <w:bottom w:val="single" w:color="auto" w:sz="4" w:space="0"/>
                    <w:right w:val="single" w:color="auto" w:sz="4" w:space="0"/>
                  </w:tcBorders>
                  <w:vAlign w:val="center"/>
                </w:tcPr>
                <w:p w14:paraId="4CE2D499">
                  <w:pPr>
                    <w:spacing w:line="0" w:lineRule="atLeast"/>
                    <w:ind w:left="-105" w:leftChars="-50" w:right="-105" w:rightChars="-50"/>
                    <w:jc w:val="center"/>
                  </w:pPr>
                  <w:r>
                    <w:t>2</w:t>
                  </w:r>
                </w:p>
              </w:tc>
              <w:tc>
                <w:tcPr>
                  <w:tcW w:w="849" w:type="dxa"/>
                  <w:vMerge w:val="restart"/>
                  <w:tcBorders>
                    <w:top w:val="single" w:color="auto" w:sz="4" w:space="0"/>
                    <w:left w:val="single" w:color="auto" w:sz="4" w:space="0"/>
                    <w:bottom w:val="single" w:color="auto" w:sz="4" w:space="0"/>
                    <w:right w:val="single" w:color="auto" w:sz="4" w:space="0"/>
                  </w:tcBorders>
                  <w:vAlign w:val="center"/>
                </w:tcPr>
                <w:p w14:paraId="562B2B0C">
                  <w:pPr>
                    <w:autoSpaceDE w:val="0"/>
                    <w:autoSpaceDN w:val="0"/>
                    <w:adjustRightInd w:val="0"/>
                    <w:spacing w:line="240" w:lineRule="atLeast"/>
                    <w:jc w:val="center"/>
                    <w:rPr>
                      <w:rFonts w:hAnsi="宋体"/>
                      <w:szCs w:val="21"/>
                    </w:rPr>
                  </w:pPr>
                  <w:r>
                    <w:rPr>
                      <w:rFonts w:hint="eastAsia" w:hAnsi="宋体"/>
                      <w:szCs w:val="21"/>
                    </w:rPr>
                    <w:t>风机发电机及箱变防治区</w:t>
                  </w:r>
                </w:p>
              </w:tc>
              <w:tc>
                <w:tcPr>
                  <w:tcW w:w="2325" w:type="dxa"/>
                  <w:tcBorders>
                    <w:top w:val="single" w:color="auto" w:sz="4" w:space="0"/>
                    <w:left w:val="single" w:color="auto" w:sz="4" w:space="0"/>
                    <w:bottom w:val="single" w:color="auto" w:sz="4" w:space="0"/>
                    <w:right w:val="single" w:color="auto" w:sz="4" w:space="0"/>
                  </w:tcBorders>
                  <w:vAlign w:val="center"/>
                </w:tcPr>
                <w:p w14:paraId="4F9BB2F9">
                  <w:pPr>
                    <w:spacing w:line="0" w:lineRule="atLeast"/>
                  </w:pPr>
                  <w:r>
                    <w:rPr>
                      <w:rFonts w:hint="eastAsia" w:hAnsi="宋体"/>
                      <w:szCs w:val="21"/>
                    </w:rPr>
                    <w:t>施工期对表土进行剥离，表土量</w:t>
                  </w:r>
                  <w:r>
                    <w:rPr>
                      <w:rFonts w:hAnsi="宋体"/>
                      <w:szCs w:val="21"/>
                    </w:rPr>
                    <w:t>13120m</w:t>
                  </w:r>
                  <w:r>
                    <w:rPr>
                      <w:rFonts w:hAnsi="宋体"/>
                      <w:szCs w:val="21"/>
                      <w:vertAlign w:val="superscript"/>
                    </w:rPr>
                    <w:t>3</w:t>
                  </w:r>
                  <w:r>
                    <w:rPr>
                      <w:rFonts w:hint="eastAsia" w:hAnsi="宋体"/>
                      <w:szCs w:val="21"/>
                    </w:rPr>
                    <w:t>，集中堆放在风机基坑一侧，用于后期覆土后植被恢复</w:t>
                  </w:r>
                </w:p>
              </w:tc>
              <w:tc>
                <w:tcPr>
                  <w:tcW w:w="2325" w:type="dxa"/>
                  <w:tcBorders>
                    <w:top w:val="single" w:color="auto" w:sz="4" w:space="0"/>
                    <w:left w:val="single" w:color="auto" w:sz="4" w:space="0"/>
                    <w:bottom w:val="single" w:color="auto" w:sz="4" w:space="0"/>
                    <w:right w:val="single" w:color="auto" w:sz="4" w:space="0"/>
                  </w:tcBorders>
                  <w:vAlign w:val="center"/>
                </w:tcPr>
                <w:p w14:paraId="06B4915A">
                  <w:pPr>
                    <w:spacing w:line="0" w:lineRule="atLeast"/>
                    <w:ind w:left="-105" w:leftChars="-50" w:right="-105" w:rightChars="-50"/>
                    <w:jc w:val="center"/>
                  </w:pPr>
                  <w:r>
                    <w:rPr>
                      <w:rFonts w:hint="eastAsia"/>
                    </w:rPr>
                    <w:t>—</w:t>
                  </w:r>
                </w:p>
              </w:tc>
              <w:tc>
                <w:tcPr>
                  <w:tcW w:w="797" w:type="dxa"/>
                  <w:vMerge w:val="restart"/>
                  <w:tcBorders>
                    <w:top w:val="single" w:color="auto" w:sz="4" w:space="0"/>
                    <w:left w:val="single" w:color="auto" w:sz="4" w:space="0"/>
                    <w:bottom w:val="single" w:color="auto" w:sz="4" w:space="0"/>
                    <w:right w:val="single" w:color="auto" w:sz="4" w:space="0"/>
                  </w:tcBorders>
                  <w:vAlign w:val="center"/>
                </w:tcPr>
                <w:p w14:paraId="0A755F26">
                  <w:pPr>
                    <w:spacing w:line="0" w:lineRule="atLeast"/>
                    <w:ind w:left="-105" w:leftChars="-50" w:right="-105" w:rightChars="-50"/>
                    <w:jc w:val="center"/>
                  </w:pPr>
                  <w:r>
                    <w:rPr>
                      <w:rFonts w:hAnsi="宋体"/>
                      <w:szCs w:val="21"/>
                    </w:rPr>
                    <w:t>4.8305</w:t>
                  </w:r>
                </w:p>
              </w:tc>
              <w:tc>
                <w:tcPr>
                  <w:tcW w:w="994" w:type="dxa"/>
                  <w:tcBorders>
                    <w:top w:val="single" w:color="auto" w:sz="4" w:space="0"/>
                    <w:left w:val="single" w:color="auto" w:sz="4" w:space="0"/>
                    <w:bottom w:val="single" w:color="auto" w:sz="4" w:space="0"/>
                    <w:right w:val="single" w:color="auto" w:sz="4" w:space="0"/>
                  </w:tcBorders>
                  <w:vAlign w:val="center"/>
                </w:tcPr>
                <w:p w14:paraId="7A637F23">
                  <w:pPr>
                    <w:spacing w:line="0" w:lineRule="atLeast"/>
                    <w:ind w:left="-105" w:leftChars="-50" w:right="-105" w:rightChars="-50"/>
                    <w:jc w:val="center"/>
                  </w:pPr>
                  <w:r>
                    <w:t>2018</w:t>
                  </w:r>
                  <w:r>
                    <w:rPr>
                      <w:rFonts w:hint="eastAsia"/>
                    </w:rPr>
                    <w:t>年</w:t>
                  </w:r>
                </w:p>
              </w:tc>
              <w:tc>
                <w:tcPr>
                  <w:tcW w:w="1027" w:type="dxa"/>
                  <w:vMerge w:val="restart"/>
                  <w:tcBorders>
                    <w:top w:val="single" w:color="auto" w:sz="4" w:space="0"/>
                    <w:left w:val="single" w:color="auto" w:sz="4" w:space="0"/>
                    <w:bottom w:val="single" w:color="auto" w:sz="4" w:space="0"/>
                    <w:right w:val="single" w:color="auto" w:sz="8" w:space="0"/>
                  </w:tcBorders>
                  <w:vAlign w:val="center"/>
                </w:tcPr>
                <w:p w14:paraId="38FF8733">
                  <w:pPr>
                    <w:spacing w:line="0" w:lineRule="atLeast"/>
                    <w:ind w:left="-105" w:leftChars="-50" w:right="-105" w:rightChars="-50"/>
                    <w:jc w:val="center"/>
                  </w:pPr>
                  <w:r>
                    <w:t>175.56</w:t>
                  </w:r>
                </w:p>
              </w:tc>
            </w:tr>
            <w:tr w14:paraId="593FE62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1321" w:type="dxa"/>
                  <w:vMerge w:val="continue"/>
                  <w:tcBorders>
                    <w:top w:val="single" w:color="auto" w:sz="4" w:space="0"/>
                    <w:left w:val="single" w:color="auto" w:sz="8" w:space="0"/>
                    <w:bottom w:val="single" w:color="auto" w:sz="4" w:space="0"/>
                    <w:right w:val="single" w:color="auto" w:sz="4" w:space="0"/>
                  </w:tcBorders>
                  <w:vAlign w:val="center"/>
                </w:tcPr>
                <w:p w14:paraId="7625E582">
                  <w:pPr>
                    <w:widowControl/>
                    <w:spacing w:line="240" w:lineRule="auto"/>
                    <w:jc w:val="left"/>
                  </w:pPr>
                </w:p>
              </w:tc>
              <w:tc>
                <w:tcPr>
                  <w:tcW w:w="849" w:type="dxa"/>
                  <w:vMerge w:val="continue"/>
                  <w:tcBorders>
                    <w:top w:val="single" w:color="auto" w:sz="4" w:space="0"/>
                    <w:left w:val="single" w:color="auto" w:sz="4" w:space="0"/>
                    <w:bottom w:val="single" w:color="auto" w:sz="4" w:space="0"/>
                    <w:right w:val="single" w:color="auto" w:sz="4" w:space="0"/>
                  </w:tcBorders>
                  <w:vAlign w:val="center"/>
                </w:tcPr>
                <w:p w14:paraId="11749CC7">
                  <w:pPr>
                    <w:widowControl/>
                    <w:spacing w:line="240" w:lineRule="auto"/>
                    <w:jc w:val="left"/>
                    <w:rPr>
                      <w:rFonts w:hAnsi="宋体"/>
                      <w:szCs w:val="21"/>
                    </w:rPr>
                  </w:pPr>
                </w:p>
              </w:tc>
              <w:tc>
                <w:tcPr>
                  <w:tcW w:w="2325" w:type="dxa"/>
                  <w:tcBorders>
                    <w:top w:val="single" w:color="auto" w:sz="4" w:space="0"/>
                    <w:left w:val="single" w:color="auto" w:sz="4" w:space="0"/>
                    <w:bottom w:val="single" w:color="auto" w:sz="4" w:space="0"/>
                    <w:right w:val="single" w:color="auto" w:sz="4" w:space="0"/>
                  </w:tcBorders>
                  <w:vAlign w:val="center"/>
                </w:tcPr>
                <w:p w14:paraId="5DB16B2C">
                  <w:pPr>
                    <w:spacing w:line="0" w:lineRule="atLeast"/>
                  </w:pPr>
                  <w:r>
                    <w:rPr>
                      <w:rFonts w:hint="eastAsia" w:hAnsi="宋体"/>
                      <w:szCs w:val="21"/>
                    </w:rPr>
                    <w:t>单个风机吊装完成后，利用堆存表土回填到施工场地内，并进行场地平整，平整面积</w:t>
                  </w:r>
                  <w:r>
                    <w:rPr>
                      <w:rFonts w:hAnsi="宋体"/>
                      <w:szCs w:val="21"/>
                    </w:rPr>
                    <w:t>4.8305hm</w:t>
                  </w:r>
                  <w:r>
                    <w:rPr>
                      <w:rFonts w:hAnsi="宋体"/>
                      <w:szCs w:val="21"/>
                      <w:vertAlign w:val="superscript"/>
                    </w:rPr>
                    <w:t>2</w:t>
                  </w:r>
                </w:p>
              </w:tc>
              <w:tc>
                <w:tcPr>
                  <w:tcW w:w="2325" w:type="dxa"/>
                  <w:tcBorders>
                    <w:top w:val="single" w:color="auto" w:sz="4" w:space="0"/>
                    <w:left w:val="single" w:color="auto" w:sz="4" w:space="0"/>
                    <w:bottom w:val="single" w:color="auto" w:sz="4" w:space="0"/>
                    <w:right w:val="single" w:color="auto" w:sz="4" w:space="0"/>
                  </w:tcBorders>
                  <w:vAlign w:val="center"/>
                </w:tcPr>
                <w:p w14:paraId="3CB0B82E">
                  <w:pPr>
                    <w:spacing w:line="0" w:lineRule="atLeast"/>
                  </w:pPr>
                  <w:r>
                    <w:rPr>
                      <w:rFonts w:hint="eastAsia"/>
                    </w:rPr>
                    <w:t>表土回填平整后，采取播撒草种的措施进行植被恢复，恢复面积</w:t>
                  </w:r>
                  <w:r>
                    <w:rPr>
                      <w:rFonts w:hAnsi="宋体"/>
                      <w:szCs w:val="21"/>
                    </w:rPr>
                    <w:t>4.8305</w:t>
                  </w:r>
                  <w:r>
                    <w:t>hm</w:t>
                  </w:r>
                  <w:r>
                    <w:rPr>
                      <w:vertAlign w:val="superscript"/>
                    </w:rPr>
                    <w:t>2</w:t>
                  </w:r>
                </w:p>
              </w:tc>
              <w:tc>
                <w:tcPr>
                  <w:tcW w:w="797" w:type="dxa"/>
                  <w:vMerge w:val="continue"/>
                  <w:tcBorders>
                    <w:top w:val="single" w:color="auto" w:sz="4" w:space="0"/>
                    <w:left w:val="single" w:color="auto" w:sz="4" w:space="0"/>
                    <w:bottom w:val="single" w:color="auto" w:sz="4" w:space="0"/>
                    <w:right w:val="single" w:color="auto" w:sz="4" w:space="0"/>
                  </w:tcBorders>
                  <w:vAlign w:val="center"/>
                </w:tcPr>
                <w:p w14:paraId="0A9EF648">
                  <w:pPr>
                    <w:widowControl/>
                    <w:spacing w:line="240" w:lineRule="auto"/>
                    <w:jc w:val="left"/>
                  </w:pPr>
                </w:p>
              </w:tc>
              <w:tc>
                <w:tcPr>
                  <w:tcW w:w="994" w:type="dxa"/>
                  <w:tcBorders>
                    <w:top w:val="single" w:color="auto" w:sz="4" w:space="0"/>
                    <w:left w:val="single" w:color="auto" w:sz="4" w:space="0"/>
                    <w:bottom w:val="single" w:color="auto" w:sz="4" w:space="0"/>
                    <w:right w:val="single" w:color="auto" w:sz="4" w:space="0"/>
                  </w:tcBorders>
                  <w:vAlign w:val="center"/>
                </w:tcPr>
                <w:p w14:paraId="021AC50C">
                  <w:pPr>
                    <w:spacing w:line="0" w:lineRule="atLeast"/>
                    <w:ind w:left="-105" w:leftChars="-50" w:right="-105" w:rightChars="-50"/>
                    <w:jc w:val="center"/>
                  </w:pPr>
                  <w:r>
                    <w:t>2018</w:t>
                  </w:r>
                  <w:r>
                    <w:rPr>
                      <w:rFonts w:hint="eastAsia"/>
                    </w:rPr>
                    <w:t>年～</w:t>
                  </w:r>
                </w:p>
                <w:p w14:paraId="05C5CA8B">
                  <w:pPr>
                    <w:spacing w:line="0" w:lineRule="atLeast"/>
                    <w:ind w:left="-105" w:leftChars="-50" w:right="-105" w:rightChars="-50"/>
                    <w:jc w:val="center"/>
                  </w:pPr>
                  <w:r>
                    <w:t>2019</w:t>
                  </w:r>
                  <w:r>
                    <w:rPr>
                      <w:rFonts w:hint="eastAsia"/>
                    </w:rPr>
                    <w:t>年</w:t>
                  </w:r>
                </w:p>
              </w:tc>
              <w:tc>
                <w:tcPr>
                  <w:tcW w:w="1027" w:type="dxa"/>
                  <w:vMerge w:val="continue"/>
                  <w:tcBorders>
                    <w:top w:val="single" w:color="auto" w:sz="4" w:space="0"/>
                    <w:left w:val="single" w:color="auto" w:sz="4" w:space="0"/>
                    <w:bottom w:val="single" w:color="auto" w:sz="4" w:space="0"/>
                    <w:right w:val="single" w:color="auto" w:sz="8" w:space="0"/>
                  </w:tcBorders>
                  <w:vAlign w:val="center"/>
                </w:tcPr>
                <w:p w14:paraId="1D62CE68">
                  <w:pPr>
                    <w:widowControl/>
                    <w:spacing w:line="240" w:lineRule="auto"/>
                    <w:jc w:val="left"/>
                  </w:pPr>
                </w:p>
              </w:tc>
            </w:tr>
            <w:tr w14:paraId="0E36D7C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472" w:type="dxa"/>
                  <w:vMerge w:val="restart"/>
                  <w:tcBorders>
                    <w:top w:val="single" w:color="auto" w:sz="4" w:space="0"/>
                    <w:left w:val="single" w:color="auto" w:sz="8" w:space="0"/>
                    <w:bottom w:val="single" w:color="auto" w:sz="4" w:space="0"/>
                    <w:right w:val="single" w:color="auto" w:sz="4" w:space="0"/>
                  </w:tcBorders>
                  <w:vAlign w:val="center"/>
                </w:tcPr>
                <w:p w14:paraId="61DB0107">
                  <w:pPr>
                    <w:spacing w:line="0" w:lineRule="atLeast"/>
                    <w:ind w:left="-105" w:leftChars="-50" w:right="-105" w:rightChars="-50"/>
                    <w:jc w:val="center"/>
                  </w:pPr>
                  <w:r>
                    <w:t>3</w:t>
                  </w:r>
                </w:p>
              </w:tc>
              <w:tc>
                <w:tcPr>
                  <w:tcW w:w="849" w:type="dxa"/>
                  <w:vMerge w:val="restart"/>
                  <w:tcBorders>
                    <w:top w:val="single" w:color="auto" w:sz="4" w:space="0"/>
                    <w:left w:val="single" w:color="auto" w:sz="4" w:space="0"/>
                    <w:bottom w:val="single" w:color="auto" w:sz="4" w:space="0"/>
                    <w:right w:val="single" w:color="auto" w:sz="4" w:space="0"/>
                  </w:tcBorders>
                  <w:vAlign w:val="center"/>
                </w:tcPr>
                <w:p w14:paraId="341475B7">
                  <w:pPr>
                    <w:spacing w:line="0" w:lineRule="atLeast"/>
                    <w:jc w:val="center"/>
                  </w:pPr>
                  <w:r>
                    <w:rPr>
                      <w:rFonts w:hint="eastAsia" w:hAnsi="宋体"/>
                      <w:szCs w:val="21"/>
                    </w:rPr>
                    <w:t>架空集电线路防治区</w:t>
                  </w:r>
                </w:p>
              </w:tc>
              <w:tc>
                <w:tcPr>
                  <w:tcW w:w="2325" w:type="dxa"/>
                  <w:tcBorders>
                    <w:top w:val="single" w:color="auto" w:sz="4" w:space="0"/>
                    <w:left w:val="single" w:color="auto" w:sz="4" w:space="0"/>
                    <w:bottom w:val="single" w:color="auto" w:sz="4" w:space="0"/>
                    <w:right w:val="single" w:color="auto" w:sz="4" w:space="0"/>
                  </w:tcBorders>
                  <w:vAlign w:val="center"/>
                </w:tcPr>
                <w:p w14:paraId="72FD1C39">
                  <w:pPr>
                    <w:spacing w:line="0" w:lineRule="atLeast"/>
                  </w:pPr>
                  <w:r>
                    <w:rPr>
                      <w:rFonts w:hint="eastAsia" w:hAnsi="宋体"/>
                      <w:szCs w:val="21"/>
                    </w:rPr>
                    <w:t>施工期对表土进行剥离，表土量</w:t>
                  </w:r>
                  <w:r>
                    <w:rPr>
                      <w:rFonts w:hAnsi="宋体"/>
                      <w:szCs w:val="21"/>
                    </w:rPr>
                    <w:t>10363m</w:t>
                  </w:r>
                  <w:r>
                    <w:rPr>
                      <w:rFonts w:hAnsi="宋体"/>
                      <w:szCs w:val="21"/>
                      <w:vertAlign w:val="superscript"/>
                    </w:rPr>
                    <w:t>3</w:t>
                  </w:r>
                  <w:r>
                    <w:rPr>
                      <w:rFonts w:hint="eastAsia" w:hAnsi="宋体"/>
                      <w:szCs w:val="21"/>
                    </w:rPr>
                    <w:t>，集中堆放在</w:t>
                  </w:r>
                  <w:r>
                    <w:rPr>
                      <w:rFonts w:hint="eastAsia"/>
                    </w:rPr>
                    <w:t>施工场地空地</w:t>
                  </w:r>
                  <w:r>
                    <w:rPr>
                      <w:rFonts w:hint="eastAsia" w:hAnsi="宋体"/>
                      <w:szCs w:val="21"/>
                    </w:rPr>
                    <w:t>，用于后期覆土后植被恢复</w:t>
                  </w:r>
                </w:p>
              </w:tc>
              <w:tc>
                <w:tcPr>
                  <w:tcW w:w="2325" w:type="dxa"/>
                  <w:tcBorders>
                    <w:top w:val="single" w:color="auto" w:sz="4" w:space="0"/>
                    <w:left w:val="single" w:color="auto" w:sz="4" w:space="0"/>
                    <w:bottom w:val="single" w:color="auto" w:sz="4" w:space="0"/>
                    <w:right w:val="single" w:color="auto" w:sz="4" w:space="0"/>
                  </w:tcBorders>
                  <w:vAlign w:val="center"/>
                </w:tcPr>
                <w:p w14:paraId="2608A6FC">
                  <w:pPr>
                    <w:spacing w:line="0" w:lineRule="atLeast"/>
                    <w:jc w:val="center"/>
                  </w:pPr>
                  <w:r>
                    <w:rPr>
                      <w:rFonts w:hint="eastAsia"/>
                    </w:rPr>
                    <w:t>—</w:t>
                  </w:r>
                </w:p>
              </w:tc>
              <w:tc>
                <w:tcPr>
                  <w:tcW w:w="797" w:type="dxa"/>
                  <w:vMerge w:val="restart"/>
                  <w:tcBorders>
                    <w:top w:val="single" w:color="auto" w:sz="4" w:space="0"/>
                    <w:left w:val="single" w:color="auto" w:sz="4" w:space="0"/>
                    <w:bottom w:val="single" w:color="auto" w:sz="4" w:space="0"/>
                    <w:right w:val="single" w:color="auto" w:sz="4" w:space="0"/>
                  </w:tcBorders>
                  <w:vAlign w:val="center"/>
                </w:tcPr>
                <w:p w14:paraId="03FE11B7">
                  <w:pPr>
                    <w:spacing w:line="0" w:lineRule="atLeast"/>
                    <w:ind w:left="-105" w:leftChars="-50" w:right="-105" w:rightChars="-50"/>
                    <w:jc w:val="center"/>
                  </w:pPr>
                  <w:r>
                    <w:rPr>
                      <w:color w:val="000000"/>
                      <w:szCs w:val="21"/>
                    </w:rPr>
                    <w:t>2.5543</w:t>
                  </w:r>
                </w:p>
              </w:tc>
              <w:tc>
                <w:tcPr>
                  <w:tcW w:w="994" w:type="dxa"/>
                  <w:tcBorders>
                    <w:top w:val="single" w:color="auto" w:sz="4" w:space="0"/>
                    <w:left w:val="single" w:color="auto" w:sz="4" w:space="0"/>
                    <w:bottom w:val="single" w:color="auto" w:sz="4" w:space="0"/>
                    <w:right w:val="single" w:color="auto" w:sz="4" w:space="0"/>
                  </w:tcBorders>
                  <w:vAlign w:val="center"/>
                </w:tcPr>
                <w:p w14:paraId="31024DAB">
                  <w:pPr>
                    <w:spacing w:line="0" w:lineRule="atLeast"/>
                    <w:ind w:left="-105" w:leftChars="-50" w:right="-105" w:rightChars="-50"/>
                    <w:jc w:val="center"/>
                  </w:pPr>
                  <w:r>
                    <w:t>2018</w:t>
                  </w:r>
                  <w:r>
                    <w:rPr>
                      <w:rFonts w:hint="eastAsia"/>
                    </w:rPr>
                    <w:t>年</w:t>
                  </w:r>
                </w:p>
              </w:tc>
              <w:tc>
                <w:tcPr>
                  <w:tcW w:w="1027" w:type="dxa"/>
                  <w:vMerge w:val="restart"/>
                  <w:tcBorders>
                    <w:top w:val="single" w:color="auto" w:sz="4" w:space="0"/>
                    <w:left w:val="single" w:color="auto" w:sz="4" w:space="0"/>
                    <w:bottom w:val="single" w:color="auto" w:sz="4" w:space="0"/>
                    <w:right w:val="single" w:color="auto" w:sz="8" w:space="0"/>
                  </w:tcBorders>
                  <w:vAlign w:val="center"/>
                </w:tcPr>
                <w:p w14:paraId="1727E8CE">
                  <w:pPr>
                    <w:spacing w:line="0" w:lineRule="atLeast"/>
                    <w:ind w:left="-105" w:leftChars="-50" w:right="-105" w:rightChars="-50"/>
                    <w:jc w:val="center"/>
                  </w:pPr>
                  <w:r>
                    <w:t>372.37</w:t>
                  </w:r>
                </w:p>
              </w:tc>
            </w:tr>
            <w:tr w14:paraId="1B7B70D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1321" w:type="dxa"/>
                  <w:vMerge w:val="continue"/>
                  <w:tcBorders>
                    <w:top w:val="single" w:color="auto" w:sz="4" w:space="0"/>
                    <w:left w:val="single" w:color="auto" w:sz="8" w:space="0"/>
                    <w:bottom w:val="single" w:color="auto" w:sz="4" w:space="0"/>
                    <w:right w:val="single" w:color="auto" w:sz="4" w:space="0"/>
                  </w:tcBorders>
                  <w:vAlign w:val="center"/>
                </w:tcPr>
                <w:p w14:paraId="3B6140B5">
                  <w:pPr>
                    <w:widowControl/>
                    <w:spacing w:line="240" w:lineRule="auto"/>
                    <w:jc w:val="left"/>
                  </w:pPr>
                </w:p>
              </w:tc>
              <w:tc>
                <w:tcPr>
                  <w:tcW w:w="849" w:type="dxa"/>
                  <w:vMerge w:val="continue"/>
                  <w:tcBorders>
                    <w:top w:val="single" w:color="auto" w:sz="4" w:space="0"/>
                    <w:left w:val="single" w:color="auto" w:sz="4" w:space="0"/>
                    <w:bottom w:val="single" w:color="auto" w:sz="4" w:space="0"/>
                    <w:right w:val="single" w:color="auto" w:sz="4" w:space="0"/>
                  </w:tcBorders>
                  <w:vAlign w:val="center"/>
                </w:tcPr>
                <w:p w14:paraId="6FA0660E">
                  <w:pPr>
                    <w:widowControl/>
                    <w:spacing w:line="240" w:lineRule="auto"/>
                    <w:jc w:val="left"/>
                  </w:pPr>
                </w:p>
              </w:tc>
              <w:tc>
                <w:tcPr>
                  <w:tcW w:w="2325" w:type="dxa"/>
                  <w:tcBorders>
                    <w:top w:val="single" w:color="auto" w:sz="4" w:space="0"/>
                    <w:left w:val="single" w:color="auto" w:sz="4" w:space="0"/>
                    <w:bottom w:val="single" w:color="auto" w:sz="4" w:space="0"/>
                    <w:right w:val="single" w:color="auto" w:sz="4" w:space="0"/>
                  </w:tcBorders>
                  <w:vAlign w:val="center"/>
                </w:tcPr>
                <w:p w14:paraId="5DA157D1">
                  <w:pPr>
                    <w:spacing w:line="0" w:lineRule="atLeast"/>
                  </w:pPr>
                  <w:r>
                    <w:rPr>
                      <w:rFonts w:hint="eastAsia"/>
                    </w:rPr>
                    <w:t>集电线路塔架基础施工结束后对施工场地进行平整，平整面积</w:t>
                  </w:r>
                  <w:r>
                    <w:rPr>
                      <w:color w:val="000000"/>
                      <w:szCs w:val="21"/>
                    </w:rPr>
                    <w:t>2.5543</w:t>
                  </w:r>
                  <w:r>
                    <w:t>hm</w:t>
                  </w:r>
                  <w:r>
                    <w:rPr>
                      <w:vertAlign w:val="superscript"/>
                    </w:rPr>
                    <w:t>2</w:t>
                  </w:r>
                </w:p>
              </w:tc>
              <w:tc>
                <w:tcPr>
                  <w:tcW w:w="2325" w:type="dxa"/>
                  <w:tcBorders>
                    <w:top w:val="single" w:color="auto" w:sz="4" w:space="0"/>
                    <w:left w:val="single" w:color="auto" w:sz="4" w:space="0"/>
                    <w:bottom w:val="single" w:color="auto" w:sz="4" w:space="0"/>
                    <w:right w:val="single" w:color="auto" w:sz="4" w:space="0"/>
                  </w:tcBorders>
                  <w:vAlign w:val="center"/>
                </w:tcPr>
                <w:p w14:paraId="5091AE1C">
                  <w:pPr>
                    <w:spacing w:line="0" w:lineRule="atLeast"/>
                  </w:pPr>
                  <w:r>
                    <w:rPr>
                      <w:rFonts w:hint="eastAsia" w:hAnsi="宋体"/>
                      <w:szCs w:val="21"/>
                    </w:rPr>
                    <w:t>场地平整后，采取播撒草种的措施进行植被恢复，恢复面积</w:t>
                  </w:r>
                  <w:r>
                    <w:rPr>
                      <w:color w:val="000000"/>
                      <w:szCs w:val="21"/>
                    </w:rPr>
                    <w:t>2.5543</w:t>
                  </w:r>
                  <w:r>
                    <w:rPr>
                      <w:rFonts w:hAnsi="宋体"/>
                      <w:szCs w:val="21"/>
                    </w:rPr>
                    <w:t>hm</w:t>
                  </w:r>
                  <w:r>
                    <w:rPr>
                      <w:rFonts w:hAnsi="宋体"/>
                      <w:szCs w:val="21"/>
                      <w:vertAlign w:val="superscript"/>
                    </w:rPr>
                    <w:t>2</w:t>
                  </w:r>
                </w:p>
              </w:tc>
              <w:tc>
                <w:tcPr>
                  <w:tcW w:w="797" w:type="dxa"/>
                  <w:vMerge w:val="continue"/>
                  <w:tcBorders>
                    <w:top w:val="single" w:color="auto" w:sz="4" w:space="0"/>
                    <w:left w:val="single" w:color="auto" w:sz="4" w:space="0"/>
                    <w:bottom w:val="single" w:color="auto" w:sz="4" w:space="0"/>
                    <w:right w:val="single" w:color="auto" w:sz="4" w:space="0"/>
                  </w:tcBorders>
                  <w:vAlign w:val="center"/>
                </w:tcPr>
                <w:p w14:paraId="00FFD195">
                  <w:pPr>
                    <w:widowControl/>
                    <w:spacing w:line="240" w:lineRule="auto"/>
                    <w:jc w:val="left"/>
                  </w:pPr>
                </w:p>
              </w:tc>
              <w:tc>
                <w:tcPr>
                  <w:tcW w:w="994" w:type="dxa"/>
                  <w:tcBorders>
                    <w:top w:val="single" w:color="auto" w:sz="4" w:space="0"/>
                    <w:left w:val="single" w:color="auto" w:sz="4" w:space="0"/>
                    <w:bottom w:val="single" w:color="auto" w:sz="4" w:space="0"/>
                    <w:right w:val="single" w:color="auto" w:sz="4" w:space="0"/>
                  </w:tcBorders>
                  <w:vAlign w:val="center"/>
                </w:tcPr>
                <w:p w14:paraId="0036C1F1">
                  <w:pPr>
                    <w:spacing w:line="0" w:lineRule="atLeast"/>
                    <w:ind w:left="-105" w:leftChars="-50" w:right="-105" w:rightChars="-50"/>
                    <w:jc w:val="center"/>
                  </w:pPr>
                  <w:r>
                    <w:t>2018</w:t>
                  </w:r>
                  <w:r>
                    <w:rPr>
                      <w:rFonts w:hint="eastAsia"/>
                    </w:rPr>
                    <w:t>年～</w:t>
                  </w:r>
                </w:p>
                <w:p w14:paraId="594CD6DF">
                  <w:pPr>
                    <w:spacing w:line="0" w:lineRule="atLeast"/>
                    <w:ind w:left="-105" w:leftChars="-50" w:right="-105" w:rightChars="-50"/>
                    <w:jc w:val="center"/>
                  </w:pPr>
                  <w:r>
                    <w:t>2019</w:t>
                  </w:r>
                  <w:r>
                    <w:rPr>
                      <w:rFonts w:hint="eastAsia"/>
                    </w:rPr>
                    <w:t>年</w:t>
                  </w:r>
                </w:p>
              </w:tc>
              <w:tc>
                <w:tcPr>
                  <w:tcW w:w="1027" w:type="dxa"/>
                  <w:vMerge w:val="continue"/>
                  <w:tcBorders>
                    <w:top w:val="single" w:color="auto" w:sz="4" w:space="0"/>
                    <w:left w:val="single" w:color="auto" w:sz="4" w:space="0"/>
                    <w:bottom w:val="single" w:color="auto" w:sz="4" w:space="0"/>
                    <w:right w:val="single" w:color="auto" w:sz="8" w:space="0"/>
                  </w:tcBorders>
                  <w:vAlign w:val="center"/>
                </w:tcPr>
                <w:p w14:paraId="428290EC">
                  <w:pPr>
                    <w:widowControl/>
                    <w:spacing w:line="240" w:lineRule="auto"/>
                    <w:jc w:val="left"/>
                  </w:pPr>
                </w:p>
              </w:tc>
            </w:tr>
            <w:tr w14:paraId="64C136F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1090" w:hRule="atLeast"/>
                <w:jc w:val="center"/>
              </w:trPr>
              <w:tc>
                <w:tcPr>
                  <w:tcW w:w="472" w:type="dxa"/>
                  <w:tcBorders>
                    <w:top w:val="single" w:color="auto" w:sz="4" w:space="0"/>
                    <w:left w:val="single" w:color="auto" w:sz="8" w:space="0"/>
                    <w:bottom w:val="single" w:color="auto" w:sz="4" w:space="0"/>
                    <w:right w:val="single" w:color="auto" w:sz="4" w:space="0"/>
                  </w:tcBorders>
                  <w:vAlign w:val="center"/>
                </w:tcPr>
                <w:p w14:paraId="23E0C5E5">
                  <w:pPr>
                    <w:spacing w:line="0" w:lineRule="atLeast"/>
                    <w:ind w:left="-105" w:leftChars="-50" w:right="-105" w:rightChars="-50"/>
                    <w:jc w:val="center"/>
                  </w:pPr>
                  <w:r>
                    <w:t>4</w:t>
                  </w:r>
                </w:p>
              </w:tc>
              <w:tc>
                <w:tcPr>
                  <w:tcW w:w="849" w:type="dxa"/>
                  <w:tcBorders>
                    <w:top w:val="single" w:color="auto" w:sz="4" w:space="0"/>
                    <w:left w:val="single" w:color="auto" w:sz="4" w:space="0"/>
                    <w:bottom w:val="single" w:color="auto" w:sz="4" w:space="0"/>
                    <w:right w:val="single" w:color="auto" w:sz="4" w:space="0"/>
                  </w:tcBorders>
                  <w:vAlign w:val="center"/>
                </w:tcPr>
                <w:p w14:paraId="79FD9FB7">
                  <w:pPr>
                    <w:spacing w:line="0" w:lineRule="atLeast"/>
                    <w:ind w:left="-105" w:leftChars="-50" w:right="-105" w:rightChars="-50"/>
                    <w:jc w:val="center"/>
                  </w:pPr>
                  <w:r>
                    <w:rPr>
                      <w:rFonts w:hint="eastAsia" w:hAnsi="宋体"/>
                      <w:szCs w:val="21"/>
                    </w:rPr>
                    <w:t>施工及检修道路防治区</w:t>
                  </w:r>
                </w:p>
              </w:tc>
              <w:tc>
                <w:tcPr>
                  <w:tcW w:w="2325" w:type="dxa"/>
                  <w:tcBorders>
                    <w:top w:val="single" w:color="auto" w:sz="4" w:space="0"/>
                    <w:left w:val="single" w:color="auto" w:sz="4" w:space="0"/>
                    <w:bottom w:val="single" w:color="auto" w:sz="4" w:space="0"/>
                    <w:right w:val="single" w:color="auto" w:sz="4" w:space="0"/>
                  </w:tcBorders>
                  <w:vAlign w:val="center"/>
                </w:tcPr>
                <w:p w14:paraId="498F1C04">
                  <w:pPr>
                    <w:spacing w:line="0" w:lineRule="atLeast"/>
                    <w:jc w:val="center"/>
                  </w:pPr>
                  <w:r>
                    <w:rPr>
                      <w:rFonts w:hint="eastAsia"/>
                    </w:rPr>
                    <w:t>—</w:t>
                  </w:r>
                </w:p>
              </w:tc>
              <w:tc>
                <w:tcPr>
                  <w:tcW w:w="2325" w:type="dxa"/>
                  <w:tcBorders>
                    <w:top w:val="single" w:color="auto" w:sz="4" w:space="0"/>
                    <w:left w:val="single" w:color="auto" w:sz="4" w:space="0"/>
                    <w:bottom w:val="single" w:color="auto" w:sz="4" w:space="0"/>
                    <w:right w:val="single" w:color="auto" w:sz="4" w:space="0"/>
                  </w:tcBorders>
                  <w:vAlign w:val="center"/>
                </w:tcPr>
                <w:p w14:paraId="4A35F56F">
                  <w:pPr>
                    <w:spacing w:line="0" w:lineRule="atLeast"/>
                    <w:rPr>
                      <w:rFonts w:hAnsi="宋体"/>
                      <w:szCs w:val="21"/>
                    </w:rPr>
                  </w:pPr>
                  <w:r>
                    <w:rPr>
                      <w:rFonts w:hint="eastAsia"/>
                    </w:rPr>
                    <w:t>施工期结束</w:t>
                  </w:r>
                  <w:r>
                    <w:rPr>
                      <w:rFonts w:hint="eastAsia" w:hAnsi="宋体"/>
                      <w:szCs w:val="21"/>
                    </w:rPr>
                    <w:t>后，</w:t>
                  </w:r>
                  <w:r>
                    <w:rPr>
                      <w:rFonts w:hAnsi="宋体"/>
                      <w:szCs w:val="21"/>
                    </w:rPr>
                    <w:t>9.0m</w:t>
                  </w:r>
                  <w:r>
                    <w:rPr>
                      <w:rFonts w:hint="eastAsia" w:hAnsi="宋体"/>
                      <w:szCs w:val="21"/>
                    </w:rPr>
                    <w:t>宽的施工道路留中间</w:t>
                  </w:r>
                  <w:r>
                    <w:rPr>
                      <w:rFonts w:hAnsi="宋体"/>
                      <w:szCs w:val="21"/>
                    </w:rPr>
                    <w:t xml:space="preserve">4.5m </w:t>
                  </w:r>
                  <w:r>
                    <w:rPr>
                      <w:rFonts w:hint="eastAsia" w:hAnsi="宋体"/>
                      <w:szCs w:val="21"/>
                    </w:rPr>
                    <w:t>宽填筑为永久检修道路，两侧各</w:t>
                  </w:r>
                  <w:r>
                    <w:rPr>
                      <w:rFonts w:hAnsi="宋体"/>
                      <w:szCs w:val="21"/>
                    </w:rPr>
                    <w:t xml:space="preserve">2.25m </w:t>
                  </w:r>
                  <w:r>
                    <w:rPr>
                      <w:rFonts w:hint="eastAsia" w:hAnsi="宋体"/>
                      <w:szCs w:val="21"/>
                    </w:rPr>
                    <w:t>宽碾压扰动区采取播撒草种的措施进行植被恢复，恢复面积</w:t>
                  </w:r>
                  <w:r>
                    <w:rPr>
                      <w:bCs/>
                      <w:kern w:val="0"/>
                      <w:szCs w:val="21"/>
                    </w:rPr>
                    <w:t>49.1612</w:t>
                  </w:r>
                  <w:r>
                    <w:rPr>
                      <w:rFonts w:hAnsi="宋体"/>
                      <w:szCs w:val="21"/>
                    </w:rPr>
                    <w:t>hm</w:t>
                  </w:r>
                  <w:r>
                    <w:rPr>
                      <w:rFonts w:hAnsi="宋体"/>
                      <w:szCs w:val="21"/>
                      <w:vertAlign w:val="superscript"/>
                    </w:rPr>
                    <w:t>2</w:t>
                  </w:r>
                </w:p>
              </w:tc>
              <w:tc>
                <w:tcPr>
                  <w:tcW w:w="797" w:type="dxa"/>
                  <w:tcBorders>
                    <w:top w:val="single" w:color="auto" w:sz="4" w:space="0"/>
                    <w:left w:val="single" w:color="auto" w:sz="4" w:space="0"/>
                    <w:bottom w:val="single" w:color="auto" w:sz="4" w:space="0"/>
                    <w:right w:val="single" w:color="auto" w:sz="4" w:space="0"/>
                  </w:tcBorders>
                  <w:vAlign w:val="center"/>
                </w:tcPr>
                <w:p w14:paraId="0388DC9C">
                  <w:pPr>
                    <w:spacing w:line="0" w:lineRule="atLeast"/>
                    <w:ind w:left="-105" w:leftChars="-50" w:right="-105" w:rightChars="-50"/>
                    <w:jc w:val="center"/>
                  </w:pPr>
                  <w:r>
                    <w:rPr>
                      <w:bCs/>
                      <w:kern w:val="0"/>
                      <w:szCs w:val="21"/>
                    </w:rPr>
                    <w:t>49.1612</w:t>
                  </w:r>
                </w:p>
              </w:tc>
              <w:tc>
                <w:tcPr>
                  <w:tcW w:w="994" w:type="dxa"/>
                  <w:tcBorders>
                    <w:top w:val="single" w:color="auto" w:sz="4" w:space="0"/>
                    <w:left w:val="single" w:color="auto" w:sz="4" w:space="0"/>
                    <w:bottom w:val="single" w:color="auto" w:sz="4" w:space="0"/>
                    <w:right w:val="single" w:color="auto" w:sz="4" w:space="0"/>
                  </w:tcBorders>
                  <w:vAlign w:val="center"/>
                </w:tcPr>
                <w:p w14:paraId="0A4A1C97">
                  <w:pPr>
                    <w:spacing w:line="0" w:lineRule="atLeast"/>
                    <w:ind w:left="-105" w:leftChars="-50" w:right="-105" w:rightChars="-50"/>
                    <w:jc w:val="center"/>
                  </w:pPr>
                  <w:r>
                    <w:t>2018</w:t>
                  </w:r>
                  <w:r>
                    <w:rPr>
                      <w:rFonts w:hint="eastAsia"/>
                    </w:rPr>
                    <w:t>年～</w:t>
                  </w:r>
                </w:p>
                <w:p w14:paraId="51A2E127">
                  <w:pPr>
                    <w:spacing w:line="0" w:lineRule="atLeast"/>
                    <w:ind w:left="-105" w:leftChars="-50" w:right="-105" w:rightChars="-50"/>
                    <w:jc w:val="center"/>
                  </w:pPr>
                  <w:r>
                    <w:t>2019</w:t>
                  </w:r>
                  <w:r>
                    <w:rPr>
                      <w:rFonts w:hint="eastAsia"/>
                    </w:rPr>
                    <w:t>年</w:t>
                  </w:r>
                </w:p>
              </w:tc>
              <w:tc>
                <w:tcPr>
                  <w:tcW w:w="1027" w:type="dxa"/>
                  <w:tcBorders>
                    <w:top w:val="single" w:color="auto" w:sz="4" w:space="0"/>
                    <w:left w:val="single" w:color="auto" w:sz="4" w:space="0"/>
                    <w:bottom w:val="single" w:color="auto" w:sz="4" w:space="0"/>
                    <w:right w:val="single" w:color="auto" w:sz="8" w:space="0"/>
                  </w:tcBorders>
                  <w:vAlign w:val="center"/>
                </w:tcPr>
                <w:p w14:paraId="7C7EDBF2">
                  <w:pPr>
                    <w:spacing w:line="0" w:lineRule="atLeast"/>
                    <w:ind w:left="-105" w:leftChars="-50" w:right="-105" w:rightChars="-50"/>
                    <w:jc w:val="center"/>
                  </w:pPr>
                  <w:r>
                    <w:t>16.47</w:t>
                  </w:r>
                </w:p>
              </w:tc>
            </w:tr>
            <w:tr w14:paraId="19805B9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472" w:type="dxa"/>
                  <w:vMerge w:val="restart"/>
                  <w:tcBorders>
                    <w:top w:val="single" w:color="auto" w:sz="4" w:space="0"/>
                    <w:left w:val="single" w:color="auto" w:sz="8" w:space="0"/>
                    <w:bottom w:val="single" w:color="auto" w:sz="4" w:space="0"/>
                    <w:right w:val="single" w:color="auto" w:sz="4" w:space="0"/>
                  </w:tcBorders>
                  <w:vAlign w:val="center"/>
                </w:tcPr>
                <w:p w14:paraId="29D93177">
                  <w:pPr>
                    <w:spacing w:line="0" w:lineRule="atLeast"/>
                    <w:ind w:left="-105" w:leftChars="-50" w:right="-105" w:rightChars="-50"/>
                    <w:jc w:val="center"/>
                  </w:pPr>
                  <w:r>
                    <w:t>5</w:t>
                  </w:r>
                </w:p>
              </w:tc>
              <w:tc>
                <w:tcPr>
                  <w:tcW w:w="849" w:type="dxa"/>
                  <w:vMerge w:val="restart"/>
                  <w:tcBorders>
                    <w:top w:val="single" w:color="auto" w:sz="4" w:space="0"/>
                    <w:left w:val="single" w:color="auto" w:sz="4" w:space="0"/>
                    <w:bottom w:val="single" w:color="auto" w:sz="4" w:space="0"/>
                    <w:right w:val="single" w:color="auto" w:sz="4" w:space="0"/>
                  </w:tcBorders>
                  <w:vAlign w:val="center"/>
                </w:tcPr>
                <w:p w14:paraId="2A6F162B">
                  <w:pPr>
                    <w:spacing w:line="0" w:lineRule="atLeast"/>
                    <w:jc w:val="center"/>
                    <w:rPr>
                      <w:rFonts w:hAnsi="宋体"/>
                      <w:szCs w:val="21"/>
                    </w:rPr>
                  </w:pPr>
                  <w:r>
                    <w:rPr>
                      <w:rFonts w:hint="eastAsia" w:hAnsi="宋体"/>
                      <w:szCs w:val="21"/>
                    </w:rPr>
                    <w:t>施工生产生活防治区</w:t>
                  </w:r>
                </w:p>
              </w:tc>
              <w:tc>
                <w:tcPr>
                  <w:tcW w:w="2325" w:type="dxa"/>
                  <w:tcBorders>
                    <w:top w:val="single" w:color="auto" w:sz="4" w:space="0"/>
                    <w:left w:val="single" w:color="auto" w:sz="4" w:space="0"/>
                    <w:bottom w:val="single" w:color="auto" w:sz="4" w:space="0"/>
                    <w:right w:val="single" w:color="auto" w:sz="4" w:space="0"/>
                  </w:tcBorders>
                  <w:vAlign w:val="center"/>
                </w:tcPr>
                <w:p w14:paraId="44801E7E">
                  <w:pPr>
                    <w:spacing w:line="0" w:lineRule="atLeast"/>
                  </w:pPr>
                  <w:r>
                    <w:rPr>
                      <w:rFonts w:hint="eastAsia" w:hAnsi="宋体"/>
                      <w:szCs w:val="21"/>
                    </w:rPr>
                    <w:t>施工期对表土进行剥离，表土量</w:t>
                  </w:r>
                  <w:r>
                    <w:rPr>
                      <w:rFonts w:hAnsi="宋体"/>
                      <w:szCs w:val="21"/>
                    </w:rPr>
                    <w:t>7200m</w:t>
                  </w:r>
                  <w:r>
                    <w:rPr>
                      <w:rFonts w:hAnsi="宋体"/>
                      <w:szCs w:val="21"/>
                      <w:vertAlign w:val="superscript"/>
                    </w:rPr>
                    <w:t>3</w:t>
                  </w:r>
                  <w:r>
                    <w:rPr>
                      <w:rFonts w:hint="eastAsia" w:hAnsi="宋体"/>
                      <w:szCs w:val="21"/>
                    </w:rPr>
                    <w:t>，集中堆放在</w:t>
                  </w:r>
                  <w:r>
                    <w:rPr>
                      <w:rFonts w:hint="eastAsia"/>
                    </w:rPr>
                    <w:t>施工场地空地</w:t>
                  </w:r>
                  <w:r>
                    <w:rPr>
                      <w:rFonts w:hint="eastAsia" w:hAnsi="宋体"/>
                      <w:szCs w:val="21"/>
                    </w:rPr>
                    <w:t>，用于后期覆土后植被恢复</w:t>
                  </w:r>
                </w:p>
              </w:tc>
              <w:tc>
                <w:tcPr>
                  <w:tcW w:w="2325" w:type="dxa"/>
                  <w:tcBorders>
                    <w:top w:val="single" w:color="auto" w:sz="4" w:space="0"/>
                    <w:left w:val="single" w:color="auto" w:sz="4" w:space="0"/>
                    <w:bottom w:val="single" w:color="auto" w:sz="4" w:space="0"/>
                    <w:right w:val="single" w:color="auto" w:sz="4" w:space="0"/>
                  </w:tcBorders>
                  <w:vAlign w:val="center"/>
                </w:tcPr>
                <w:p w14:paraId="3351FEF0">
                  <w:pPr>
                    <w:spacing w:line="0" w:lineRule="atLeast"/>
                    <w:ind w:left="-105" w:leftChars="-50" w:right="-105" w:rightChars="-50"/>
                    <w:jc w:val="center"/>
                  </w:pPr>
                  <w:r>
                    <w:rPr>
                      <w:rFonts w:hint="eastAsia"/>
                    </w:rPr>
                    <w:t>—</w:t>
                  </w:r>
                </w:p>
              </w:tc>
              <w:tc>
                <w:tcPr>
                  <w:tcW w:w="797" w:type="dxa"/>
                  <w:vMerge w:val="restart"/>
                  <w:tcBorders>
                    <w:top w:val="single" w:color="auto" w:sz="4" w:space="0"/>
                    <w:left w:val="single" w:color="auto" w:sz="4" w:space="0"/>
                    <w:bottom w:val="single" w:color="auto" w:sz="4" w:space="0"/>
                    <w:right w:val="single" w:color="auto" w:sz="4" w:space="0"/>
                  </w:tcBorders>
                  <w:vAlign w:val="center"/>
                </w:tcPr>
                <w:p w14:paraId="339CC033">
                  <w:pPr>
                    <w:spacing w:line="0" w:lineRule="atLeast"/>
                    <w:ind w:left="-105" w:leftChars="-50" w:right="-105" w:rightChars="-50"/>
                    <w:jc w:val="center"/>
                  </w:pPr>
                  <w:r>
                    <w:rPr>
                      <w:bCs/>
                      <w:kern w:val="0"/>
                      <w:szCs w:val="21"/>
                    </w:rPr>
                    <w:t>2.4000</w:t>
                  </w:r>
                </w:p>
              </w:tc>
              <w:tc>
                <w:tcPr>
                  <w:tcW w:w="994" w:type="dxa"/>
                  <w:tcBorders>
                    <w:top w:val="single" w:color="auto" w:sz="4" w:space="0"/>
                    <w:left w:val="single" w:color="auto" w:sz="4" w:space="0"/>
                    <w:bottom w:val="single" w:color="auto" w:sz="4" w:space="0"/>
                    <w:right w:val="single" w:color="auto" w:sz="4" w:space="0"/>
                  </w:tcBorders>
                  <w:vAlign w:val="center"/>
                </w:tcPr>
                <w:p w14:paraId="2038558A">
                  <w:pPr>
                    <w:spacing w:line="0" w:lineRule="atLeast"/>
                    <w:ind w:left="-105" w:leftChars="-50" w:right="-105" w:rightChars="-50"/>
                    <w:jc w:val="center"/>
                  </w:pPr>
                  <w:r>
                    <w:t>2018</w:t>
                  </w:r>
                  <w:r>
                    <w:rPr>
                      <w:rFonts w:hint="eastAsia"/>
                    </w:rPr>
                    <w:t>年</w:t>
                  </w:r>
                </w:p>
              </w:tc>
              <w:tc>
                <w:tcPr>
                  <w:tcW w:w="1027" w:type="dxa"/>
                  <w:vMerge w:val="restart"/>
                  <w:tcBorders>
                    <w:top w:val="single" w:color="auto" w:sz="4" w:space="0"/>
                    <w:left w:val="single" w:color="auto" w:sz="4" w:space="0"/>
                    <w:bottom w:val="single" w:color="auto" w:sz="4" w:space="0"/>
                    <w:right w:val="single" w:color="auto" w:sz="8" w:space="0"/>
                  </w:tcBorders>
                  <w:vAlign w:val="center"/>
                </w:tcPr>
                <w:p w14:paraId="37ECD291">
                  <w:pPr>
                    <w:spacing w:line="0" w:lineRule="atLeast"/>
                    <w:ind w:left="-105" w:leftChars="-50" w:right="-105" w:rightChars="-50"/>
                    <w:jc w:val="center"/>
                  </w:pPr>
                  <w:r>
                    <w:t>4.24</w:t>
                  </w:r>
                </w:p>
              </w:tc>
            </w:tr>
            <w:tr w14:paraId="4BFEFD9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1321" w:type="dxa"/>
                  <w:vMerge w:val="continue"/>
                  <w:tcBorders>
                    <w:top w:val="single" w:color="auto" w:sz="4" w:space="0"/>
                    <w:left w:val="single" w:color="auto" w:sz="8" w:space="0"/>
                    <w:bottom w:val="single" w:color="auto" w:sz="4" w:space="0"/>
                    <w:right w:val="single" w:color="auto" w:sz="4" w:space="0"/>
                  </w:tcBorders>
                  <w:vAlign w:val="center"/>
                </w:tcPr>
                <w:p w14:paraId="2B8258AD">
                  <w:pPr>
                    <w:widowControl/>
                    <w:spacing w:line="240" w:lineRule="auto"/>
                    <w:jc w:val="left"/>
                  </w:pPr>
                </w:p>
              </w:tc>
              <w:tc>
                <w:tcPr>
                  <w:tcW w:w="849" w:type="dxa"/>
                  <w:vMerge w:val="continue"/>
                  <w:tcBorders>
                    <w:top w:val="single" w:color="auto" w:sz="4" w:space="0"/>
                    <w:left w:val="single" w:color="auto" w:sz="4" w:space="0"/>
                    <w:bottom w:val="single" w:color="auto" w:sz="4" w:space="0"/>
                    <w:right w:val="single" w:color="auto" w:sz="4" w:space="0"/>
                  </w:tcBorders>
                  <w:vAlign w:val="center"/>
                </w:tcPr>
                <w:p w14:paraId="69A12BE7">
                  <w:pPr>
                    <w:widowControl/>
                    <w:spacing w:line="240" w:lineRule="auto"/>
                    <w:jc w:val="left"/>
                    <w:rPr>
                      <w:rFonts w:hAnsi="宋体"/>
                      <w:szCs w:val="21"/>
                    </w:rPr>
                  </w:pPr>
                </w:p>
              </w:tc>
              <w:tc>
                <w:tcPr>
                  <w:tcW w:w="2325" w:type="dxa"/>
                  <w:tcBorders>
                    <w:top w:val="single" w:color="auto" w:sz="4" w:space="0"/>
                    <w:left w:val="single" w:color="auto" w:sz="4" w:space="0"/>
                    <w:bottom w:val="single" w:color="auto" w:sz="4" w:space="0"/>
                    <w:right w:val="single" w:color="auto" w:sz="4" w:space="0"/>
                  </w:tcBorders>
                  <w:vAlign w:val="center"/>
                </w:tcPr>
                <w:p w14:paraId="1C9D0AFC">
                  <w:pPr>
                    <w:spacing w:line="0" w:lineRule="atLeast"/>
                  </w:pPr>
                  <w:r>
                    <w:rPr>
                      <w:rFonts w:hint="eastAsia" w:hAnsi="宋体"/>
                      <w:szCs w:val="21"/>
                    </w:rPr>
                    <w:t>施工期结束后对施工生产生活扰动区进行平整，平整面积</w:t>
                  </w:r>
                  <w:r>
                    <w:rPr>
                      <w:bCs/>
                      <w:kern w:val="0"/>
                      <w:szCs w:val="21"/>
                    </w:rPr>
                    <w:t>2.4000</w:t>
                  </w:r>
                  <w:r>
                    <w:rPr>
                      <w:rFonts w:hAnsi="宋体"/>
                      <w:szCs w:val="21"/>
                    </w:rPr>
                    <w:t>hm</w:t>
                  </w:r>
                  <w:r>
                    <w:rPr>
                      <w:rFonts w:hAnsi="宋体"/>
                      <w:szCs w:val="21"/>
                      <w:vertAlign w:val="superscript"/>
                    </w:rPr>
                    <w:t>2</w:t>
                  </w:r>
                </w:p>
              </w:tc>
              <w:tc>
                <w:tcPr>
                  <w:tcW w:w="2325" w:type="dxa"/>
                  <w:tcBorders>
                    <w:top w:val="single" w:color="auto" w:sz="4" w:space="0"/>
                    <w:left w:val="single" w:color="auto" w:sz="4" w:space="0"/>
                    <w:bottom w:val="single" w:color="auto" w:sz="4" w:space="0"/>
                    <w:right w:val="single" w:color="auto" w:sz="4" w:space="0"/>
                  </w:tcBorders>
                  <w:vAlign w:val="center"/>
                </w:tcPr>
                <w:p w14:paraId="7CBFCA0F">
                  <w:pPr>
                    <w:spacing w:line="0" w:lineRule="atLeast"/>
                  </w:pPr>
                  <w:r>
                    <w:rPr>
                      <w:rFonts w:hint="eastAsia" w:hAnsi="宋体"/>
                      <w:szCs w:val="21"/>
                    </w:rPr>
                    <w:t>场地平整后，采取播撒草种的措施进行植被恢复，恢复面积</w:t>
                  </w:r>
                  <w:r>
                    <w:rPr>
                      <w:bCs/>
                      <w:kern w:val="0"/>
                      <w:szCs w:val="21"/>
                    </w:rPr>
                    <w:t>2.4000</w:t>
                  </w:r>
                  <w:r>
                    <w:rPr>
                      <w:rFonts w:hAnsi="宋体"/>
                      <w:szCs w:val="21"/>
                    </w:rPr>
                    <w:t>hm</w:t>
                  </w:r>
                  <w:r>
                    <w:rPr>
                      <w:rFonts w:hAnsi="宋体"/>
                      <w:szCs w:val="21"/>
                      <w:vertAlign w:val="superscript"/>
                    </w:rPr>
                    <w:t>2</w:t>
                  </w:r>
                </w:p>
              </w:tc>
              <w:tc>
                <w:tcPr>
                  <w:tcW w:w="797" w:type="dxa"/>
                  <w:vMerge w:val="continue"/>
                  <w:tcBorders>
                    <w:top w:val="single" w:color="auto" w:sz="4" w:space="0"/>
                    <w:left w:val="single" w:color="auto" w:sz="4" w:space="0"/>
                    <w:bottom w:val="single" w:color="auto" w:sz="4" w:space="0"/>
                    <w:right w:val="single" w:color="auto" w:sz="4" w:space="0"/>
                  </w:tcBorders>
                  <w:vAlign w:val="center"/>
                </w:tcPr>
                <w:p w14:paraId="3FE376B1">
                  <w:pPr>
                    <w:widowControl/>
                    <w:spacing w:line="240" w:lineRule="auto"/>
                    <w:jc w:val="left"/>
                  </w:pPr>
                </w:p>
              </w:tc>
              <w:tc>
                <w:tcPr>
                  <w:tcW w:w="994" w:type="dxa"/>
                  <w:tcBorders>
                    <w:top w:val="single" w:color="auto" w:sz="4" w:space="0"/>
                    <w:left w:val="single" w:color="auto" w:sz="4" w:space="0"/>
                    <w:bottom w:val="single" w:color="auto" w:sz="4" w:space="0"/>
                    <w:right w:val="single" w:color="auto" w:sz="4" w:space="0"/>
                  </w:tcBorders>
                  <w:vAlign w:val="center"/>
                </w:tcPr>
                <w:p w14:paraId="0AE5D31B">
                  <w:pPr>
                    <w:spacing w:line="0" w:lineRule="atLeast"/>
                    <w:ind w:left="-105" w:leftChars="-50" w:right="-105" w:rightChars="-50"/>
                    <w:jc w:val="center"/>
                  </w:pPr>
                  <w:r>
                    <w:t>2018</w:t>
                  </w:r>
                  <w:r>
                    <w:rPr>
                      <w:rFonts w:hint="eastAsia"/>
                    </w:rPr>
                    <w:t>年～</w:t>
                  </w:r>
                </w:p>
                <w:p w14:paraId="1656CE45">
                  <w:pPr>
                    <w:spacing w:line="0" w:lineRule="atLeast"/>
                    <w:ind w:left="-105" w:leftChars="-50" w:right="-105" w:rightChars="-50"/>
                    <w:jc w:val="center"/>
                  </w:pPr>
                  <w:r>
                    <w:t>2019</w:t>
                  </w:r>
                  <w:r>
                    <w:rPr>
                      <w:rFonts w:hint="eastAsia"/>
                    </w:rPr>
                    <w:t>年</w:t>
                  </w:r>
                </w:p>
              </w:tc>
              <w:tc>
                <w:tcPr>
                  <w:tcW w:w="1027" w:type="dxa"/>
                  <w:vMerge w:val="continue"/>
                  <w:tcBorders>
                    <w:top w:val="single" w:color="auto" w:sz="4" w:space="0"/>
                    <w:left w:val="single" w:color="auto" w:sz="4" w:space="0"/>
                    <w:bottom w:val="single" w:color="auto" w:sz="4" w:space="0"/>
                    <w:right w:val="single" w:color="auto" w:sz="8" w:space="0"/>
                  </w:tcBorders>
                  <w:vAlign w:val="center"/>
                </w:tcPr>
                <w:p w14:paraId="3EE871CA">
                  <w:pPr>
                    <w:widowControl/>
                    <w:spacing w:line="240" w:lineRule="auto"/>
                    <w:jc w:val="left"/>
                  </w:pPr>
                </w:p>
              </w:tc>
            </w:tr>
            <w:tr w14:paraId="57BBC01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472" w:type="dxa"/>
                  <w:tcBorders>
                    <w:top w:val="single" w:color="auto" w:sz="4" w:space="0"/>
                    <w:left w:val="single" w:color="auto" w:sz="8" w:space="0"/>
                    <w:bottom w:val="single" w:color="auto" w:sz="4" w:space="0"/>
                    <w:right w:val="single" w:color="auto" w:sz="4" w:space="0"/>
                  </w:tcBorders>
                  <w:vAlign w:val="center"/>
                </w:tcPr>
                <w:p w14:paraId="627114D6">
                  <w:pPr>
                    <w:spacing w:line="0" w:lineRule="atLeast"/>
                    <w:ind w:left="-105" w:leftChars="-50" w:right="-105" w:rightChars="-50"/>
                    <w:jc w:val="center"/>
                  </w:pPr>
                  <w:r>
                    <w:t>6</w:t>
                  </w:r>
                </w:p>
              </w:tc>
              <w:tc>
                <w:tcPr>
                  <w:tcW w:w="849" w:type="dxa"/>
                  <w:tcBorders>
                    <w:top w:val="single" w:color="auto" w:sz="4" w:space="0"/>
                    <w:left w:val="single" w:color="auto" w:sz="4" w:space="0"/>
                    <w:bottom w:val="single" w:color="auto" w:sz="4" w:space="0"/>
                    <w:right w:val="single" w:color="auto" w:sz="4" w:space="0"/>
                  </w:tcBorders>
                  <w:vAlign w:val="center"/>
                </w:tcPr>
                <w:p w14:paraId="13827FD5">
                  <w:pPr>
                    <w:autoSpaceDE w:val="0"/>
                    <w:autoSpaceDN w:val="0"/>
                    <w:adjustRightInd w:val="0"/>
                    <w:spacing w:line="240" w:lineRule="atLeast"/>
                    <w:ind w:left="-105" w:leftChars="-50" w:right="-105" w:rightChars="-50"/>
                    <w:jc w:val="center"/>
                    <w:rPr>
                      <w:rFonts w:hAnsi="宋体"/>
                      <w:szCs w:val="21"/>
                    </w:rPr>
                  </w:pPr>
                  <w:r>
                    <w:rPr>
                      <w:rFonts w:hint="eastAsia" w:hAnsi="宋体"/>
                      <w:szCs w:val="21"/>
                    </w:rPr>
                    <w:t>进站道路防治区</w:t>
                  </w:r>
                </w:p>
              </w:tc>
              <w:tc>
                <w:tcPr>
                  <w:tcW w:w="2325" w:type="dxa"/>
                  <w:tcBorders>
                    <w:top w:val="single" w:color="auto" w:sz="4" w:space="0"/>
                    <w:left w:val="single" w:color="auto" w:sz="4" w:space="0"/>
                    <w:bottom w:val="single" w:color="auto" w:sz="4" w:space="0"/>
                    <w:right w:val="single" w:color="auto" w:sz="4" w:space="0"/>
                  </w:tcBorders>
                  <w:vAlign w:val="center"/>
                </w:tcPr>
                <w:p w14:paraId="597EFB53">
                  <w:pPr>
                    <w:spacing w:line="0" w:lineRule="atLeast"/>
                    <w:ind w:left="-105" w:leftChars="-50" w:right="-105" w:rightChars="-50"/>
                    <w:jc w:val="center"/>
                  </w:pPr>
                  <w:r>
                    <w:rPr>
                      <w:rFonts w:hint="eastAsia"/>
                    </w:rPr>
                    <w:t>—</w:t>
                  </w:r>
                </w:p>
              </w:tc>
              <w:tc>
                <w:tcPr>
                  <w:tcW w:w="2325" w:type="dxa"/>
                  <w:tcBorders>
                    <w:top w:val="single" w:color="auto" w:sz="4" w:space="0"/>
                    <w:left w:val="single" w:color="auto" w:sz="4" w:space="0"/>
                    <w:bottom w:val="single" w:color="auto" w:sz="4" w:space="0"/>
                    <w:right w:val="single" w:color="auto" w:sz="4" w:space="0"/>
                  </w:tcBorders>
                  <w:vAlign w:val="center"/>
                </w:tcPr>
                <w:p w14:paraId="6DC71024">
                  <w:pPr>
                    <w:spacing w:line="0" w:lineRule="atLeast"/>
                  </w:pPr>
                  <w:r>
                    <w:rPr>
                      <w:rFonts w:hint="eastAsia" w:hAnsi="宋体"/>
                      <w:szCs w:val="21"/>
                    </w:rPr>
                    <w:t>升压站建设完成后，</w:t>
                  </w:r>
                  <w:r>
                    <w:rPr>
                      <w:rFonts w:hint="eastAsia"/>
                    </w:rPr>
                    <w:t>进站道路两侧各</w:t>
                  </w:r>
                  <w:r>
                    <w:t>2.0m</w:t>
                  </w:r>
                  <w:r>
                    <w:rPr>
                      <w:rFonts w:hint="eastAsia"/>
                    </w:rPr>
                    <w:t>宽施工区进行</w:t>
                  </w:r>
                  <w:r>
                    <w:rPr>
                      <w:rFonts w:hint="eastAsia" w:hAnsi="宋体"/>
                      <w:szCs w:val="21"/>
                    </w:rPr>
                    <w:t>植被恢复，恢复面积</w:t>
                  </w:r>
                  <w:r>
                    <w:rPr>
                      <w:rFonts w:hAnsi="宋体"/>
                      <w:szCs w:val="21"/>
                    </w:rPr>
                    <w:t>0.4908hm</w:t>
                  </w:r>
                  <w:r>
                    <w:rPr>
                      <w:rFonts w:hAnsi="宋体"/>
                      <w:szCs w:val="21"/>
                      <w:vertAlign w:val="superscript"/>
                    </w:rPr>
                    <w:t>2</w:t>
                  </w:r>
                </w:p>
              </w:tc>
              <w:tc>
                <w:tcPr>
                  <w:tcW w:w="797" w:type="dxa"/>
                  <w:tcBorders>
                    <w:top w:val="single" w:color="auto" w:sz="4" w:space="0"/>
                    <w:left w:val="single" w:color="auto" w:sz="4" w:space="0"/>
                    <w:bottom w:val="single" w:color="auto" w:sz="4" w:space="0"/>
                    <w:right w:val="single" w:color="auto" w:sz="4" w:space="0"/>
                  </w:tcBorders>
                  <w:vAlign w:val="center"/>
                </w:tcPr>
                <w:p w14:paraId="2280B53A">
                  <w:pPr>
                    <w:spacing w:line="0" w:lineRule="atLeast"/>
                    <w:ind w:left="-105" w:leftChars="-50" w:right="-105" w:rightChars="-50"/>
                    <w:jc w:val="center"/>
                  </w:pPr>
                  <w:r>
                    <w:rPr>
                      <w:rFonts w:hAnsi="宋体"/>
                      <w:szCs w:val="21"/>
                    </w:rPr>
                    <w:t>0.4908</w:t>
                  </w:r>
                </w:p>
              </w:tc>
              <w:tc>
                <w:tcPr>
                  <w:tcW w:w="994" w:type="dxa"/>
                  <w:tcBorders>
                    <w:top w:val="single" w:color="auto" w:sz="4" w:space="0"/>
                    <w:left w:val="single" w:color="auto" w:sz="4" w:space="0"/>
                    <w:bottom w:val="single" w:color="auto" w:sz="4" w:space="0"/>
                    <w:right w:val="single" w:color="auto" w:sz="4" w:space="0"/>
                  </w:tcBorders>
                  <w:vAlign w:val="center"/>
                </w:tcPr>
                <w:p w14:paraId="1B08B7F1">
                  <w:pPr>
                    <w:spacing w:line="0" w:lineRule="atLeast"/>
                    <w:ind w:left="-105" w:leftChars="-50" w:right="-105" w:rightChars="-50"/>
                    <w:jc w:val="center"/>
                  </w:pPr>
                  <w:r>
                    <w:t>2018</w:t>
                  </w:r>
                  <w:r>
                    <w:rPr>
                      <w:rFonts w:hint="eastAsia"/>
                    </w:rPr>
                    <w:t>年～</w:t>
                  </w:r>
                </w:p>
                <w:p w14:paraId="02B293A3">
                  <w:pPr>
                    <w:spacing w:line="0" w:lineRule="atLeast"/>
                    <w:ind w:left="-105" w:leftChars="-50" w:right="-105" w:rightChars="-50"/>
                    <w:jc w:val="center"/>
                  </w:pPr>
                  <w:r>
                    <w:t>2019</w:t>
                  </w:r>
                  <w:r>
                    <w:rPr>
                      <w:rFonts w:hint="eastAsia"/>
                    </w:rPr>
                    <w:t>年</w:t>
                  </w:r>
                </w:p>
              </w:tc>
              <w:tc>
                <w:tcPr>
                  <w:tcW w:w="1027" w:type="dxa"/>
                  <w:tcBorders>
                    <w:top w:val="single" w:color="auto" w:sz="4" w:space="0"/>
                    <w:left w:val="single" w:color="auto" w:sz="4" w:space="0"/>
                    <w:bottom w:val="single" w:color="auto" w:sz="4" w:space="0"/>
                    <w:right w:val="single" w:color="auto" w:sz="8" w:space="0"/>
                  </w:tcBorders>
                  <w:vAlign w:val="center"/>
                </w:tcPr>
                <w:p w14:paraId="62284FF5">
                  <w:pPr>
                    <w:spacing w:line="0" w:lineRule="atLeast"/>
                    <w:ind w:left="-105" w:leftChars="-50" w:right="-105" w:rightChars="-50"/>
                    <w:jc w:val="center"/>
                  </w:pPr>
                  <w:r>
                    <w:t>1.89</w:t>
                  </w:r>
                </w:p>
              </w:tc>
            </w:tr>
            <w:tr w14:paraId="3D3AF6B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1321" w:type="dxa"/>
                  <w:gridSpan w:val="2"/>
                  <w:tcBorders>
                    <w:top w:val="single" w:color="auto" w:sz="4" w:space="0"/>
                    <w:left w:val="single" w:color="auto" w:sz="8" w:space="0"/>
                    <w:bottom w:val="single" w:color="auto" w:sz="8" w:space="0"/>
                    <w:right w:val="single" w:color="auto" w:sz="4" w:space="0"/>
                  </w:tcBorders>
                  <w:vAlign w:val="center"/>
                </w:tcPr>
                <w:p w14:paraId="367C3359">
                  <w:pPr>
                    <w:spacing w:line="0" w:lineRule="atLeast"/>
                    <w:jc w:val="center"/>
                    <w:rPr>
                      <w:rFonts w:hAnsi="宋体"/>
                      <w:szCs w:val="21"/>
                    </w:rPr>
                  </w:pPr>
                  <w:r>
                    <w:rPr>
                      <w:rFonts w:hint="eastAsia" w:hAnsi="宋体"/>
                      <w:szCs w:val="21"/>
                    </w:rPr>
                    <w:t>合计</w:t>
                  </w:r>
                </w:p>
              </w:tc>
              <w:tc>
                <w:tcPr>
                  <w:tcW w:w="2325" w:type="dxa"/>
                  <w:tcBorders>
                    <w:top w:val="single" w:color="auto" w:sz="4" w:space="0"/>
                    <w:left w:val="single" w:color="auto" w:sz="4" w:space="0"/>
                    <w:bottom w:val="single" w:color="auto" w:sz="8" w:space="0"/>
                    <w:right w:val="single" w:color="auto" w:sz="4" w:space="0"/>
                  </w:tcBorders>
                  <w:vAlign w:val="center"/>
                </w:tcPr>
                <w:p w14:paraId="0304CC4C">
                  <w:pPr>
                    <w:spacing w:line="0" w:lineRule="atLeast"/>
                    <w:ind w:left="-105" w:leftChars="-50" w:right="-105" w:rightChars="-50"/>
                    <w:jc w:val="center"/>
                  </w:pPr>
                  <w:r>
                    <w:rPr>
                      <w:rFonts w:hint="eastAsia" w:hAnsi="宋体"/>
                      <w:szCs w:val="21"/>
                    </w:rPr>
                    <w:t>—</w:t>
                  </w:r>
                </w:p>
              </w:tc>
              <w:tc>
                <w:tcPr>
                  <w:tcW w:w="2325" w:type="dxa"/>
                  <w:tcBorders>
                    <w:top w:val="single" w:color="auto" w:sz="4" w:space="0"/>
                    <w:left w:val="single" w:color="auto" w:sz="4" w:space="0"/>
                    <w:bottom w:val="single" w:color="auto" w:sz="8" w:space="0"/>
                    <w:right w:val="single" w:color="auto" w:sz="4" w:space="0"/>
                  </w:tcBorders>
                  <w:vAlign w:val="center"/>
                </w:tcPr>
                <w:p w14:paraId="38F1DAEE">
                  <w:pPr>
                    <w:spacing w:line="0" w:lineRule="atLeast"/>
                    <w:ind w:left="-105" w:leftChars="-50" w:right="-105" w:rightChars="-50"/>
                    <w:jc w:val="center"/>
                  </w:pPr>
                  <w:r>
                    <w:rPr>
                      <w:rFonts w:hint="eastAsia" w:hAnsi="宋体"/>
                      <w:szCs w:val="21"/>
                    </w:rPr>
                    <w:t>—</w:t>
                  </w:r>
                </w:p>
              </w:tc>
              <w:tc>
                <w:tcPr>
                  <w:tcW w:w="797" w:type="dxa"/>
                  <w:tcBorders>
                    <w:top w:val="single" w:color="auto" w:sz="4" w:space="0"/>
                    <w:left w:val="single" w:color="auto" w:sz="4" w:space="0"/>
                    <w:bottom w:val="single" w:color="auto" w:sz="8" w:space="0"/>
                    <w:right w:val="single" w:color="auto" w:sz="4" w:space="0"/>
                  </w:tcBorders>
                  <w:vAlign w:val="center"/>
                </w:tcPr>
                <w:p w14:paraId="031A6835">
                  <w:pPr>
                    <w:spacing w:line="0" w:lineRule="atLeast"/>
                    <w:ind w:left="-105" w:leftChars="-50" w:right="-105" w:rightChars="-50"/>
                    <w:jc w:val="center"/>
                  </w:pPr>
                  <w:r>
                    <w:t>59.7806</w:t>
                  </w:r>
                </w:p>
              </w:tc>
              <w:tc>
                <w:tcPr>
                  <w:tcW w:w="994" w:type="dxa"/>
                  <w:tcBorders>
                    <w:top w:val="single" w:color="auto" w:sz="4" w:space="0"/>
                    <w:left w:val="single" w:color="auto" w:sz="4" w:space="0"/>
                    <w:bottom w:val="single" w:color="auto" w:sz="8" w:space="0"/>
                    <w:right w:val="single" w:color="auto" w:sz="4" w:space="0"/>
                  </w:tcBorders>
                  <w:vAlign w:val="center"/>
                </w:tcPr>
                <w:p w14:paraId="72396550">
                  <w:pPr>
                    <w:spacing w:line="0" w:lineRule="atLeast"/>
                    <w:ind w:left="-105" w:leftChars="-50" w:right="-105" w:rightChars="-50"/>
                    <w:jc w:val="center"/>
                  </w:pPr>
                  <w:r>
                    <w:rPr>
                      <w:rFonts w:hint="eastAsia" w:hAnsi="宋体"/>
                      <w:szCs w:val="21"/>
                    </w:rPr>
                    <w:t>—</w:t>
                  </w:r>
                </w:p>
              </w:tc>
              <w:tc>
                <w:tcPr>
                  <w:tcW w:w="1027" w:type="dxa"/>
                  <w:tcBorders>
                    <w:top w:val="single" w:color="auto" w:sz="4" w:space="0"/>
                    <w:left w:val="single" w:color="auto" w:sz="4" w:space="0"/>
                    <w:bottom w:val="single" w:color="auto" w:sz="8" w:space="0"/>
                    <w:right w:val="single" w:color="auto" w:sz="8" w:space="0"/>
                  </w:tcBorders>
                  <w:vAlign w:val="center"/>
                </w:tcPr>
                <w:p w14:paraId="6DA9536A">
                  <w:pPr>
                    <w:spacing w:line="0" w:lineRule="atLeast"/>
                    <w:ind w:left="-105" w:leftChars="-50" w:right="-105" w:rightChars="-50"/>
                    <w:jc w:val="center"/>
                  </w:pPr>
                  <w:r>
                    <w:t>574.31</w:t>
                  </w:r>
                </w:p>
              </w:tc>
            </w:tr>
          </w:tbl>
          <w:p w14:paraId="7E4B6E5F">
            <w:pPr>
              <w:spacing w:beforeLines="50"/>
              <w:ind w:firstLine="480" w:firstLineChars="200"/>
              <w:rPr>
                <w:color w:val="000000"/>
                <w:sz w:val="24"/>
              </w:rPr>
            </w:pPr>
            <w:r>
              <w:rPr>
                <w:color w:val="000000"/>
                <w:sz w:val="24"/>
              </w:rPr>
              <w:t>6</w:t>
            </w:r>
            <w:r>
              <w:rPr>
                <w:rFonts w:hint="eastAsia"/>
                <w:color w:val="000000"/>
                <w:sz w:val="24"/>
              </w:rPr>
              <w:t>、光影闪烁影响</w:t>
            </w:r>
          </w:p>
          <w:p w14:paraId="7AFAB4C9">
            <w:pPr>
              <w:ind w:firstLine="480" w:firstLineChars="200"/>
              <w:rPr>
                <w:color w:val="000000"/>
                <w:sz w:val="24"/>
              </w:rPr>
            </w:pPr>
            <w:r>
              <w:rPr>
                <w:rFonts w:hint="eastAsia"/>
                <w:color w:val="000000"/>
                <w:sz w:val="24"/>
              </w:rPr>
              <w:t>风电机组不停地转动的叶片，在白天阳光入射方向下，如果投射到附近居民住宅的玻璃窗户上，即可产生闪烁的光影，光影会使人时常产生心烦、眩晕的症状，影响居民正常生活。以风电机组为中心，东西方向为轴，处于北纬地区，轴北侧的居民区有可能受到风电机组的光影影响。如果风机布置不科学，有可能对民宅产生光影污染。本环评通过计算光影防护距离来确定项目风机设置是否满足防护距离的要求。</w:t>
            </w:r>
          </w:p>
          <w:p w14:paraId="5981526F">
            <w:pPr>
              <w:ind w:firstLine="480" w:firstLineChars="200"/>
              <w:rPr>
                <w:color w:val="000000"/>
                <w:sz w:val="24"/>
              </w:rPr>
            </w:pPr>
            <w:r>
              <w:rPr>
                <w:rFonts w:hint="eastAsia"/>
                <w:color w:val="000000"/>
                <w:sz w:val="24"/>
              </w:rPr>
              <w:t>（</w:t>
            </w:r>
            <w:r>
              <w:rPr>
                <w:color w:val="000000"/>
                <w:sz w:val="24"/>
              </w:rPr>
              <w:t>1</w:t>
            </w:r>
            <w:r>
              <w:rPr>
                <w:rFonts w:hint="eastAsia"/>
                <w:color w:val="000000"/>
                <w:sz w:val="24"/>
              </w:rPr>
              <w:t>）风机光影影响时段的确定</w:t>
            </w:r>
          </w:p>
          <w:p w14:paraId="1D682C87">
            <w:pPr>
              <w:ind w:firstLine="480" w:firstLineChars="200"/>
              <w:rPr>
                <w:color w:val="000000"/>
                <w:sz w:val="24"/>
              </w:rPr>
            </w:pPr>
            <w:r>
              <w:rPr>
                <w:rFonts w:hint="eastAsia"/>
                <w:color w:val="000000"/>
                <w:sz w:val="24"/>
              </w:rPr>
              <w:t>北纬地区，冬至日的太阳高度角是一年中最小的一天，同时也是阴影最长的一天。冬至日任意时刻阴影长度都大于其他日的同一时刻，所以讲风机光影影响日期确定为冬至日。</w:t>
            </w:r>
          </w:p>
          <w:p w14:paraId="650885E8">
            <w:pPr>
              <w:ind w:firstLine="480" w:firstLineChars="200"/>
              <w:rPr>
                <w:color w:val="000000"/>
                <w:sz w:val="24"/>
              </w:rPr>
            </w:pPr>
            <w:r>
              <w:rPr>
                <w:rFonts w:hint="eastAsia"/>
                <w:color w:val="000000"/>
                <w:sz w:val="24"/>
              </w:rPr>
              <w:t>太阳高度角越小，太阳辐射强度越小，由于日照辐射强度对人类视觉敏感度有很大的影响，日照强度越小，人的视觉越迟钝，风机产生的光影影响就越弱。因此，在日出日落时刻，即使光影较长，它对人的视觉影像也不会太大。冬至日日出日落时间为</w:t>
            </w:r>
            <w:r>
              <w:rPr>
                <w:color w:val="000000"/>
                <w:sz w:val="24"/>
              </w:rPr>
              <w:t>8:00</w:t>
            </w:r>
            <w:r>
              <w:rPr>
                <w:rFonts w:hint="eastAsia"/>
                <w:color w:val="000000"/>
                <w:sz w:val="24"/>
              </w:rPr>
              <w:t>至</w:t>
            </w:r>
            <w:r>
              <w:rPr>
                <w:color w:val="000000"/>
                <w:sz w:val="24"/>
              </w:rPr>
              <w:t>17:00</w:t>
            </w:r>
            <w:r>
              <w:rPr>
                <w:rFonts w:hint="eastAsia"/>
                <w:color w:val="000000"/>
                <w:sz w:val="24"/>
              </w:rPr>
              <w:t>时之间，一天中</w:t>
            </w:r>
            <w:r>
              <w:rPr>
                <w:color w:val="000000"/>
                <w:sz w:val="24"/>
              </w:rPr>
              <w:t>10:00</w:t>
            </w:r>
            <w:r>
              <w:rPr>
                <w:rFonts w:hint="eastAsia"/>
                <w:color w:val="000000"/>
                <w:sz w:val="24"/>
              </w:rPr>
              <w:t>至</w:t>
            </w:r>
            <w:r>
              <w:rPr>
                <w:color w:val="000000"/>
                <w:sz w:val="24"/>
              </w:rPr>
              <w:t>15:00</w:t>
            </w:r>
            <w:r>
              <w:rPr>
                <w:rFonts w:hint="eastAsia"/>
                <w:color w:val="000000"/>
                <w:sz w:val="24"/>
              </w:rPr>
              <w:t>点太阳光照最为强烈，因此选择预测的时段定为冬至日的</w:t>
            </w:r>
            <w:r>
              <w:rPr>
                <w:color w:val="000000"/>
                <w:sz w:val="24"/>
              </w:rPr>
              <w:t>9:00</w:t>
            </w:r>
            <w:r>
              <w:rPr>
                <w:rFonts w:hint="eastAsia"/>
                <w:color w:val="000000"/>
                <w:sz w:val="24"/>
              </w:rPr>
              <w:t>时至</w:t>
            </w:r>
            <w:r>
              <w:rPr>
                <w:color w:val="000000"/>
                <w:sz w:val="24"/>
              </w:rPr>
              <w:t>17:00</w:t>
            </w:r>
            <w:r>
              <w:rPr>
                <w:rFonts w:hint="eastAsia"/>
                <w:color w:val="000000"/>
                <w:sz w:val="24"/>
              </w:rPr>
              <w:t>时（</w:t>
            </w:r>
            <w:r>
              <w:rPr>
                <w:color w:val="000000"/>
                <w:sz w:val="24"/>
              </w:rPr>
              <w:t>8:00</w:t>
            </w:r>
            <w:r>
              <w:rPr>
                <w:rFonts w:hint="eastAsia"/>
                <w:color w:val="000000"/>
                <w:sz w:val="24"/>
              </w:rPr>
              <w:t>阳光较柔和，且高度角很小），光影防护距离按</w:t>
            </w:r>
            <w:r>
              <w:rPr>
                <w:color w:val="000000"/>
                <w:sz w:val="24"/>
              </w:rPr>
              <w:t>10:00</w:t>
            </w:r>
            <w:r>
              <w:rPr>
                <w:rFonts w:hint="eastAsia"/>
                <w:color w:val="000000"/>
                <w:sz w:val="24"/>
              </w:rPr>
              <w:t>至</w:t>
            </w:r>
            <w:r>
              <w:rPr>
                <w:color w:val="000000"/>
                <w:sz w:val="24"/>
              </w:rPr>
              <w:t>15:00</w:t>
            </w:r>
            <w:r>
              <w:rPr>
                <w:rFonts w:hint="eastAsia"/>
                <w:color w:val="000000"/>
                <w:sz w:val="24"/>
              </w:rPr>
              <w:t>的预测值确定。</w:t>
            </w:r>
          </w:p>
          <w:p w14:paraId="08347193">
            <w:pPr>
              <w:ind w:firstLine="480" w:firstLineChars="200"/>
              <w:rPr>
                <w:color w:val="000000"/>
                <w:sz w:val="24"/>
              </w:rPr>
            </w:pPr>
            <w:r>
              <w:rPr>
                <w:rFonts w:hint="eastAsia"/>
                <w:color w:val="000000"/>
                <w:sz w:val="24"/>
              </w:rPr>
              <w:t>（</w:t>
            </w:r>
            <w:r>
              <w:rPr>
                <w:color w:val="000000"/>
                <w:sz w:val="24"/>
              </w:rPr>
              <w:t>2</w:t>
            </w:r>
            <w:r>
              <w:rPr>
                <w:rFonts w:hint="eastAsia"/>
                <w:color w:val="000000"/>
                <w:sz w:val="24"/>
              </w:rPr>
              <w:t>）太阳高度角</w:t>
            </w:r>
            <w:r>
              <w:rPr>
                <w:i/>
                <w:color w:val="000000"/>
                <w:sz w:val="24"/>
              </w:rPr>
              <w:t>h</w:t>
            </w:r>
            <w:r>
              <w:rPr>
                <w:color w:val="000000"/>
                <w:sz w:val="24"/>
                <w:vertAlign w:val="subscript"/>
              </w:rPr>
              <w:t>0</w:t>
            </w:r>
            <w:r>
              <w:rPr>
                <w:rFonts w:hint="eastAsia"/>
                <w:color w:val="000000"/>
                <w:sz w:val="24"/>
              </w:rPr>
              <w:t>的计算</w:t>
            </w:r>
          </w:p>
          <w:p w14:paraId="295C4A9F">
            <w:pPr>
              <w:ind w:firstLine="480" w:firstLineChars="200"/>
              <w:rPr>
                <w:color w:val="000000"/>
                <w:sz w:val="24"/>
              </w:rPr>
            </w:pPr>
            <w:r>
              <w:rPr>
                <w:rFonts w:hint="eastAsia"/>
                <w:color w:val="000000"/>
                <w:sz w:val="24"/>
              </w:rPr>
              <w:t>太阳倾角</w:t>
            </w:r>
            <w:r>
              <w:rPr>
                <w:i/>
                <w:color w:val="000000"/>
                <w:sz w:val="24"/>
              </w:rPr>
              <w:t>σ</w:t>
            </w:r>
            <w:r>
              <w:rPr>
                <w:rFonts w:hint="eastAsia"/>
                <w:color w:val="000000"/>
                <w:sz w:val="24"/>
              </w:rPr>
              <w:t>的计算公式为：</w:t>
            </w:r>
          </w:p>
          <w:p w14:paraId="4C231ED0">
            <w:pPr>
              <w:ind w:firstLine="480" w:firstLineChars="200"/>
              <w:rPr>
                <w:color w:val="000000"/>
                <w:sz w:val="24"/>
              </w:rPr>
            </w:pPr>
            <w:r>
              <w:rPr>
                <w:i/>
                <w:color w:val="000000"/>
                <w:sz w:val="24"/>
              </w:rPr>
              <w:t>σ</w:t>
            </w:r>
            <w:r>
              <w:rPr>
                <w:color w:val="000000"/>
                <w:sz w:val="24"/>
              </w:rPr>
              <w:t xml:space="preserve"> = </w:t>
            </w:r>
            <w:r>
              <w:rPr>
                <w:i/>
                <w:color w:val="000000"/>
                <w:sz w:val="24"/>
              </w:rPr>
              <w:t>arcsin</w:t>
            </w:r>
            <w:r>
              <w:rPr>
                <w:color w:val="000000"/>
                <w:sz w:val="24"/>
              </w:rPr>
              <w:t>[0.006918-0.39912</w:t>
            </w:r>
            <w:r>
              <w:rPr>
                <w:i/>
                <w:color w:val="000000"/>
                <w:sz w:val="24"/>
              </w:rPr>
              <w:t>cosθ</w:t>
            </w:r>
            <w:r>
              <w:rPr>
                <w:color w:val="000000"/>
                <w:sz w:val="24"/>
                <w:vertAlign w:val="subscript"/>
              </w:rPr>
              <w:t>0</w:t>
            </w:r>
            <w:r>
              <w:rPr>
                <w:color w:val="000000"/>
                <w:sz w:val="24"/>
              </w:rPr>
              <w:t>+0.070257</w:t>
            </w:r>
            <w:r>
              <w:rPr>
                <w:i/>
                <w:color w:val="000000"/>
                <w:sz w:val="24"/>
              </w:rPr>
              <w:t>sinθ</w:t>
            </w:r>
            <w:r>
              <w:rPr>
                <w:color w:val="000000"/>
                <w:sz w:val="24"/>
                <w:vertAlign w:val="subscript"/>
              </w:rPr>
              <w:t>0</w:t>
            </w:r>
            <w:r>
              <w:rPr>
                <w:color w:val="000000"/>
                <w:sz w:val="24"/>
              </w:rPr>
              <w:t>-0.006758</w:t>
            </w:r>
            <w:r>
              <w:rPr>
                <w:i/>
                <w:color w:val="000000"/>
                <w:sz w:val="24"/>
              </w:rPr>
              <w:t>cos</w:t>
            </w:r>
            <w:r>
              <w:rPr>
                <w:color w:val="000000"/>
                <w:sz w:val="24"/>
              </w:rPr>
              <w:t>2</w:t>
            </w:r>
            <w:r>
              <w:rPr>
                <w:i/>
                <w:color w:val="000000"/>
                <w:sz w:val="24"/>
              </w:rPr>
              <w:t>θ</w:t>
            </w:r>
            <w:r>
              <w:rPr>
                <w:color w:val="000000"/>
                <w:sz w:val="24"/>
                <w:vertAlign w:val="subscript"/>
              </w:rPr>
              <w:t>0</w:t>
            </w:r>
            <w:r>
              <w:rPr>
                <w:color w:val="000000"/>
                <w:sz w:val="24"/>
              </w:rPr>
              <w:t>+0.000907</w:t>
            </w:r>
            <w:r>
              <w:rPr>
                <w:i/>
                <w:color w:val="000000"/>
                <w:sz w:val="24"/>
              </w:rPr>
              <w:t>sin</w:t>
            </w:r>
            <w:r>
              <w:rPr>
                <w:color w:val="000000"/>
                <w:sz w:val="24"/>
              </w:rPr>
              <w:t>2</w:t>
            </w:r>
            <w:r>
              <w:rPr>
                <w:i/>
                <w:color w:val="000000"/>
                <w:sz w:val="24"/>
              </w:rPr>
              <w:t>θ</w:t>
            </w:r>
            <w:r>
              <w:rPr>
                <w:color w:val="000000"/>
                <w:sz w:val="24"/>
                <w:vertAlign w:val="subscript"/>
              </w:rPr>
              <w:t>0</w:t>
            </w:r>
            <w:r>
              <w:rPr>
                <w:color w:val="000000"/>
                <w:sz w:val="24"/>
              </w:rPr>
              <w:t>-</w:t>
            </w:r>
          </w:p>
          <w:p w14:paraId="02D316EA">
            <w:pPr>
              <w:ind w:firstLine="840" w:firstLineChars="350"/>
              <w:rPr>
                <w:color w:val="000000"/>
                <w:sz w:val="24"/>
              </w:rPr>
            </w:pPr>
            <w:r>
              <w:rPr>
                <w:color w:val="000000"/>
                <w:sz w:val="24"/>
              </w:rPr>
              <w:t>0.002697</w:t>
            </w:r>
            <w:r>
              <w:rPr>
                <w:i/>
                <w:color w:val="000000"/>
                <w:sz w:val="24"/>
              </w:rPr>
              <w:t>cos</w:t>
            </w:r>
            <w:r>
              <w:rPr>
                <w:color w:val="000000"/>
                <w:sz w:val="24"/>
              </w:rPr>
              <w:t>3</w:t>
            </w:r>
            <w:r>
              <w:rPr>
                <w:i/>
                <w:color w:val="000000"/>
                <w:sz w:val="24"/>
              </w:rPr>
              <w:t>θ</w:t>
            </w:r>
            <w:r>
              <w:rPr>
                <w:color w:val="000000"/>
                <w:sz w:val="24"/>
                <w:vertAlign w:val="subscript"/>
              </w:rPr>
              <w:t>0</w:t>
            </w:r>
            <w:r>
              <w:rPr>
                <w:color w:val="000000"/>
                <w:sz w:val="24"/>
              </w:rPr>
              <w:t>+0.00148</w:t>
            </w:r>
            <w:r>
              <w:rPr>
                <w:i/>
                <w:color w:val="000000"/>
                <w:sz w:val="24"/>
              </w:rPr>
              <w:t>sin</w:t>
            </w:r>
            <w:r>
              <w:rPr>
                <w:color w:val="000000"/>
                <w:sz w:val="24"/>
              </w:rPr>
              <w:t>3</w:t>
            </w:r>
            <w:r>
              <w:rPr>
                <w:i/>
                <w:color w:val="000000"/>
                <w:sz w:val="24"/>
              </w:rPr>
              <w:t>θ</w:t>
            </w:r>
            <w:r>
              <w:rPr>
                <w:color w:val="000000"/>
                <w:sz w:val="24"/>
                <w:vertAlign w:val="subscript"/>
              </w:rPr>
              <w:t>0</w:t>
            </w:r>
            <w:r>
              <w:rPr>
                <w:color w:val="000000"/>
                <w:sz w:val="24"/>
              </w:rPr>
              <w:t>]</w:t>
            </w:r>
          </w:p>
          <w:p w14:paraId="7F16F13C">
            <w:pPr>
              <w:ind w:firstLine="480" w:firstLineChars="200"/>
              <w:rPr>
                <w:color w:val="000000"/>
                <w:sz w:val="24"/>
              </w:rPr>
            </w:pPr>
            <w:r>
              <w:rPr>
                <w:rFonts w:hint="eastAsia"/>
                <w:color w:val="000000"/>
                <w:sz w:val="24"/>
              </w:rPr>
              <w:t>北方地区冬至日为一年中日期序数为</w:t>
            </w:r>
            <w:r>
              <w:rPr>
                <w:color w:val="000000"/>
                <w:sz w:val="24"/>
              </w:rPr>
              <w:t>355</w:t>
            </w:r>
            <w:r>
              <w:rPr>
                <w:rFonts w:hint="eastAsia"/>
                <w:color w:val="000000"/>
                <w:sz w:val="24"/>
              </w:rPr>
              <w:t>，式中</w:t>
            </w:r>
            <w:r>
              <w:rPr>
                <w:i/>
                <w:color w:val="000000"/>
                <w:sz w:val="24"/>
              </w:rPr>
              <w:t>θ</w:t>
            </w:r>
            <w:r>
              <w:rPr>
                <w:color w:val="000000"/>
                <w:sz w:val="24"/>
                <w:vertAlign w:val="subscript"/>
              </w:rPr>
              <w:t>0</w:t>
            </w:r>
            <w:r>
              <w:rPr>
                <w:rFonts w:hint="eastAsia"/>
                <w:color w:val="000000"/>
                <w:sz w:val="24"/>
              </w:rPr>
              <w:t>取</w:t>
            </w:r>
            <w:r>
              <w:rPr>
                <w:color w:val="000000"/>
                <w:sz w:val="24"/>
              </w:rPr>
              <w:t>355</w:t>
            </w:r>
            <w:r>
              <w:rPr>
                <w:rFonts w:hint="eastAsia"/>
                <w:color w:val="000000"/>
                <w:sz w:val="24"/>
              </w:rPr>
              <w:t>。</w:t>
            </w:r>
          </w:p>
          <w:p w14:paraId="52964F61">
            <w:pPr>
              <w:ind w:firstLine="480" w:firstLineChars="200"/>
              <w:rPr>
                <w:color w:val="000000"/>
                <w:sz w:val="24"/>
              </w:rPr>
            </w:pPr>
            <w:r>
              <w:rPr>
                <w:rFonts w:hint="eastAsia"/>
                <w:color w:val="000000"/>
                <w:sz w:val="24"/>
              </w:rPr>
              <w:t>光影影响范围取决于太阳高度角的大小，太阳高度角越大，风机的影子越短，太阳高度角越小，风机的影子越长。</w:t>
            </w:r>
          </w:p>
          <w:p w14:paraId="6EA56B2D">
            <w:pPr>
              <w:ind w:firstLine="480" w:firstLineChars="200"/>
              <w:rPr>
                <w:color w:val="000000"/>
                <w:sz w:val="24"/>
              </w:rPr>
            </w:pPr>
            <w:r>
              <w:rPr>
                <w:rFonts w:hint="eastAsia"/>
                <w:color w:val="000000"/>
                <w:sz w:val="24"/>
              </w:rPr>
              <w:t>太阳高度角</w:t>
            </w:r>
            <w:r>
              <w:rPr>
                <w:i/>
                <w:color w:val="000000"/>
                <w:sz w:val="24"/>
              </w:rPr>
              <w:t>h</w:t>
            </w:r>
            <w:r>
              <w:rPr>
                <w:color w:val="000000"/>
                <w:sz w:val="24"/>
                <w:vertAlign w:val="subscript"/>
              </w:rPr>
              <w:t>0</w:t>
            </w:r>
            <w:r>
              <w:rPr>
                <w:color w:val="000000"/>
                <w:sz w:val="24"/>
              </w:rPr>
              <w:t xml:space="preserve"> = </w:t>
            </w:r>
            <w:r>
              <w:rPr>
                <w:i/>
                <w:color w:val="000000"/>
                <w:sz w:val="24"/>
              </w:rPr>
              <w:t>arcsin</w:t>
            </w:r>
            <w:r>
              <w:rPr>
                <w:color w:val="000000"/>
                <w:sz w:val="24"/>
              </w:rPr>
              <w:t>[</w:t>
            </w:r>
            <w:r>
              <w:rPr>
                <w:i/>
                <w:color w:val="000000"/>
                <w:sz w:val="24"/>
              </w:rPr>
              <w:t>sinφsinσ</w:t>
            </w:r>
            <w:r>
              <w:rPr>
                <w:color w:val="000000"/>
                <w:sz w:val="24"/>
              </w:rPr>
              <w:t>+</w:t>
            </w:r>
            <w:r>
              <w:rPr>
                <w:i/>
                <w:color w:val="000000"/>
                <w:sz w:val="24"/>
              </w:rPr>
              <w:t>cosφcosσcosа</w:t>
            </w:r>
            <w:r>
              <w:rPr>
                <w:color w:val="000000"/>
                <w:sz w:val="24"/>
              </w:rPr>
              <w:t>]</w:t>
            </w:r>
          </w:p>
          <w:p w14:paraId="50BEBE63">
            <w:pPr>
              <w:ind w:firstLine="480" w:firstLineChars="200"/>
              <w:rPr>
                <w:color w:val="000000"/>
                <w:sz w:val="24"/>
              </w:rPr>
            </w:pPr>
            <w:r>
              <w:rPr>
                <w:rFonts w:hint="eastAsia"/>
                <w:color w:val="000000"/>
                <w:sz w:val="24"/>
              </w:rPr>
              <w:t>式中：</w:t>
            </w:r>
            <w:r>
              <w:rPr>
                <w:i/>
                <w:color w:val="000000"/>
                <w:sz w:val="24"/>
              </w:rPr>
              <w:t>φ</w:t>
            </w:r>
            <w:r>
              <w:rPr>
                <w:rFonts w:hint="eastAsia"/>
                <w:color w:val="000000"/>
                <w:sz w:val="24"/>
              </w:rPr>
              <w:t>为当地纬度（</w:t>
            </w:r>
            <w:r>
              <w:rPr>
                <w:i/>
                <w:color w:val="000000"/>
                <w:sz w:val="24"/>
              </w:rPr>
              <w:t>deg</w:t>
            </w:r>
            <w:r>
              <w:rPr>
                <w:rFonts w:hint="eastAsia"/>
                <w:color w:val="000000"/>
                <w:sz w:val="24"/>
              </w:rPr>
              <w:t>），</w:t>
            </w:r>
            <w:r>
              <w:rPr>
                <w:i/>
                <w:color w:val="000000"/>
                <w:sz w:val="24"/>
              </w:rPr>
              <w:t>σ</w:t>
            </w:r>
            <w:r>
              <w:rPr>
                <w:rFonts w:hint="eastAsia"/>
                <w:color w:val="000000"/>
                <w:sz w:val="24"/>
              </w:rPr>
              <w:t>为太阳倾角（</w:t>
            </w:r>
            <w:r>
              <w:rPr>
                <w:i/>
                <w:color w:val="000000"/>
                <w:sz w:val="24"/>
              </w:rPr>
              <w:t>deg</w:t>
            </w:r>
            <w:r>
              <w:rPr>
                <w:rFonts w:hint="eastAsia"/>
                <w:color w:val="000000"/>
                <w:sz w:val="24"/>
              </w:rPr>
              <w:t>），</w:t>
            </w:r>
            <w:r>
              <w:rPr>
                <w:i/>
                <w:color w:val="000000"/>
                <w:sz w:val="24"/>
              </w:rPr>
              <w:t>а</w:t>
            </w:r>
            <w:r>
              <w:rPr>
                <w:color w:val="000000"/>
                <w:sz w:val="24"/>
              </w:rPr>
              <w:t>=</w:t>
            </w:r>
            <w:r>
              <w:rPr>
                <w:rFonts w:hint="eastAsia"/>
                <w:color w:val="000000"/>
                <w:sz w:val="24"/>
              </w:rPr>
              <w:t>（</w:t>
            </w:r>
            <w:r>
              <w:rPr>
                <w:color w:val="000000"/>
                <w:sz w:val="24"/>
              </w:rPr>
              <w:t>15</w:t>
            </w:r>
            <w:r>
              <w:rPr>
                <w:i/>
                <w:color w:val="000000"/>
                <w:sz w:val="24"/>
              </w:rPr>
              <w:t>t</w:t>
            </w:r>
            <w:r>
              <w:rPr>
                <w:color w:val="000000"/>
                <w:sz w:val="24"/>
              </w:rPr>
              <w:t>+</w:t>
            </w:r>
            <w:r>
              <w:rPr>
                <w:i/>
                <w:color w:val="000000"/>
                <w:sz w:val="24"/>
              </w:rPr>
              <w:t>λ</w:t>
            </w:r>
            <w:r>
              <w:rPr>
                <w:color w:val="000000"/>
                <w:sz w:val="24"/>
              </w:rPr>
              <w:t>-300</w:t>
            </w:r>
            <w:r>
              <w:rPr>
                <w:rFonts w:hint="eastAsia"/>
                <w:color w:val="000000"/>
                <w:sz w:val="24"/>
              </w:rPr>
              <w:t>），</w:t>
            </w:r>
            <w:r>
              <w:rPr>
                <w:i/>
                <w:color w:val="000000"/>
                <w:sz w:val="24"/>
              </w:rPr>
              <w:t>λ</w:t>
            </w:r>
            <w:r>
              <w:rPr>
                <w:rFonts w:hint="eastAsia"/>
                <w:color w:val="000000"/>
                <w:sz w:val="24"/>
              </w:rPr>
              <w:t>为当地经度，</w:t>
            </w:r>
            <w:r>
              <w:rPr>
                <w:i/>
                <w:color w:val="000000"/>
                <w:sz w:val="24"/>
              </w:rPr>
              <w:t>t</w:t>
            </w:r>
            <w:r>
              <w:rPr>
                <w:rFonts w:hint="eastAsia"/>
                <w:color w:val="000000"/>
                <w:sz w:val="24"/>
              </w:rPr>
              <w:t>为进行观测的北京时间。根据现场实地踏勘和设计资料，距离本项目最近的居民点为</w:t>
            </w:r>
            <w:r>
              <w:rPr>
                <w:color w:val="000000"/>
                <w:sz w:val="24"/>
              </w:rPr>
              <w:t>19</w:t>
            </w:r>
            <w:r>
              <w:rPr>
                <w:rFonts w:hint="eastAsia"/>
                <w:color w:val="000000"/>
                <w:sz w:val="24"/>
              </w:rPr>
              <w:t>号风电机西南方向</w:t>
            </w:r>
            <w:r>
              <w:rPr>
                <w:color w:val="000000"/>
                <w:sz w:val="24"/>
              </w:rPr>
              <w:t>532m</w:t>
            </w:r>
            <w:r>
              <w:rPr>
                <w:rFonts w:hint="eastAsia"/>
                <w:color w:val="000000"/>
                <w:sz w:val="24"/>
              </w:rPr>
              <w:t>的德热木其音敖包，经计算，太阳高度角计算成果见表</w:t>
            </w:r>
            <w:r>
              <w:rPr>
                <w:color w:val="000000"/>
                <w:sz w:val="24"/>
              </w:rPr>
              <w:t>28</w:t>
            </w:r>
            <w:r>
              <w:rPr>
                <w:rFonts w:hint="eastAsia"/>
                <w:color w:val="000000"/>
                <w:sz w:val="24"/>
              </w:rPr>
              <w:t>。</w:t>
            </w:r>
          </w:p>
          <w:p w14:paraId="3CAA295D">
            <w:pPr>
              <w:ind w:firstLine="480" w:firstLineChars="200"/>
              <w:rPr>
                <w:color w:val="000000"/>
                <w:sz w:val="24"/>
              </w:rPr>
            </w:pPr>
          </w:p>
          <w:p w14:paraId="0F0151B2">
            <w:pPr>
              <w:ind w:firstLine="480" w:firstLineChars="200"/>
              <w:rPr>
                <w:color w:val="000000"/>
                <w:sz w:val="24"/>
              </w:rPr>
            </w:pPr>
          </w:p>
          <w:p w14:paraId="26972775">
            <w:pPr>
              <w:ind w:firstLine="480" w:firstLineChars="200"/>
              <w:rPr>
                <w:rFonts w:ascii="黑体" w:hAnsi="黑体" w:eastAsia="黑体"/>
                <w:color w:val="000000"/>
                <w:sz w:val="24"/>
              </w:rPr>
            </w:pPr>
            <w:r>
              <w:rPr>
                <w:rFonts w:hint="eastAsia" w:ascii="黑体" w:hAnsi="黑体" w:eastAsia="黑体"/>
                <w:color w:val="000000"/>
                <w:sz w:val="24"/>
              </w:rPr>
              <w:t>表28                   太阳高度角计算一览表</w:t>
            </w:r>
          </w:p>
          <w:tbl>
            <w:tblPr>
              <w:tblStyle w:val="25"/>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28" w:type="dxa"/>
                <w:bottom w:w="0" w:type="dxa"/>
                <w:right w:w="28" w:type="dxa"/>
              </w:tblCellMar>
            </w:tblPr>
            <w:tblGrid>
              <w:gridCol w:w="586"/>
              <w:gridCol w:w="1250"/>
              <w:gridCol w:w="1297"/>
              <w:gridCol w:w="707"/>
              <w:gridCol w:w="707"/>
              <w:gridCol w:w="707"/>
              <w:gridCol w:w="707"/>
              <w:gridCol w:w="707"/>
              <w:gridCol w:w="707"/>
              <w:gridCol w:w="707"/>
              <w:gridCol w:w="707"/>
            </w:tblGrid>
            <w:tr w14:paraId="4D540BF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86" w:type="dxa"/>
                  <w:vMerge w:val="restart"/>
                  <w:tcBorders>
                    <w:top w:val="single" w:color="auto" w:sz="8" w:space="0"/>
                    <w:left w:val="single" w:color="auto" w:sz="8" w:space="0"/>
                    <w:bottom w:val="single" w:color="auto" w:sz="4" w:space="0"/>
                    <w:right w:val="single" w:color="auto" w:sz="4" w:space="0"/>
                  </w:tcBorders>
                  <w:vAlign w:val="center"/>
                </w:tcPr>
                <w:p w14:paraId="047FE0B7">
                  <w:pPr>
                    <w:autoSpaceDE w:val="0"/>
                    <w:autoSpaceDN w:val="0"/>
                    <w:adjustRightInd w:val="0"/>
                    <w:spacing w:line="0" w:lineRule="atLeast"/>
                    <w:jc w:val="center"/>
                    <w:rPr>
                      <w:rFonts w:hAnsi="宋体"/>
                    </w:rPr>
                  </w:pPr>
                  <w:r>
                    <w:rPr>
                      <w:rFonts w:hint="eastAsia" w:hAnsi="宋体"/>
                    </w:rPr>
                    <w:t>风机</w:t>
                  </w:r>
                </w:p>
                <w:p w14:paraId="76524058">
                  <w:pPr>
                    <w:autoSpaceDE w:val="0"/>
                    <w:autoSpaceDN w:val="0"/>
                    <w:adjustRightInd w:val="0"/>
                    <w:spacing w:line="0" w:lineRule="atLeast"/>
                    <w:jc w:val="center"/>
                    <w:rPr>
                      <w:rFonts w:hAnsi="宋体"/>
                    </w:rPr>
                  </w:pPr>
                  <w:r>
                    <w:rPr>
                      <w:rFonts w:hint="eastAsia" w:hAnsi="宋体"/>
                    </w:rPr>
                    <w:t>编号</w:t>
                  </w:r>
                </w:p>
              </w:tc>
              <w:tc>
                <w:tcPr>
                  <w:tcW w:w="2547" w:type="dxa"/>
                  <w:gridSpan w:val="2"/>
                  <w:tcBorders>
                    <w:top w:val="single" w:color="auto" w:sz="8" w:space="0"/>
                    <w:left w:val="single" w:color="auto" w:sz="4" w:space="0"/>
                    <w:bottom w:val="single" w:color="auto" w:sz="4" w:space="0"/>
                    <w:right w:val="single" w:color="auto" w:sz="4" w:space="0"/>
                  </w:tcBorders>
                  <w:vAlign w:val="center"/>
                </w:tcPr>
                <w:p w14:paraId="646FBC3E">
                  <w:pPr>
                    <w:autoSpaceDE w:val="0"/>
                    <w:autoSpaceDN w:val="0"/>
                    <w:adjustRightInd w:val="0"/>
                    <w:spacing w:line="0" w:lineRule="atLeast"/>
                    <w:jc w:val="center"/>
                    <w:rPr>
                      <w:rFonts w:hAnsi="宋体"/>
                    </w:rPr>
                  </w:pPr>
                  <w:r>
                    <w:rPr>
                      <w:rFonts w:hint="eastAsia"/>
                    </w:rPr>
                    <w:t>风机坐标</w:t>
                  </w:r>
                </w:p>
              </w:tc>
              <w:tc>
                <w:tcPr>
                  <w:tcW w:w="5656" w:type="dxa"/>
                  <w:gridSpan w:val="8"/>
                  <w:tcBorders>
                    <w:top w:val="single" w:color="auto" w:sz="8" w:space="0"/>
                    <w:left w:val="single" w:color="auto" w:sz="4" w:space="0"/>
                    <w:bottom w:val="single" w:color="auto" w:sz="4" w:space="0"/>
                    <w:right w:val="single" w:color="auto" w:sz="8" w:space="0"/>
                  </w:tcBorders>
                  <w:vAlign w:val="center"/>
                </w:tcPr>
                <w:p w14:paraId="52E15853">
                  <w:pPr>
                    <w:autoSpaceDE w:val="0"/>
                    <w:autoSpaceDN w:val="0"/>
                    <w:adjustRightInd w:val="0"/>
                    <w:spacing w:line="0" w:lineRule="atLeast"/>
                    <w:jc w:val="center"/>
                    <w:rPr>
                      <w:rFonts w:hAnsi="宋体"/>
                    </w:rPr>
                  </w:pPr>
                  <w:r>
                    <w:rPr>
                      <w:rFonts w:hint="eastAsia"/>
                    </w:rPr>
                    <w:t>太阳高度角</w:t>
                  </w:r>
                </w:p>
              </w:tc>
            </w:tr>
            <w:tr w14:paraId="41EC7C7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86" w:type="dxa"/>
                  <w:vMerge w:val="continue"/>
                  <w:tcBorders>
                    <w:top w:val="single" w:color="auto" w:sz="8" w:space="0"/>
                    <w:left w:val="single" w:color="auto" w:sz="8" w:space="0"/>
                    <w:bottom w:val="single" w:color="auto" w:sz="4" w:space="0"/>
                    <w:right w:val="single" w:color="auto" w:sz="4" w:space="0"/>
                  </w:tcBorders>
                  <w:vAlign w:val="center"/>
                </w:tcPr>
                <w:p w14:paraId="249E8CE4">
                  <w:pPr>
                    <w:widowControl/>
                    <w:spacing w:line="240" w:lineRule="auto"/>
                    <w:jc w:val="left"/>
                    <w:rPr>
                      <w:rFonts w:hAnsi="宋体"/>
                    </w:rPr>
                  </w:pPr>
                </w:p>
              </w:tc>
              <w:tc>
                <w:tcPr>
                  <w:tcW w:w="1250" w:type="dxa"/>
                  <w:tcBorders>
                    <w:top w:val="single" w:color="auto" w:sz="4" w:space="0"/>
                    <w:left w:val="single" w:color="auto" w:sz="4" w:space="0"/>
                    <w:bottom w:val="single" w:color="auto" w:sz="4" w:space="0"/>
                    <w:right w:val="single" w:color="auto" w:sz="4" w:space="0"/>
                  </w:tcBorders>
                  <w:vAlign w:val="center"/>
                </w:tcPr>
                <w:p w14:paraId="0ABD06B5">
                  <w:pPr>
                    <w:spacing w:line="0" w:lineRule="atLeast"/>
                    <w:jc w:val="center"/>
                    <w:rPr>
                      <w:rFonts w:hAnsi="宋体"/>
                    </w:rPr>
                  </w:pPr>
                  <w:r>
                    <w:rPr>
                      <w:rFonts w:hint="eastAsia"/>
                    </w:rPr>
                    <w:t>北纬</w:t>
                  </w:r>
                </w:p>
              </w:tc>
              <w:tc>
                <w:tcPr>
                  <w:tcW w:w="1297" w:type="dxa"/>
                  <w:tcBorders>
                    <w:top w:val="single" w:color="auto" w:sz="4" w:space="0"/>
                    <w:left w:val="single" w:color="auto" w:sz="4" w:space="0"/>
                    <w:bottom w:val="single" w:color="auto" w:sz="4" w:space="0"/>
                    <w:right w:val="single" w:color="auto" w:sz="4" w:space="0"/>
                  </w:tcBorders>
                  <w:vAlign w:val="center"/>
                </w:tcPr>
                <w:p w14:paraId="37DB14EB">
                  <w:pPr>
                    <w:spacing w:line="0" w:lineRule="atLeast"/>
                    <w:jc w:val="center"/>
                    <w:rPr>
                      <w:rFonts w:hAnsi="宋体"/>
                    </w:rPr>
                  </w:pPr>
                  <w:r>
                    <w:rPr>
                      <w:rFonts w:hint="eastAsia"/>
                    </w:rPr>
                    <w:t>东经</w:t>
                  </w:r>
                </w:p>
              </w:tc>
              <w:tc>
                <w:tcPr>
                  <w:tcW w:w="707" w:type="dxa"/>
                  <w:tcBorders>
                    <w:top w:val="single" w:color="auto" w:sz="4" w:space="0"/>
                    <w:left w:val="single" w:color="auto" w:sz="4" w:space="0"/>
                    <w:bottom w:val="single" w:color="auto" w:sz="4" w:space="0"/>
                    <w:right w:val="single" w:color="auto" w:sz="4" w:space="0"/>
                  </w:tcBorders>
                  <w:vAlign w:val="center"/>
                </w:tcPr>
                <w:p w14:paraId="26CA39EA">
                  <w:pPr>
                    <w:spacing w:line="0" w:lineRule="atLeast"/>
                    <w:jc w:val="center"/>
                  </w:pPr>
                  <w:r>
                    <w:t>9:00</w:t>
                  </w:r>
                </w:p>
              </w:tc>
              <w:tc>
                <w:tcPr>
                  <w:tcW w:w="707" w:type="dxa"/>
                  <w:tcBorders>
                    <w:top w:val="single" w:color="auto" w:sz="4" w:space="0"/>
                    <w:left w:val="single" w:color="auto" w:sz="4" w:space="0"/>
                    <w:bottom w:val="single" w:color="auto" w:sz="4" w:space="0"/>
                    <w:right w:val="single" w:color="auto" w:sz="4" w:space="0"/>
                  </w:tcBorders>
                  <w:vAlign w:val="center"/>
                </w:tcPr>
                <w:p w14:paraId="1274E4FA">
                  <w:pPr>
                    <w:spacing w:line="0" w:lineRule="atLeast"/>
                    <w:jc w:val="center"/>
                  </w:pPr>
                  <w:r>
                    <w:t>10:00</w:t>
                  </w:r>
                </w:p>
              </w:tc>
              <w:tc>
                <w:tcPr>
                  <w:tcW w:w="707" w:type="dxa"/>
                  <w:tcBorders>
                    <w:top w:val="single" w:color="auto" w:sz="4" w:space="0"/>
                    <w:left w:val="single" w:color="auto" w:sz="4" w:space="0"/>
                    <w:bottom w:val="single" w:color="auto" w:sz="4" w:space="0"/>
                    <w:right w:val="single" w:color="auto" w:sz="4" w:space="0"/>
                  </w:tcBorders>
                  <w:vAlign w:val="center"/>
                </w:tcPr>
                <w:p w14:paraId="032A4AAB">
                  <w:pPr>
                    <w:spacing w:line="0" w:lineRule="atLeast"/>
                    <w:jc w:val="center"/>
                  </w:pPr>
                  <w:r>
                    <w:t>11:00</w:t>
                  </w:r>
                </w:p>
              </w:tc>
              <w:tc>
                <w:tcPr>
                  <w:tcW w:w="707" w:type="dxa"/>
                  <w:tcBorders>
                    <w:top w:val="single" w:color="auto" w:sz="4" w:space="0"/>
                    <w:left w:val="single" w:color="auto" w:sz="4" w:space="0"/>
                    <w:bottom w:val="single" w:color="auto" w:sz="4" w:space="0"/>
                    <w:right w:val="single" w:color="auto" w:sz="4" w:space="0"/>
                  </w:tcBorders>
                  <w:vAlign w:val="center"/>
                </w:tcPr>
                <w:p w14:paraId="7EFFD5D7">
                  <w:pPr>
                    <w:spacing w:line="0" w:lineRule="atLeast"/>
                    <w:jc w:val="center"/>
                  </w:pPr>
                  <w:r>
                    <w:t>12:00</w:t>
                  </w:r>
                </w:p>
              </w:tc>
              <w:tc>
                <w:tcPr>
                  <w:tcW w:w="707" w:type="dxa"/>
                  <w:tcBorders>
                    <w:top w:val="single" w:color="auto" w:sz="4" w:space="0"/>
                    <w:left w:val="single" w:color="auto" w:sz="4" w:space="0"/>
                    <w:bottom w:val="single" w:color="auto" w:sz="4" w:space="0"/>
                    <w:right w:val="single" w:color="auto" w:sz="4" w:space="0"/>
                  </w:tcBorders>
                  <w:vAlign w:val="center"/>
                </w:tcPr>
                <w:p w14:paraId="25FDED7D">
                  <w:pPr>
                    <w:spacing w:line="0" w:lineRule="atLeast"/>
                    <w:jc w:val="center"/>
                  </w:pPr>
                  <w:r>
                    <w:t>13:00</w:t>
                  </w:r>
                </w:p>
              </w:tc>
              <w:tc>
                <w:tcPr>
                  <w:tcW w:w="707" w:type="dxa"/>
                  <w:tcBorders>
                    <w:top w:val="single" w:color="auto" w:sz="4" w:space="0"/>
                    <w:left w:val="single" w:color="auto" w:sz="4" w:space="0"/>
                    <w:bottom w:val="single" w:color="auto" w:sz="4" w:space="0"/>
                    <w:right w:val="single" w:color="auto" w:sz="4" w:space="0"/>
                  </w:tcBorders>
                  <w:vAlign w:val="center"/>
                </w:tcPr>
                <w:p w14:paraId="66CCDA59">
                  <w:pPr>
                    <w:spacing w:line="0" w:lineRule="atLeast"/>
                    <w:jc w:val="center"/>
                  </w:pPr>
                  <w:r>
                    <w:t>14:00</w:t>
                  </w:r>
                </w:p>
              </w:tc>
              <w:tc>
                <w:tcPr>
                  <w:tcW w:w="707" w:type="dxa"/>
                  <w:tcBorders>
                    <w:top w:val="single" w:color="auto" w:sz="4" w:space="0"/>
                    <w:left w:val="single" w:color="auto" w:sz="4" w:space="0"/>
                    <w:bottom w:val="single" w:color="auto" w:sz="4" w:space="0"/>
                    <w:right w:val="single" w:color="auto" w:sz="4" w:space="0"/>
                  </w:tcBorders>
                  <w:vAlign w:val="center"/>
                </w:tcPr>
                <w:p w14:paraId="78A55C9E">
                  <w:pPr>
                    <w:spacing w:line="0" w:lineRule="atLeast"/>
                    <w:jc w:val="center"/>
                  </w:pPr>
                  <w:r>
                    <w:t>15:00</w:t>
                  </w:r>
                </w:p>
              </w:tc>
              <w:tc>
                <w:tcPr>
                  <w:tcW w:w="707" w:type="dxa"/>
                  <w:tcBorders>
                    <w:top w:val="single" w:color="auto" w:sz="4" w:space="0"/>
                    <w:left w:val="single" w:color="auto" w:sz="4" w:space="0"/>
                    <w:bottom w:val="single" w:color="auto" w:sz="4" w:space="0"/>
                    <w:right w:val="single" w:color="auto" w:sz="8" w:space="0"/>
                  </w:tcBorders>
                  <w:vAlign w:val="center"/>
                </w:tcPr>
                <w:p w14:paraId="43A9F4D0">
                  <w:pPr>
                    <w:spacing w:line="0" w:lineRule="atLeast"/>
                    <w:jc w:val="center"/>
                  </w:pPr>
                  <w:r>
                    <w:t>16:00</w:t>
                  </w:r>
                </w:p>
              </w:tc>
            </w:tr>
            <w:tr w14:paraId="7951B4E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86" w:type="dxa"/>
                  <w:tcBorders>
                    <w:top w:val="single" w:color="auto" w:sz="4" w:space="0"/>
                    <w:left w:val="single" w:color="auto" w:sz="8" w:space="0"/>
                    <w:bottom w:val="single" w:color="auto" w:sz="8" w:space="0"/>
                    <w:right w:val="single" w:color="auto" w:sz="4" w:space="0"/>
                  </w:tcBorders>
                  <w:vAlign w:val="center"/>
                </w:tcPr>
                <w:p w14:paraId="059D9B66">
                  <w:pPr>
                    <w:spacing w:line="0" w:lineRule="atLeast"/>
                    <w:jc w:val="center"/>
                    <w:rPr>
                      <w:rFonts w:hAnsi="宋体"/>
                    </w:rPr>
                  </w:pPr>
                  <w:r>
                    <w:rPr>
                      <w:rFonts w:hAnsi="宋体"/>
                    </w:rPr>
                    <w:t>19</w:t>
                  </w:r>
                  <w:r>
                    <w:rPr>
                      <w:rFonts w:hint="eastAsia" w:hAnsi="宋体"/>
                    </w:rPr>
                    <w:t>号</w:t>
                  </w:r>
                </w:p>
              </w:tc>
              <w:tc>
                <w:tcPr>
                  <w:tcW w:w="1250" w:type="dxa"/>
                  <w:tcBorders>
                    <w:top w:val="single" w:color="auto" w:sz="4" w:space="0"/>
                    <w:left w:val="single" w:color="auto" w:sz="4" w:space="0"/>
                    <w:bottom w:val="single" w:color="auto" w:sz="8" w:space="0"/>
                    <w:right w:val="single" w:color="auto" w:sz="4" w:space="0"/>
                  </w:tcBorders>
                  <w:vAlign w:val="center"/>
                </w:tcPr>
                <w:p w14:paraId="7DE69C7C">
                  <w:pPr>
                    <w:spacing w:line="0" w:lineRule="atLeast"/>
                    <w:jc w:val="center"/>
                  </w:pPr>
                  <w:r>
                    <w:t>44°02'51.53"</w:t>
                  </w:r>
                </w:p>
              </w:tc>
              <w:tc>
                <w:tcPr>
                  <w:tcW w:w="1297" w:type="dxa"/>
                  <w:tcBorders>
                    <w:top w:val="single" w:color="auto" w:sz="4" w:space="0"/>
                    <w:left w:val="single" w:color="auto" w:sz="4" w:space="0"/>
                    <w:bottom w:val="single" w:color="auto" w:sz="8" w:space="0"/>
                    <w:right w:val="single" w:color="auto" w:sz="4" w:space="0"/>
                  </w:tcBorders>
                  <w:vAlign w:val="center"/>
                </w:tcPr>
                <w:p w14:paraId="6927BE6F">
                  <w:pPr>
                    <w:spacing w:line="0" w:lineRule="atLeast"/>
                    <w:jc w:val="center"/>
                  </w:pPr>
                  <w:r>
                    <w:t>113°55'36.74"</w:t>
                  </w:r>
                </w:p>
              </w:tc>
              <w:tc>
                <w:tcPr>
                  <w:tcW w:w="707" w:type="dxa"/>
                  <w:tcBorders>
                    <w:top w:val="single" w:color="auto" w:sz="4" w:space="0"/>
                    <w:left w:val="single" w:color="auto" w:sz="4" w:space="0"/>
                    <w:bottom w:val="single" w:color="auto" w:sz="8" w:space="0"/>
                    <w:right w:val="single" w:color="auto" w:sz="4" w:space="0"/>
                  </w:tcBorders>
                  <w:vAlign w:val="center"/>
                </w:tcPr>
                <w:p w14:paraId="3B978E64">
                  <w:pPr>
                    <w:spacing w:line="0" w:lineRule="atLeast"/>
                    <w:jc w:val="center"/>
                    <w:rPr>
                      <w:rFonts w:hAnsi="宋体"/>
                    </w:rPr>
                  </w:pPr>
                  <w:r>
                    <w:rPr>
                      <w:rFonts w:hAnsi="宋体"/>
                    </w:rPr>
                    <w:t>9.23</w:t>
                  </w:r>
                </w:p>
              </w:tc>
              <w:tc>
                <w:tcPr>
                  <w:tcW w:w="707" w:type="dxa"/>
                  <w:tcBorders>
                    <w:top w:val="single" w:color="auto" w:sz="4" w:space="0"/>
                    <w:left w:val="single" w:color="auto" w:sz="4" w:space="0"/>
                    <w:bottom w:val="single" w:color="auto" w:sz="8" w:space="0"/>
                    <w:right w:val="single" w:color="auto" w:sz="4" w:space="0"/>
                  </w:tcBorders>
                  <w:vAlign w:val="center"/>
                </w:tcPr>
                <w:p w14:paraId="248FDFFC">
                  <w:pPr>
                    <w:spacing w:line="0" w:lineRule="atLeast"/>
                    <w:jc w:val="center"/>
                    <w:rPr>
                      <w:rFonts w:hAnsi="宋体"/>
                    </w:rPr>
                  </w:pPr>
                  <w:r>
                    <w:rPr>
                      <w:rFonts w:hAnsi="宋体"/>
                    </w:rPr>
                    <w:t>16.22</w:t>
                  </w:r>
                </w:p>
              </w:tc>
              <w:tc>
                <w:tcPr>
                  <w:tcW w:w="707" w:type="dxa"/>
                  <w:tcBorders>
                    <w:top w:val="single" w:color="auto" w:sz="4" w:space="0"/>
                    <w:left w:val="single" w:color="auto" w:sz="4" w:space="0"/>
                    <w:bottom w:val="single" w:color="auto" w:sz="8" w:space="0"/>
                    <w:right w:val="single" w:color="auto" w:sz="4" w:space="0"/>
                  </w:tcBorders>
                  <w:vAlign w:val="center"/>
                </w:tcPr>
                <w:p w14:paraId="23845866">
                  <w:pPr>
                    <w:spacing w:line="0" w:lineRule="atLeast"/>
                    <w:jc w:val="center"/>
                    <w:rPr>
                      <w:rFonts w:hAnsi="宋体"/>
                    </w:rPr>
                  </w:pPr>
                  <w:r>
                    <w:rPr>
                      <w:rFonts w:hAnsi="宋体"/>
                    </w:rPr>
                    <w:t>21.13</w:t>
                  </w:r>
                </w:p>
              </w:tc>
              <w:tc>
                <w:tcPr>
                  <w:tcW w:w="707" w:type="dxa"/>
                  <w:tcBorders>
                    <w:top w:val="single" w:color="auto" w:sz="4" w:space="0"/>
                    <w:left w:val="single" w:color="auto" w:sz="4" w:space="0"/>
                    <w:bottom w:val="single" w:color="auto" w:sz="8" w:space="0"/>
                    <w:right w:val="single" w:color="auto" w:sz="4" w:space="0"/>
                  </w:tcBorders>
                  <w:vAlign w:val="center"/>
                </w:tcPr>
                <w:p w14:paraId="2AA06ACE">
                  <w:pPr>
                    <w:spacing w:line="0" w:lineRule="atLeast"/>
                    <w:ind w:left="-105" w:leftChars="-50" w:right="-105" w:rightChars="-50"/>
                    <w:jc w:val="center"/>
                    <w:rPr>
                      <w:rFonts w:hAnsi="宋体"/>
                    </w:rPr>
                  </w:pPr>
                  <w:r>
                    <w:rPr>
                      <w:rFonts w:hAnsi="宋体"/>
                    </w:rPr>
                    <w:t>23.49</w:t>
                  </w:r>
                </w:p>
              </w:tc>
              <w:tc>
                <w:tcPr>
                  <w:tcW w:w="707" w:type="dxa"/>
                  <w:tcBorders>
                    <w:top w:val="single" w:color="auto" w:sz="4" w:space="0"/>
                    <w:left w:val="single" w:color="auto" w:sz="4" w:space="0"/>
                    <w:bottom w:val="single" w:color="auto" w:sz="8" w:space="0"/>
                    <w:right w:val="single" w:color="auto" w:sz="4" w:space="0"/>
                  </w:tcBorders>
                  <w:vAlign w:val="center"/>
                </w:tcPr>
                <w:p w14:paraId="7BABE17D">
                  <w:pPr>
                    <w:spacing w:line="0" w:lineRule="atLeast"/>
                    <w:ind w:left="-105" w:leftChars="-50" w:right="-105" w:rightChars="-50"/>
                    <w:jc w:val="center"/>
                    <w:rPr>
                      <w:rFonts w:hAnsi="宋体"/>
                    </w:rPr>
                  </w:pPr>
                  <w:r>
                    <w:rPr>
                      <w:rFonts w:hAnsi="宋体"/>
                    </w:rPr>
                    <w:t>23.01</w:t>
                  </w:r>
                </w:p>
              </w:tc>
              <w:tc>
                <w:tcPr>
                  <w:tcW w:w="707" w:type="dxa"/>
                  <w:tcBorders>
                    <w:top w:val="single" w:color="auto" w:sz="4" w:space="0"/>
                    <w:left w:val="single" w:color="auto" w:sz="4" w:space="0"/>
                    <w:bottom w:val="single" w:color="auto" w:sz="8" w:space="0"/>
                    <w:right w:val="single" w:color="auto" w:sz="4" w:space="0"/>
                  </w:tcBorders>
                  <w:vAlign w:val="center"/>
                </w:tcPr>
                <w:p w14:paraId="1419CCD2">
                  <w:pPr>
                    <w:spacing w:line="0" w:lineRule="atLeast"/>
                    <w:jc w:val="center"/>
                    <w:rPr>
                      <w:rFonts w:hAnsi="宋体"/>
                    </w:rPr>
                  </w:pPr>
                  <w:r>
                    <w:rPr>
                      <w:rFonts w:hAnsi="宋体"/>
                    </w:rPr>
                    <w:t>19.74</w:t>
                  </w:r>
                </w:p>
              </w:tc>
              <w:tc>
                <w:tcPr>
                  <w:tcW w:w="707" w:type="dxa"/>
                  <w:tcBorders>
                    <w:top w:val="single" w:color="auto" w:sz="4" w:space="0"/>
                    <w:left w:val="single" w:color="auto" w:sz="4" w:space="0"/>
                    <w:bottom w:val="single" w:color="auto" w:sz="8" w:space="0"/>
                    <w:right w:val="single" w:color="auto" w:sz="4" w:space="0"/>
                  </w:tcBorders>
                  <w:vAlign w:val="center"/>
                </w:tcPr>
                <w:p w14:paraId="6A938234">
                  <w:pPr>
                    <w:spacing w:line="0" w:lineRule="atLeast"/>
                    <w:jc w:val="center"/>
                    <w:rPr>
                      <w:rFonts w:hAnsi="宋体"/>
                    </w:rPr>
                  </w:pPr>
                  <w:r>
                    <w:rPr>
                      <w:rFonts w:hAnsi="宋体"/>
                    </w:rPr>
                    <w:t>14.07</w:t>
                  </w:r>
                </w:p>
              </w:tc>
              <w:tc>
                <w:tcPr>
                  <w:tcW w:w="707" w:type="dxa"/>
                  <w:tcBorders>
                    <w:top w:val="single" w:color="auto" w:sz="4" w:space="0"/>
                    <w:left w:val="single" w:color="auto" w:sz="4" w:space="0"/>
                    <w:bottom w:val="single" w:color="auto" w:sz="8" w:space="0"/>
                    <w:right w:val="single" w:color="auto" w:sz="8" w:space="0"/>
                  </w:tcBorders>
                  <w:vAlign w:val="center"/>
                </w:tcPr>
                <w:p w14:paraId="0AAF2756">
                  <w:pPr>
                    <w:spacing w:line="0" w:lineRule="atLeast"/>
                    <w:jc w:val="center"/>
                    <w:rPr>
                      <w:rFonts w:hAnsi="宋体"/>
                    </w:rPr>
                  </w:pPr>
                  <w:r>
                    <w:rPr>
                      <w:rFonts w:hAnsi="宋体"/>
                    </w:rPr>
                    <w:t>6.51</w:t>
                  </w:r>
                </w:p>
              </w:tc>
            </w:tr>
          </w:tbl>
          <w:p w14:paraId="68639C03">
            <w:pPr>
              <w:spacing w:beforeLines="50"/>
              <w:ind w:firstLine="480" w:firstLineChars="200"/>
              <w:rPr>
                <w:color w:val="000000"/>
                <w:sz w:val="24"/>
              </w:rPr>
            </w:pPr>
            <w:r>
              <w:rPr>
                <w:rFonts w:hint="eastAsia"/>
                <w:color w:val="000000"/>
                <w:sz w:val="24"/>
              </w:rPr>
              <w:t>（</w:t>
            </w:r>
            <w:r>
              <w:rPr>
                <w:color w:val="000000"/>
                <w:sz w:val="24"/>
              </w:rPr>
              <w:t>3</w:t>
            </w:r>
            <w:r>
              <w:rPr>
                <w:rFonts w:hint="eastAsia"/>
                <w:color w:val="000000"/>
                <w:sz w:val="24"/>
              </w:rPr>
              <w:t>）风机阴影长度</w:t>
            </w:r>
            <w:r>
              <w:rPr>
                <w:i/>
                <w:color w:val="000000"/>
                <w:sz w:val="24"/>
              </w:rPr>
              <w:t>L</w:t>
            </w:r>
            <w:r>
              <w:rPr>
                <w:rFonts w:hint="eastAsia"/>
                <w:color w:val="000000"/>
                <w:sz w:val="24"/>
              </w:rPr>
              <w:t>的计算</w:t>
            </w:r>
          </w:p>
          <w:p w14:paraId="72BAE8DC">
            <w:pPr>
              <w:ind w:firstLine="480" w:firstLineChars="200"/>
              <w:rPr>
                <w:color w:val="000000"/>
                <w:sz w:val="24"/>
              </w:rPr>
            </w:pPr>
            <w:r>
              <w:rPr>
                <w:i/>
                <w:color w:val="000000"/>
                <w:sz w:val="24"/>
              </w:rPr>
              <w:t>L</w:t>
            </w:r>
            <w:r>
              <w:rPr>
                <w:color w:val="000000"/>
                <w:sz w:val="24"/>
              </w:rPr>
              <w:t>=</w:t>
            </w:r>
            <w:r>
              <w:rPr>
                <w:i/>
                <w:color w:val="000000"/>
                <w:sz w:val="24"/>
              </w:rPr>
              <w:t>D</w:t>
            </w:r>
            <w:r>
              <w:rPr>
                <w:color w:val="000000"/>
                <w:sz w:val="24"/>
              </w:rPr>
              <w:t>/</w:t>
            </w:r>
            <w:r>
              <w:rPr>
                <w:i/>
                <w:color w:val="000000"/>
                <w:sz w:val="24"/>
              </w:rPr>
              <w:t>tgh</w:t>
            </w:r>
            <w:r>
              <w:rPr>
                <w:color w:val="000000"/>
                <w:sz w:val="24"/>
                <w:vertAlign w:val="subscript"/>
              </w:rPr>
              <w:t>0</w:t>
            </w:r>
          </w:p>
          <w:p w14:paraId="498B1EFD">
            <w:pPr>
              <w:ind w:firstLine="480" w:firstLineChars="200"/>
              <w:rPr>
                <w:color w:val="000000"/>
                <w:sz w:val="24"/>
              </w:rPr>
            </w:pPr>
            <w:r>
              <w:rPr>
                <w:rFonts w:hint="eastAsia"/>
                <w:color w:val="000000"/>
                <w:sz w:val="24"/>
              </w:rPr>
              <w:t>式中：</w:t>
            </w:r>
            <w:r>
              <w:rPr>
                <w:i/>
                <w:color w:val="000000"/>
                <w:sz w:val="24"/>
              </w:rPr>
              <w:t>D</w:t>
            </w:r>
            <w:r>
              <w:rPr>
                <w:rFonts w:hint="eastAsia"/>
                <w:color w:val="000000"/>
                <w:sz w:val="24"/>
              </w:rPr>
              <w:t>为风机高度，</w:t>
            </w:r>
            <w:r>
              <w:rPr>
                <w:i/>
                <w:color w:val="000000"/>
                <w:sz w:val="24"/>
              </w:rPr>
              <w:t>D</w:t>
            </w:r>
            <w:r>
              <w:rPr>
                <w:color w:val="000000"/>
                <w:sz w:val="24"/>
              </w:rPr>
              <w:t>=</w:t>
            </w:r>
            <w:r>
              <w:rPr>
                <w:i/>
                <w:color w:val="000000"/>
                <w:sz w:val="24"/>
              </w:rPr>
              <w:t>D</w:t>
            </w:r>
            <w:r>
              <w:rPr>
                <w:color w:val="000000"/>
                <w:sz w:val="24"/>
                <w:vertAlign w:val="subscript"/>
              </w:rPr>
              <w:t>0</w:t>
            </w:r>
            <w:r>
              <w:rPr>
                <w:color w:val="000000"/>
                <w:sz w:val="24"/>
              </w:rPr>
              <w:t>+</w:t>
            </w:r>
            <w:r>
              <w:rPr>
                <w:i/>
                <w:color w:val="000000"/>
                <w:sz w:val="24"/>
              </w:rPr>
              <w:t>D</w:t>
            </w:r>
            <w:r>
              <w:rPr>
                <w:color w:val="000000"/>
                <w:sz w:val="24"/>
                <w:vertAlign w:val="subscript"/>
              </w:rPr>
              <w:t>1</w:t>
            </w:r>
            <w:r>
              <w:rPr>
                <w:rFonts w:hint="eastAsia"/>
                <w:color w:val="000000"/>
                <w:sz w:val="24"/>
              </w:rPr>
              <w:t>，</w:t>
            </w:r>
            <w:r>
              <w:rPr>
                <w:i/>
                <w:color w:val="000000"/>
                <w:sz w:val="24"/>
              </w:rPr>
              <w:t>D</w:t>
            </w:r>
            <w:r>
              <w:rPr>
                <w:color w:val="000000"/>
                <w:sz w:val="24"/>
                <w:vertAlign w:val="subscript"/>
              </w:rPr>
              <w:t>0</w:t>
            </w:r>
            <w:r>
              <w:rPr>
                <w:rFonts w:hint="eastAsia"/>
                <w:color w:val="000000"/>
                <w:sz w:val="24"/>
              </w:rPr>
              <w:t>为风机高度，</w:t>
            </w:r>
            <w:r>
              <w:rPr>
                <w:i/>
                <w:color w:val="000000"/>
                <w:sz w:val="24"/>
              </w:rPr>
              <w:t>D</w:t>
            </w:r>
            <w:r>
              <w:rPr>
                <w:color w:val="000000"/>
                <w:sz w:val="24"/>
                <w:vertAlign w:val="subscript"/>
              </w:rPr>
              <w:t>1</w:t>
            </w:r>
            <w:r>
              <w:rPr>
                <w:rFonts w:hint="eastAsia"/>
                <w:color w:val="000000"/>
                <w:sz w:val="24"/>
              </w:rPr>
              <w:t>为风机所在位置和敏感点的高差。</w:t>
            </w:r>
          </w:p>
          <w:p w14:paraId="53451CFA">
            <w:pPr>
              <w:ind w:firstLine="480" w:firstLineChars="200"/>
              <w:rPr>
                <w:rFonts w:ascii="黑体" w:hAnsi="黑体" w:eastAsia="黑体"/>
                <w:color w:val="000000"/>
                <w:sz w:val="24"/>
              </w:rPr>
            </w:pPr>
            <w:r>
              <w:rPr>
                <w:rFonts w:hint="eastAsia" w:ascii="黑体" w:hAnsi="黑体" w:eastAsia="黑体"/>
                <w:color w:val="000000"/>
                <w:sz w:val="24"/>
              </w:rPr>
              <w:t>表29            19号风机光影影响计算成果一览表</w:t>
            </w:r>
          </w:p>
          <w:tbl>
            <w:tblPr>
              <w:tblStyle w:val="25"/>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28" w:type="dxa"/>
                <w:bottom w:w="0" w:type="dxa"/>
                <w:right w:w="28" w:type="dxa"/>
              </w:tblCellMar>
            </w:tblPr>
            <w:tblGrid>
              <w:gridCol w:w="914"/>
              <w:gridCol w:w="1528"/>
              <w:gridCol w:w="2310"/>
              <w:gridCol w:w="2310"/>
              <w:gridCol w:w="1727"/>
            </w:tblGrid>
            <w:tr w14:paraId="6A437B3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914" w:type="dxa"/>
                  <w:vMerge w:val="restart"/>
                  <w:tcBorders>
                    <w:top w:val="single" w:color="auto" w:sz="8" w:space="0"/>
                    <w:left w:val="single" w:color="auto" w:sz="8" w:space="0"/>
                    <w:bottom w:val="single" w:color="auto" w:sz="4" w:space="0"/>
                    <w:right w:val="single" w:color="auto" w:sz="4" w:space="0"/>
                  </w:tcBorders>
                  <w:vAlign w:val="center"/>
                </w:tcPr>
                <w:p w14:paraId="0E7183E6">
                  <w:pPr>
                    <w:spacing w:line="0" w:lineRule="atLeast"/>
                    <w:jc w:val="center"/>
                    <w:rPr>
                      <w:rFonts w:hAnsi="宋体"/>
                    </w:rPr>
                  </w:pPr>
                  <w:r>
                    <w:rPr>
                      <w:rFonts w:hint="eastAsia"/>
                    </w:rPr>
                    <w:t>时间</w:t>
                  </w:r>
                </w:p>
              </w:tc>
              <w:tc>
                <w:tcPr>
                  <w:tcW w:w="1528" w:type="dxa"/>
                  <w:vMerge w:val="restart"/>
                  <w:tcBorders>
                    <w:top w:val="single" w:color="auto" w:sz="8" w:space="0"/>
                    <w:left w:val="single" w:color="auto" w:sz="4" w:space="0"/>
                    <w:bottom w:val="single" w:color="auto" w:sz="4" w:space="0"/>
                    <w:right w:val="single" w:color="auto" w:sz="4" w:space="0"/>
                  </w:tcBorders>
                  <w:vAlign w:val="center"/>
                </w:tcPr>
                <w:p w14:paraId="5D350ECD">
                  <w:pPr>
                    <w:spacing w:line="0" w:lineRule="atLeast"/>
                    <w:jc w:val="center"/>
                  </w:pPr>
                  <w:r>
                    <w:rPr>
                      <w:rFonts w:hint="eastAsia"/>
                    </w:rPr>
                    <w:t>太阳高度角</w:t>
                  </w:r>
                </w:p>
              </w:tc>
              <w:tc>
                <w:tcPr>
                  <w:tcW w:w="4620" w:type="dxa"/>
                  <w:gridSpan w:val="2"/>
                  <w:tcBorders>
                    <w:top w:val="single" w:color="auto" w:sz="8" w:space="0"/>
                    <w:left w:val="single" w:color="auto" w:sz="4" w:space="0"/>
                    <w:bottom w:val="single" w:color="auto" w:sz="4" w:space="0"/>
                    <w:right w:val="single" w:color="auto" w:sz="4" w:space="0"/>
                  </w:tcBorders>
                  <w:vAlign w:val="center"/>
                </w:tcPr>
                <w:p w14:paraId="3B6E184F">
                  <w:pPr>
                    <w:spacing w:line="0" w:lineRule="atLeast"/>
                    <w:ind w:left="-105" w:leftChars="-50" w:right="-105" w:rightChars="-50"/>
                    <w:jc w:val="center"/>
                    <w:rPr>
                      <w:rFonts w:hAnsi="宋体"/>
                    </w:rPr>
                  </w:pPr>
                  <w:r>
                    <w:rPr>
                      <w:rFonts w:hint="eastAsia"/>
                    </w:rPr>
                    <w:t>有效高度</w:t>
                  </w:r>
                </w:p>
              </w:tc>
              <w:tc>
                <w:tcPr>
                  <w:tcW w:w="1727" w:type="dxa"/>
                  <w:vMerge w:val="restart"/>
                  <w:tcBorders>
                    <w:top w:val="single" w:color="auto" w:sz="8" w:space="0"/>
                    <w:left w:val="single" w:color="auto" w:sz="4" w:space="0"/>
                    <w:bottom w:val="single" w:color="auto" w:sz="4" w:space="0"/>
                    <w:right w:val="single" w:color="auto" w:sz="8" w:space="0"/>
                  </w:tcBorders>
                  <w:vAlign w:val="center"/>
                </w:tcPr>
                <w:p w14:paraId="0CBDFD4B">
                  <w:pPr>
                    <w:spacing w:line="0" w:lineRule="atLeast"/>
                    <w:jc w:val="center"/>
                    <w:rPr>
                      <w:rFonts w:hAnsi="宋体"/>
                    </w:rPr>
                  </w:pPr>
                  <w:r>
                    <w:rPr>
                      <w:rFonts w:hint="eastAsia"/>
                    </w:rPr>
                    <w:t>影响距离</w:t>
                  </w:r>
                </w:p>
              </w:tc>
            </w:tr>
            <w:tr w14:paraId="2ADF1EC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914" w:type="dxa"/>
                  <w:vMerge w:val="continue"/>
                  <w:tcBorders>
                    <w:top w:val="single" w:color="auto" w:sz="8" w:space="0"/>
                    <w:left w:val="single" w:color="auto" w:sz="8" w:space="0"/>
                    <w:bottom w:val="single" w:color="auto" w:sz="4" w:space="0"/>
                    <w:right w:val="single" w:color="auto" w:sz="4" w:space="0"/>
                  </w:tcBorders>
                  <w:vAlign w:val="center"/>
                </w:tcPr>
                <w:p w14:paraId="6D4AB9AC">
                  <w:pPr>
                    <w:widowControl/>
                    <w:spacing w:line="240" w:lineRule="auto"/>
                    <w:jc w:val="left"/>
                    <w:rPr>
                      <w:rFonts w:hAnsi="宋体"/>
                    </w:rPr>
                  </w:pPr>
                </w:p>
              </w:tc>
              <w:tc>
                <w:tcPr>
                  <w:tcW w:w="1528" w:type="dxa"/>
                  <w:vMerge w:val="continue"/>
                  <w:tcBorders>
                    <w:top w:val="single" w:color="auto" w:sz="8" w:space="0"/>
                    <w:left w:val="single" w:color="auto" w:sz="4" w:space="0"/>
                    <w:bottom w:val="single" w:color="auto" w:sz="4" w:space="0"/>
                    <w:right w:val="single" w:color="auto" w:sz="4" w:space="0"/>
                  </w:tcBorders>
                  <w:vAlign w:val="center"/>
                </w:tcPr>
                <w:p w14:paraId="781E11DE">
                  <w:pPr>
                    <w:widowControl/>
                    <w:spacing w:line="240" w:lineRule="auto"/>
                    <w:jc w:val="left"/>
                  </w:pPr>
                </w:p>
              </w:tc>
              <w:tc>
                <w:tcPr>
                  <w:tcW w:w="2310" w:type="dxa"/>
                  <w:tcBorders>
                    <w:top w:val="single" w:color="auto" w:sz="4" w:space="0"/>
                    <w:left w:val="single" w:color="auto" w:sz="4" w:space="0"/>
                    <w:bottom w:val="single" w:color="auto" w:sz="4" w:space="0"/>
                    <w:right w:val="single" w:color="auto" w:sz="4" w:space="0"/>
                  </w:tcBorders>
                  <w:vAlign w:val="center"/>
                </w:tcPr>
                <w:p w14:paraId="286666A8">
                  <w:pPr>
                    <w:spacing w:line="0" w:lineRule="atLeast"/>
                    <w:jc w:val="center"/>
                    <w:rPr>
                      <w:rFonts w:hAnsi="宋体"/>
                    </w:rPr>
                  </w:pPr>
                  <w:r>
                    <w:rPr>
                      <w:rFonts w:hint="eastAsia"/>
                    </w:rPr>
                    <w:t>风机高度</w:t>
                  </w:r>
                </w:p>
              </w:tc>
              <w:tc>
                <w:tcPr>
                  <w:tcW w:w="2310" w:type="dxa"/>
                  <w:tcBorders>
                    <w:top w:val="single" w:color="auto" w:sz="4" w:space="0"/>
                    <w:left w:val="single" w:color="auto" w:sz="4" w:space="0"/>
                    <w:bottom w:val="single" w:color="auto" w:sz="4" w:space="0"/>
                    <w:right w:val="single" w:color="auto" w:sz="4" w:space="0"/>
                  </w:tcBorders>
                  <w:vAlign w:val="center"/>
                </w:tcPr>
                <w:p w14:paraId="3A738425">
                  <w:pPr>
                    <w:spacing w:line="0" w:lineRule="atLeast"/>
                    <w:ind w:left="-105" w:leftChars="-50" w:right="-105" w:rightChars="-50"/>
                    <w:jc w:val="center"/>
                    <w:rPr>
                      <w:rFonts w:hAnsi="宋体"/>
                    </w:rPr>
                  </w:pPr>
                  <w:r>
                    <w:rPr>
                      <w:rFonts w:hint="eastAsia"/>
                    </w:rPr>
                    <w:t>风机与敏感点高差</w:t>
                  </w:r>
                </w:p>
              </w:tc>
              <w:tc>
                <w:tcPr>
                  <w:tcW w:w="1727" w:type="dxa"/>
                  <w:vMerge w:val="continue"/>
                  <w:tcBorders>
                    <w:top w:val="single" w:color="auto" w:sz="8" w:space="0"/>
                    <w:left w:val="single" w:color="auto" w:sz="4" w:space="0"/>
                    <w:bottom w:val="single" w:color="auto" w:sz="4" w:space="0"/>
                    <w:right w:val="single" w:color="auto" w:sz="8" w:space="0"/>
                  </w:tcBorders>
                  <w:vAlign w:val="center"/>
                </w:tcPr>
                <w:p w14:paraId="397B8B13">
                  <w:pPr>
                    <w:widowControl/>
                    <w:spacing w:line="240" w:lineRule="auto"/>
                    <w:jc w:val="left"/>
                    <w:rPr>
                      <w:rFonts w:hAnsi="宋体"/>
                    </w:rPr>
                  </w:pPr>
                </w:p>
              </w:tc>
            </w:tr>
            <w:tr w14:paraId="63D9C53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914" w:type="dxa"/>
                  <w:tcBorders>
                    <w:top w:val="single" w:color="auto" w:sz="4" w:space="0"/>
                    <w:left w:val="single" w:color="auto" w:sz="8" w:space="0"/>
                    <w:bottom w:val="single" w:color="auto" w:sz="4" w:space="0"/>
                    <w:right w:val="single" w:color="auto" w:sz="4" w:space="0"/>
                  </w:tcBorders>
                  <w:vAlign w:val="center"/>
                </w:tcPr>
                <w:p w14:paraId="7FDA654F">
                  <w:pPr>
                    <w:spacing w:line="0" w:lineRule="atLeast"/>
                    <w:jc w:val="center"/>
                  </w:pPr>
                  <w:r>
                    <w:t>9:00</w:t>
                  </w:r>
                </w:p>
              </w:tc>
              <w:tc>
                <w:tcPr>
                  <w:tcW w:w="1528" w:type="dxa"/>
                  <w:tcBorders>
                    <w:top w:val="single" w:color="auto" w:sz="4" w:space="0"/>
                    <w:left w:val="single" w:color="auto" w:sz="4" w:space="0"/>
                    <w:bottom w:val="single" w:color="auto" w:sz="4" w:space="0"/>
                    <w:right w:val="single" w:color="auto" w:sz="4" w:space="0"/>
                  </w:tcBorders>
                  <w:vAlign w:val="center"/>
                </w:tcPr>
                <w:p w14:paraId="41377DA3">
                  <w:pPr>
                    <w:spacing w:line="0" w:lineRule="atLeast"/>
                    <w:jc w:val="center"/>
                  </w:pPr>
                  <w:r>
                    <w:rPr>
                      <w:rFonts w:hAnsi="宋体"/>
                    </w:rPr>
                    <w:t>9.23</w:t>
                  </w:r>
                </w:p>
              </w:tc>
              <w:tc>
                <w:tcPr>
                  <w:tcW w:w="2310" w:type="dxa"/>
                  <w:vMerge w:val="restart"/>
                  <w:tcBorders>
                    <w:top w:val="single" w:color="auto" w:sz="4" w:space="0"/>
                    <w:left w:val="single" w:color="auto" w:sz="4" w:space="0"/>
                    <w:bottom w:val="single" w:color="auto" w:sz="8" w:space="0"/>
                    <w:right w:val="single" w:color="auto" w:sz="4" w:space="0"/>
                  </w:tcBorders>
                  <w:vAlign w:val="center"/>
                </w:tcPr>
                <w:p w14:paraId="48766553">
                  <w:pPr>
                    <w:spacing w:line="0" w:lineRule="atLeast"/>
                    <w:jc w:val="center"/>
                    <w:rPr>
                      <w:rFonts w:hAnsi="宋体"/>
                    </w:rPr>
                  </w:pPr>
                  <w:r>
                    <w:rPr>
                      <w:rFonts w:hAnsi="宋体"/>
                    </w:rPr>
                    <w:t>90</w:t>
                  </w:r>
                </w:p>
              </w:tc>
              <w:tc>
                <w:tcPr>
                  <w:tcW w:w="2310" w:type="dxa"/>
                  <w:vMerge w:val="restart"/>
                  <w:tcBorders>
                    <w:top w:val="single" w:color="auto" w:sz="4" w:space="0"/>
                    <w:left w:val="single" w:color="auto" w:sz="4" w:space="0"/>
                    <w:bottom w:val="single" w:color="auto" w:sz="8" w:space="0"/>
                    <w:right w:val="single" w:color="auto" w:sz="4" w:space="0"/>
                  </w:tcBorders>
                  <w:vAlign w:val="center"/>
                </w:tcPr>
                <w:p w14:paraId="35EB9DA6">
                  <w:pPr>
                    <w:spacing w:line="0" w:lineRule="atLeast"/>
                    <w:ind w:left="-105" w:leftChars="-50" w:right="-105" w:rightChars="-50"/>
                    <w:jc w:val="center"/>
                    <w:rPr>
                      <w:rFonts w:hAnsi="宋体"/>
                    </w:rPr>
                  </w:pPr>
                  <w:r>
                    <w:rPr>
                      <w:rFonts w:hAnsi="宋体"/>
                    </w:rPr>
                    <w:t>22</w:t>
                  </w:r>
                </w:p>
              </w:tc>
              <w:tc>
                <w:tcPr>
                  <w:tcW w:w="1727" w:type="dxa"/>
                  <w:tcBorders>
                    <w:top w:val="single" w:color="auto" w:sz="4" w:space="0"/>
                    <w:left w:val="single" w:color="auto" w:sz="4" w:space="0"/>
                    <w:bottom w:val="single" w:color="auto" w:sz="4" w:space="0"/>
                    <w:right w:val="single" w:color="auto" w:sz="8" w:space="0"/>
                  </w:tcBorders>
                  <w:vAlign w:val="center"/>
                </w:tcPr>
                <w:p w14:paraId="1B9804CD">
                  <w:pPr>
                    <w:spacing w:line="0" w:lineRule="atLeast"/>
                    <w:jc w:val="center"/>
                    <w:rPr>
                      <w:rFonts w:hAnsi="宋体"/>
                    </w:rPr>
                  </w:pPr>
                  <w:r>
                    <w:rPr>
                      <w:rFonts w:hAnsi="宋体"/>
                    </w:rPr>
                    <w:t>689</w:t>
                  </w:r>
                </w:p>
              </w:tc>
            </w:tr>
            <w:tr w14:paraId="3EEE612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914" w:type="dxa"/>
                  <w:tcBorders>
                    <w:top w:val="single" w:color="auto" w:sz="4" w:space="0"/>
                    <w:left w:val="single" w:color="auto" w:sz="8" w:space="0"/>
                    <w:bottom w:val="single" w:color="auto" w:sz="4" w:space="0"/>
                    <w:right w:val="single" w:color="auto" w:sz="4" w:space="0"/>
                  </w:tcBorders>
                  <w:vAlign w:val="center"/>
                </w:tcPr>
                <w:p w14:paraId="4730E236">
                  <w:pPr>
                    <w:spacing w:line="0" w:lineRule="atLeast"/>
                    <w:jc w:val="center"/>
                  </w:pPr>
                  <w:r>
                    <w:t>10:00</w:t>
                  </w:r>
                </w:p>
              </w:tc>
              <w:tc>
                <w:tcPr>
                  <w:tcW w:w="1528" w:type="dxa"/>
                  <w:tcBorders>
                    <w:top w:val="single" w:color="auto" w:sz="4" w:space="0"/>
                    <w:left w:val="single" w:color="auto" w:sz="4" w:space="0"/>
                    <w:bottom w:val="single" w:color="auto" w:sz="4" w:space="0"/>
                    <w:right w:val="single" w:color="auto" w:sz="4" w:space="0"/>
                  </w:tcBorders>
                  <w:vAlign w:val="center"/>
                </w:tcPr>
                <w:p w14:paraId="2227E6F1">
                  <w:pPr>
                    <w:spacing w:line="0" w:lineRule="atLeast"/>
                    <w:jc w:val="center"/>
                  </w:pPr>
                  <w:r>
                    <w:rPr>
                      <w:rFonts w:hAnsi="宋体"/>
                    </w:rPr>
                    <w:t>16.22</w:t>
                  </w:r>
                </w:p>
              </w:tc>
              <w:tc>
                <w:tcPr>
                  <w:tcW w:w="4620" w:type="dxa"/>
                  <w:vMerge w:val="continue"/>
                  <w:tcBorders>
                    <w:top w:val="single" w:color="auto" w:sz="4" w:space="0"/>
                    <w:left w:val="single" w:color="auto" w:sz="4" w:space="0"/>
                    <w:bottom w:val="single" w:color="auto" w:sz="8" w:space="0"/>
                    <w:right w:val="single" w:color="auto" w:sz="4" w:space="0"/>
                  </w:tcBorders>
                  <w:vAlign w:val="center"/>
                </w:tcPr>
                <w:p w14:paraId="19A237EE">
                  <w:pPr>
                    <w:widowControl/>
                    <w:spacing w:line="240" w:lineRule="auto"/>
                    <w:jc w:val="left"/>
                    <w:rPr>
                      <w:rFonts w:hAnsi="宋体"/>
                    </w:rPr>
                  </w:pPr>
                </w:p>
              </w:tc>
              <w:tc>
                <w:tcPr>
                  <w:tcW w:w="2310" w:type="dxa"/>
                  <w:vMerge w:val="continue"/>
                  <w:tcBorders>
                    <w:top w:val="single" w:color="auto" w:sz="4" w:space="0"/>
                    <w:left w:val="single" w:color="auto" w:sz="4" w:space="0"/>
                    <w:bottom w:val="single" w:color="auto" w:sz="8" w:space="0"/>
                    <w:right w:val="single" w:color="auto" w:sz="4" w:space="0"/>
                  </w:tcBorders>
                  <w:vAlign w:val="center"/>
                </w:tcPr>
                <w:p w14:paraId="425189B3">
                  <w:pPr>
                    <w:widowControl/>
                    <w:spacing w:line="240" w:lineRule="auto"/>
                    <w:jc w:val="left"/>
                    <w:rPr>
                      <w:rFonts w:hAnsi="宋体"/>
                    </w:rPr>
                  </w:pPr>
                </w:p>
              </w:tc>
              <w:tc>
                <w:tcPr>
                  <w:tcW w:w="1727" w:type="dxa"/>
                  <w:tcBorders>
                    <w:top w:val="single" w:color="auto" w:sz="4" w:space="0"/>
                    <w:left w:val="single" w:color="auto" w:sz="4" w:space="0"/>
                    <w:bottom w:val="single" w:color="auto" w:sz="4" w:space="0"/>
                    <w:right w:val="single" w:color="auto" w:sz="8" w:space="0"/>
                  </w:tcBorders>
                  <w:vAlign w:val="center"/>
                </w:tcPr>
                <w:p w14:paraId="0147D0E0">
                  <w:pPr>
                    <w:spacing w:line="0" w:lineRule="atLeast"/>
                    <w:jc w:val="center"/>
                    <w:rPr>
                      <w:rFonts w:hAnsi="宋体"/>
                    </w:rPr>
                  </w:pPr>
                  <w:r>
                    <w:rPr>
                      <w:rFonts w:hAnsi="宋体"/>
                    </w:rPr>
                    <w:t>385</w:t>
                  </w:r>
                </w:p>
              </w:tc>
            </w:tr>
            <w:tr w14:paraId="50C91DA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914" w:type="dxa"/>
                  <w:tcBorders>
                    <w:top w:val="single" w:color="auto" w:sz="4" w:space="0"/>
                    <w:left w:val="single" w:color="auto" w:sz="8" w:space="0"/>
                    <w:bottom w:val="single" w:color="auto" w:sz="4" w:space="0"/>
                    <w:right w:val="single" w:color="auto" w:sz="4" w:space="0"/>
                  </w:tcBorders>
                  <w:vAlign w:val="center"/>
                </w:tcPr>
                <w:p w14:paraId="4EE0E22E">
                  <w:pPr>
                    <w:spacing w:line="0" w:lineRule="atLeast"/>
                    <w:jc w:val="center"/>
                  </w:pPr>
                  <w:r>
                    <w:t>11:00</w:t>
                  </w:r>
                </w:p>
              </w:tc>
              <w:tc>
                <w:tcPr>
                  <w:tcW w:w="1528" w:type="dxa"/>
                  <w:tcBorders>
                    <w:top w:val="single" w:color="auto" w:sz="4" w:space="0"/>
                    <w:left w:val="single" w:color="auto" w:sz="4" w:space="0"/>
                    <w:bottom w:val="single" w:color="auto" w:sz="4" w:space="0"/>
                    <w:right w:val="single" w:color="auto" w:sz="4" w:space="0"/>
                  </w:tcBorders>
                  <w:vAlign w:val="center"/>
                </w:tcPr>
                <w:p w14:paraId="0D327830">
                  <w:pPr>
                    <w:spacing w:line="0" w:lineRule="atLeast"/>
                    <w:jc w:val="center"/>
                  </w:pPr>
                  <w:r>
                    <w:rPr>
                      <w:rFonts w:hAnsi="宋体"/>
                    </w:rPr>
                    <w:t>21.13</w:t>
                  </w:r>
                </w:p>
              </w:tc>
              <w:tc>
                <w:tcPr>
                  <w:tcW w:w="4620" w:type="dxa"/>
                  <w:vMerge w:val="continue"/>
                  <w:tcBorders>
                    <w:top w:val="single" w:color="auto" w:sz="4" w:space="0"/>
                    <w:left w:val="single" w:color="auto" w:sz="4" w:space="0"/>
                    <w:bottom w:val="single" w:color="auto" w:sz="8" w:space="0"/>
                    <w:right w:val="single" w:color="auto" w:sz="4" w:space="0"/>
                  </w:tcBorders>
                  <w:vAlign w:val="center"/>
                </w:tcPr>
                <w:p w14:paraId="690C0160">
                  <w:pPr>
                    <w:widowControl/>
                    <w:spacing w:line="240" w:lineRule="auto"/>
                    <w:jc w:val="left"/>
                    <w:rPr>
                      <w:rFonts w:hAnsi="宋体"/>
                    </w:rPr>
                  </w:pPr>
                </w:p>
              </w:tc>
              <w:tc>
                <w:tcPr>
                  <w:tcW w:w="2310" w:type="dxa"/>
                  <w:vMerge w:val="continue"/>
                  <w:tcBorders>
                    <w:top w:val="single" w:color="auto" w:sz="4" w:space="0"/>
                    <w:left w:val="single" w:color="auto" w:sz="4" w:space="0"/>
                    <w:bottom w:val="single" w:color="auto" w:sz="8" w:space="0"/>
                    <w:right w:val="single" w:color="auto" w:sz="4" w:space="0"/>
                  </w:tcBorders>
                  <w:vAlign w:val="center"/>
                </w:tcPr>
                <w:p w14:paraId="622CC097">
                  <w:pPr>
                    <w:widowControl/>
                    <w:spacing w:line="240" w:lineRule="auto"/>
                    <w:jc w:val="left"/>
                    <w:rPr>
                      <w:rFonts w:hAnsi="宋体"/>
                    </w:rPr>
                  </w:pPr>
                </w:p>
              </w:tc>
              <w:tc>
                <w:tcPr>
                  <w:tcW w:w="1727" w:type="dxa"/>
                  <w:tcBorders>
                    <w:top w:val="single" w:color="auto" w:sz="4" w:space="0"/>
                    <w:left w:val="single" w:color="auto" w:sz="4" w:space="0"/>
                    <w:bottom w:val="single" w:color="auto" w:sz="4" w:space="0"/>
                    <w:right w:val="single" w:color="auto" w:sz="8" w:space="0"/>
                  </w:tcBorders>
                  <w:vAlign w:val="center"/>
                </w:tcPr>
                <w:p w14:paraId="572E5724">
                  <w:pPr>
                    <w:spacing w:line="0" w:lineRule="atLeast"/>
                    <w:jc w:val="center"/>
                    <w:rPr>
                      <w:rFonts w:hAnsi="宋体"/>
                    </w:rPr>
                  </w:pPr>
                  <w:r>
                    <w:rPr>
                      <w:rFonts w:hAnsi="宋体"/>
                    </w:rPr>
                    <w:t>290</w:t>
                  </w:r>
                </w:p>
              </w:tc>
            </w:tr>
            <w:tr w14:paraId="0A80CA7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914" w:type="dxa"/>
                  <w:tcBorders>
                    <w:top w:val="single" w:color="auto" w:sz="4" w:space="0"/>
                    <w:left w:val="single" w:color="auto" w:sz="8" w:space="0"/>
                    <w:bottom w:val="single" w:color="auto" w:sz="4" w:space="0"/>
                    <w:right w:val="single" w:color="auto" w:sz="4" w:space="0"/>
                  </w:tcBorders>
                  <w:vAlign w:val="center"/>
                </w:tcPr>
                <w:p w14:paraId="5FF61110">
                  <w:pPr>
                    <w:spacing w:line="0" w:lineRule="atLeast"/>
                    <w:jc w:val="center"/>
                  </w:pPr>
                  <w:r>
                    <w:t>12:00</w:t>
                  </w:r>
                </w:p>
              </w:tc>
              <w:tc>
                <w:tcPr>
                  <w:tcW w:w="1528" w:type="dxa"/>
                  <w:tcBorders>
                    <w:top w:val="single" w:color="auto" w:sz="4" w:space="0"/>
                    <w:left w:val="single" w:color="auto" w:sz="4" w:space="0"/>
                    <w:bottom w:val="single" w:color="auto" w:sz="4" w:space="0"/>
                    <w:right w:val="single" w:color="auto" w:sz="4" w:space="0"/>
                  </w:tcBorders>
                  <w:vAlign w:val="center"/>
                </w:tcPr>
                <w:p w14:paraId="0AB9B1F8">
                  <w:pPr>
                    <w:spacing w:line="0" w:lineRule="atLeast"/>
                    <w:jc w:val="center"/>
                  </w:pPr>
                  <w:r>
                    <w:rPr>
                      <w:rFonts w:hAnsi="宋体"/>
                    </w:rPr>
                    <w:t>23.49</w:t>
                  </w:r>
                </w:p>
              </w:tc>
              <w:tc>
                <w:tcPr>
                  <w:tcW w:w="4620" w:type="dxa"/>
                  <w:vMerge w:val="continue"/>
                  <w:tcBorders>
                    <w:top w:val="single" w:color="auto" w:sz="4" w:space="0"/>
                    <w:left w:val="single" w:color="auto" w:sz="4" w:space="0"/>
                    <w:bottom w:val="single" w:color="auto" w:sz="8" w:space="0"/>
                    <w:right w:val="single" w:color="auto" w:sz="4" w:space="0"/>
                  </w:tcBorders>
                  <w:vAlign w:val="center"/>
                </w:tcPr>
                <w:p w14:paraId="568E000E">
                  <w:pPr>
                    <w:widowControl/>
                    <w:spacing w:line="240" w:lineRule="auto"/>
                    <w:jc w:val="left"/>
                    <w:rPr>
                      <w:rFonts w:hAnsi="宋体"/>
                    </w:rPr>
                  </w:pPr>
                </w:p>
              </w:tc>
              <w:tc>
                <w:tcPr>
                  <w:tcW w:w="2310" w:type="dxa"/>
                  <w:vMerge w:val="continue"/>
                  <w:tcBorders>
                    <w:top w:val="single" w:color="auto" w:sz="4" w:space="0"/>
                    <w:left w:val="single" w:color="auto" w:sz="4" w:space="0"/>
                    <w:bottom w:val="single" w:color="auto" w:sz="8" w:space="0"/>
                    <w:right w:val="single" w:color="auto" w:sz="4" w:space="0"/>
                  </w:tcBorders>
                  <w:vAlign w:val="center"/>
                </w:tcPr>
                <w:p w14:paraId="3A6DB11C">
                  <w:pPr>
                    <w:widowControl/>
                    <w:spacing w:line="240" w:lineRule="auto"/>
                    <w:jc w:val="left"/>
                    <w:rPr>
                      <w:rFonts w:hAnsi="宋体"/>
                    </w:rPr>
                  </w:pPr>
                </w:p>
              </w:tc>
              <w:tc>
                <w:tcPr>
                  <w:tcW w:w="1727" w:type="dxa"/>
                  <w:tcBorders>
                    <w:top w:val="single" w:color="auto" w:sz="4" w:space="0"/>
                    <w:left w:val="single" w:color="auto" w:sz="4" w:space="0"/>
                    <w:bottom w:val="single" w:color="auto" w:sz="4" w:space="0"/>
                    <w:right w:val="single" w:color="auto" w:sz="8" w:space="0"/>
                  </w:tcBorders>
                  <w:vAlign w:val="center"/>
                </w:tcPr>
                <w:p w14:paraId="3F28E2F1">
                  <w:pPr>
                    <w:spacing w:line="0" w:lineRule="atLeast"/>
                    <w:jc w:val="center"/>
                    <w:rPr>
                      <w:rFonts w:hAnsi="宋体"/>
                    </w:rPr>
                  </w:pPr>
                  <w:r>
                    <w:rPr>
                      <w:rFonts w:hAnsi="宋体"/>
                    </w:rPr>
                    <w:t>258</w:t>
                  </w:r>
                </w:p>
              </w:tc>
            </w:tr>
            <w:tr w14:paraId="7D2F17B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914" w:type="dxa"/>
                  <w:tcBorders>
                    <w:top w:val="single" w:color="auto" w:sz="4" w:space="0"/>
                    <w:left w:val="single" w:color="auto" w:sz="8" w:space="0"/>
                    <w:bottom w:val="single" w:color="auto" w:sz="4" w:space="0"/>
                    <w:right w:val="single" w:color="auto" w:sz="4" w:space="0"/>
                  </w:tcBorders>
                  <w:vAlign w:val="center"/>
                </w:tcPr>
                <w:p w14:paraId="0C92DE11">
                  <w:pPr>
                    <w:spacing w:line="0" w:lineRule="atLeast"/>
                    <w:jc w:val="center"/>
                  </w:pPr>
                  <w:r>
                    <w:t>13:00</w:t>
                  </w:r>
                </w:p>
              </w:tc>
              <w:tc>
                <w:tcPr>
                  <w:tcW w:w="1528" w:type="dxa"/>
                  <w:tcBorders>
                    <w:top w:val="single" w:color="auto" w:sz="4" w:space="0"/>
                    <w:left w:val="single" w:color="auto" w:sz="4" w:space="0"/>
                    <w:bottom w:val="single" w:color="auto" w:sz="4" w:space="0"/>
                    <w:right w:val="single" w:color="auto" w:sz="4" w:space="0"/>
                  </w:tcBorders>
                  <w:vAlign w:val="center"/>
                </w:tcPr>
                <w:p w14:paraId="3203790C">
                  <w:pPr>
                    <w:spacing w:line="0" w:lineRule="atLeast"/>
                    <w:jc w:val="center"/>
                  </w:pPr>
                  <w:r>
                    <w:rPr>
                      <w:rFonts w:hAnsi="宋体"/>
                    </w:rPr>
                    <w:t>23.01</w:t>
                  </w:r>
                </w:p>
              </w:tc>
              <w:tc>
                <w:tcPr>
                  <w:tcW w:w="4620" w:type="dxa"/>
                  <w:vMerge w:val="continue"/>
                  <w:tcBorders>
                    <w:top w:val="single" w:color="auto" w:sz="4" w:space="0"/>
                    <w:left w:val="single" w:color="auto" w:sz="4" w:space="0"/>
                    <w:bottom w:val="single" w:color="auto" w:sz="8" w:space="0"/>
                    <w:right w:val="single" w:color="auto" w:sz="4" w:space="0"/>
                  </w:tcBorders>
                  <w:vAlign w:val="center"/>
                </w:tcPr>
                <w:p w14:paraId="6EADC61A">
                  <w:pPr>
                    <w:widowControl/>
                    <w:spacing w:line="240" w:lineRule="auto"/>
                    <w:jc w:val="left"/>
                    <w:rPr>
                      <w:rFonts w:hAnsi="宋体"/>
                    </w:rPr>
                  </w:pPr>
                </w:p>
              </w:tc>
              <w:tc>
                <w:tcPr>
                  <w:tcW w:w="2310" w:type="dxa"/>
                  <w:vMerge w:val="continue"/>
                  <w:tcBorders>
                    <w:top w:val="single" w:color="auto" w:sz="4" w:space="0"/>
                    <w:left w:val="single" w:color="auto" w:sz="4" w:space="0"/>
                    <w:bottom w:val="single" w:color="auto" w:sz="8" w:space="0"/>
                    <w:right w:val="single" w:color="auto" w:sz="4" w:space="0"/>
                  </w:tcBorders>
                  <w:vAlign w:val="center"/>
                </w:tcPr>
                <w:p w14:paraId="6E0B8F93">
                  <w:pPr>
                    <w:widowControl/>
                    <w:spacing w:line="240" w:lineRule="auto"/>
                    <w:jc w:val="left"/>
                    <w:rPr>
                      <w:rFonts w:hAnsi="宋体"/>
                    </w:rPr>
                  </w:pPr>
                </w:p>
              </w:tc>
              <w:tc>
                <w:tcPr>
                  <w:tcW w:w="1727" w:type="dxa"/>
                  <w:tcBorders>
                    <w:top w:val="single" w:color="auto" w:sz="4" w:space="0"/>
                    <w:left w:val="single" w:color="auto" w:sz="4" w:space="0"/>
                    <w:bottom w:val="single" w:color="auto" w:sz="4" w:space="0"/>
                    <w:right w:val="single" w:color="auto" w:sz="8" w:space="0"/>
                  </w:tcBorders>
                  <w:vAlign w:val="center"/>
                </w:tcPr>
                <w:p w14:paraId="4D0BADC6">
                  <w:pPr>
                    <w:spacing w:line="0" w:lineRule="atLeast"/>
                    <w:jc w:val="center"/>
                    <w:rPr>
                      <w:rFonts w:hAnsi="宋体"/>
                    </w:rPr>
                  </w:pPr>
                  <w:r>
                    <w:rPr>
                      <w:rFonts w:hAnsi="宋体"/>
                    </w:rPr>
                    <w:t>264</w:t>
                  </w:r>
                </w:p>
              </w:tc>
            </w:tr>
            <w:tr w14:paraId="21B5F9D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914" w:type="dxa"/>
                  <w:tcBorders>
                    <w:top w:val="single" w:color="auto" w:sz="4" w:space="0"/>
                    <w:left w:val="single" w:color="auto" w:sz="8" w:space="0"/>
                    <w:bottom w:val="single" w:color="auto" w:sz="4" w:space="0"/>
                    <w:right w:val="single" w:color="auto" w:sz="4" w:space="0"/>
                  </w:tcBorders>
                  <w:vAlign w:val="center"/>
                </w:tcPr>
                <w:p w14:paraId="51296524">
                  <w:pPr>
                    <w:spacing w:line="0" w:lineRule="atLeast"/>
                    <w:jc w:val="center"/>
                  </w:pPr>
                  <w:r>
                    <w:t>14:00</w:t>
                  </w:r>
                </w:p>
              </w:tc>
              <w:tc>
                <w:tcPr>
                  <w:tcW w:w="1528" w:type="dxa"/>
                  <w:tcBorders>
                    <w:top w:val="single" w:color="auto" w:sz="4" w:space="0"/>
                    <w:left w:val="single" w:color="auto" w:sz="4" w:space="0"/>
                    <w:bottom w:val="single" w:color="auto" w:sz="4" w:space="0"/>
                    <w:right w:val="single" w:color="auto" w:sz="4" w:space="0"/>
                  </w:tcBorders>
                  <w:vAlign w:val="center"/>
                </w:tcPr>
                <w:p w14:paraId="4BEE8531">
                  <w:pPr>
                    <w:spacing w:line="0" w:lineRule="atLeast"/>
                    <w:jc w:val="center"/>
                  </w:pPr>
                  <w:r>
                    <w:rPr>
                      <w:rFonts w:hAnsi="宋体"/>
                    </w:rPr>
                    <w:t>19.74</w:t>
                  </w:r>
                </w:p>
              </w:tc>
              <w:tc>
                <w:tcPr>
                  <w:tcW w:w="4620" w:type="dxa"/>
                  <w:vMerge w:val="continue"/>
                  <w:tcBorders>
                    <w:top w:val="single" w:color="auto" w:sz="4" w:space="0"/>
                    <w:left w:val="single" w:color="auto" w:sz="4" w:space="0"/>
                    <w:bottom w:val="single" w:color="auto" w:sz="8" w:space="0"/>
                    <w:right w:val="single" w:color="auto" w:sz="4" w:space="0"/>
                  </w:tcBorders>
                  <w:vAlign w:val="center"/>
                </w:tcPr>
                <w:p w14:paraId="49B90736">
                  <w:pPr>
                    <w:widowControl/>
                    <w:spacing w:line="240" w:lineRule="auto"/>
                    <w:jc w:val="left"/>
                    <w:rPr>
                      <w:rFonts w:hAnsi="宋体"/>
                    </w:rPr>
                  </w:pPr>
                </w:p>
              </w:tc>
              <w:tc>
                <w:tcPr>
                  <w:tcW w:w="2310" w:type="dxa"/>
                  <w:vMerge w:val="continue"/>
                  <w:tcBorders>
                    <w:top w:val="single" w:color="auto" w:sz="4" w:space="0"/>
                    <w:left w:val="single" w:color="auto" w:sz="4" w:space="0"/>
                    <w:bottom w:val="single" w:color="auto" w:sz="8" w:space="0"/>
                    <w:right w:val="single" w:color="auto" w:sz="4" w:space="0"/>
                  </w:tcBorders>
                  <w:vAlign w:val="center"/>
                </w:tcPr>
                <w:p w14:paraId="5F99800C">
                  <w:pPr>
                    <w:widowControl/>
                    <w:spacing w:line="240" w:lineRule="auto"/>
                    <w:jc w:val="left"/>
                    <w:rPr>
                      <w:rFonts w:hAnsi="宋体"/>
                    </w:rPr>
                  </w:pPr>
                </w:p>
              </w:tc>
              <w:tc>
                <w:tcPr>
                  <w:tcW w:w="1727" w:type="dxa"/>
                  <w:tcBorders>
                    <w:top w:val="single" w:color="auto" w:sz="4" w:space="0"/>
                    <w:left w:val="single" w:color="auto" w:sz="4" w:space="0"/>
                    <w:bottom w:val="single" w:color="auto" w:sz="4" w:space="0"/>
                    <w:right w:val="single" w:color="auto" w:sz="8" w:space="0"/>
                  </w:tcBorders>
                  <w:vAlign w:val="center"/>
                </w:tcPr>
                <w:p w14:paraId="1C904B57">
                  <w:pPr>
                    <w:spacing w:line="0" w:lineRule="atLeast"/>
                    <w:jc w:val="center"/>
                    <w:rPr>
                      <w:rFonts w:hAnsi="宋体"/>
                    </w:rPr>
                  </w:pPr>
                  <w:r>
                    <w:rPr>
                      <w:rFonts w:hAnsi="宋体"/>
                    </w:rPr>
                    <w:t>321</w:t>
                  </w:r>
                </w:p>
              </w:tc>
            </w:tr>
            <w:tr w14:paraId="144D0DD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914" w:type="dxa"/>
                  <w:tcBorders>
                    <w:top w:val="single" w:color="auto" w:sz="4" w:space="0"/>
                    <w:left w:val="single" w:color="auto" w:sz="8" w:space="0"/>
                    <w:bottom w:val="single" w:color="auto" w:sz="4" w:space="0"/>
                    <w:right w:val="single" w:color="auto" w:sz="4" w:space="0"/>
                  </w:tcBorders>
                  <w:vAlign w:val="center"/>
                </w:tcPr>
                <w:p w14:paraId="2B6B5891">
                  <w:pPr>
                    <w:spacing w:line="0" w:lineRule="atLeast"/>
                    <w:jc w:val="center"/>
                  </w:pPr>
                  <w:r>
                    <w:t>15:00</w:t>
                  </w:r>
                </w:p>
              </w:tc>
              <w:tc>
                <w:tcPr>
                  <w:tcW w:w="1528" w:type="dxa"/>
                  <w:tcBorders>
                    <w:top w:val="single" w:color="auto" w:sz="4" w:space="0"/>
                    <w:left w:val="single" w:color="auto" w:sz="4" w:space="0"/>
                    <w:bottom w:val="single" w:color="auto" w:sz="4" w:space="0"/>
                    <w:right w:val="single" w:color="auto" w:sz="4" w:space="0"/>
                  </w:tcBorders>
                  <w:vAlign w:val="center"/>
                </w:tcPr>
                <w:p w14:paraId="4DE5E47D">
                  <w:pPr>
                    <w:spacing w:line="0" w:lineRule="atLeast"/>
                    <w:jc w:val="center"/>
                  </w:pPr>
                  <w:r>
                    <w:rPr>
                      <w:rFonts w:hAnsi="宋体"/>
                    </w:rPr>
                    <w:t>14.07</w:t>
                  </w:r>
                </w:p>
              </w:tc>
              <w:tc>
                <w:tcPr>
                  <w:tcW w:w="4620" w:type="dxa"/>
                  <w:vMerge w:val="continue"/>
                  <w:tcBorders>
                    <w:top w:val="single" w:color="auto" w:sz="4" w:space="0"/>
                    <w:left w:val="single" w:color="auto" w:sz="4" w:space="0"/>
                    <w:bottom w:val="single" w:color="auto" w:sz="8" w:space="0"/>
                    <w:right w:val="single" w:color="auto" w:sz="4" w:space="0"/>
                  </w:tcBorders>
                  <w:vAlign w:val="center"/>
                </w:tcPr>
                <w:p w14:paraId="36E3B789">
                  <w:pPr>
                    <w:widowControl/>
                    <w:spacing w:line="240" w:lineRule="auto"/>
                    <w:jc w:val="left"/>
                    <w:rPr>
                      <w:rFonts w:hAnsi="宋体"/>
                    </w:rPr>
                  </w:pPr>
                </w:p>
              </w:tc>
              <w:tc>
                <w:tcPr>
                  <w:tcW w:w="2310" w:type="dxa"/>
                  <w:vMerge w:val="continue"/>
                  <w:tcBorders>
                    <w:top w:val="single" w:color="auto" w:sz="4" w:space="0"/>
                    <w:left w:val="single" w:color="auto" w:sz="4" w:space="0"/>
                    <w:bottom w:val="single" w:color="auto" w:sz="8" w:space="0"/>
                    <w:right w:val="single" w:color="auto" w:sz="4" w:space="0"/>
                  </w:tcBorders>
                  <w:vAlign w:val="center"/>
                </w:tcPr>
                <w:p w14:paraId="520B3835">
                  <w:pPr>
                    <w:widowControl/>
                    <w:spacing w:line="240" w:lineRule="auto"/>
                    <w:jc w:val="left"/>
                    <w:rPr>
                      <w:rFonts w:hAnsi="宋体"/>
                    </w:rPr>
                  </w:pPr>
                </w:p>
              </w:tc>
              <w:tc>
                <w:tcPr>
                  <w:tcW w:w="1727" w:type="dxa"/>
                  <w:tcBorders>
                    <w:top w:val="single" w:color="auto" w:sz="4" w:space="0"/>
                    <w:left w:val="single" w:color="auto" w:sz="4" w:space="0"/>
                    <w:bottom w:val="single" w:color="auto" w:sz="4" w:space="0"/>
                    <w:right w:val="single" w:color="auto" w:sz="8" w:space="0"/>
                  </w:tcBorders>
                  <w:vAlign w:val="center"/>
                </w:tcPr>
                <w:p w14:paraId="7B201416">
                  <w:pPr>
                    <w:spacing w:line="0" w:lineRule="atLeast"/>
                    <w:jc w:val="center"/>
                    <w:rPr>
                      <w:rFonts w:hAnsi="宋体"/>
                    </w:rPr>
                  </w:pPr>
                  <w:r>
                    <w:rPr>
                      <w:rFonts w:hAnsi="宋体"/>
                    </w:rPr>
                    <w:t>447</w:t>
                  </w:r>
                </w:p>
              </w:tc>
            </w:tr>
            <w:tr w14:paraId="0CEA9CD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914" w:type="dxa"/>
                  <w:tcBorders>
                    <w:top w:val="single" w:color="auto" w:sz="4" w:space="0"/>
                    <w:left w:val="single" w:color="auto" w:sz="8" w:space="0"/>
                    <w:bottom w:val="single" w:color="auto" w:sz="8" w:space="0"/>
                    <w:right w:val="single" w:color="auto" w:sz="4" w:space="0"/>
                  </w:tcBorders>
                  <w:vAlign w:val="center"/>
                </w:tcPr>
                <w:p w14:paraId="3F59E034">
                  <w:pPr>
                    <w:spacing w:line="0" w:lineRule="atLeast"/>
                    <w:jc w:val="center"/>
                  </w:pPr>
                  <w:r>
                    <w:t>16:00</w:t>
                  </w:r>
                </w:p>
              </w:tc>
              <w:tc>
                <w:tcPr>
                  <w:tcW w:w="1528" w:type="dxa"/>
                  <w:tcBorders>
                    <w:top w:val="single" w:color="auto" w:sz="4" w:space="0"/>
                    <w:left w:val="single" w:color="auto" w:sz="4" w:space="0"/>
                    <w:bottom w:val="single" w:color="auto" w:sz="8" w:space="0"/>
                    <w:right w:val="single" w:color="auto" w:sz="4" w:space="0"/>
                  </w:tcBorders>
                  <w:vAlign w:val="center"/>
                </w:tcPr>
                <w:p w14:paraId="7FE74446">
                  <w:pPr>
                    <w:spacing w:line="0" w:lineRule="atLeast"/>
                    <w:jc w:val="center"/>
                  </w:pPr>
                  <w:r>
                    <w:rPr>
                      <w:rFonts w:hAnsi="宋体"/>
                    </w:rPr>
                    <w:t>6.51</w:t>
                  </w:r>
                </w:p>
              </w:tc>
              <w:tc>
                <w:tcPr>
                  <w:tcW w:w="4620" w:type="dxa"/>
                  <w:vMerge w:val="continue"/>
                  <w:tcBorders>
                    <w:top w:val="single" w:color="auto" w:sz="4" w:space="0"/>
                    <w:left w:val="single" w:color="auto" w:sz="4" w:space="0"/>
                    <w:bottom w:val="single" w:color="auto" w:sz="8" w:space="0"/>
                    <w:right w:val="single" w:color="auto" w:sz="4" w:space="0"/>
                  </w:tcBorders>
                  <w:vAlign w:val="center"/>
                </w:tcPr>
                <w:p w14:paraId="4A5889F1">
                  <w:pPr>
                    <w:widowControl/>
                    <w:spacing w:line="240" w:lineRule="auto"/>
                    <w:jc w:val="left"/>
                    <w:rPr>
                      <w:rFonts w:hAnsi="宋体"/>
                    </w:rPr>
                  </w:pPr>
                </w:p>
              </w:tc>
              <w:tc>
                <w:tcPr>
                  <w:tcW w:w="2310" w:type="dxa"/>
                  <w:vMerge w:val="continue"/>
                  <w:tcBorders>
                    <w:top w:val="single" w:color="auto" w:sz="4" w:space="0"/>
                    <w:left w:val="single" w:color="auto" w:sz="4" w:space="0"/>
                    <w:bottom w:val="single" w:color="auto" w:sz="8" w:space="0"/>
                    <w:right w:val="single" w:color="auto" w:sz="4" w:space="0"/>
                  </w:tcBorders>
                  <w:vAlign w:val="center"/>
                </w:tcPr>
                <w:p w14:paraId="0E0B06CB">
                  <w:pPr>
                    <w:widowControl/>
                    <w:spacing w:line="240" w:lineRule="auto"/>
                    <w:jc w:val="left"/>
                    <w:rPr>
                      <w:rFonts w:hAnsi="宋体"/>
                    </w:rPr>
                  </w:pPr>
                </w:p>
              </w:tc>
              <w:tc>
                <w:tcPr>
                  <w:tcW w:w="1727" w:type="dxa"/>
                  <w:tcBorders>
                    <w:top w:val="single" w:color="auto" w:sz="4" w:space="0"/>
                    <w:left w:val="single" w:color="auto" w:sz="4" w:space="0"/>
                    <w:bottom w:val="single" w:color="auto" w:sz="8" w:space="0"/>
                    <w:right w:val="single" w:color="auto" w:sz="8" w:space="0"/>
                  </w:tcBorders>
                  <w:vAlign w:val="center"/>
                </w:tcPr>
                <w:p w14:paraId="50502832">
                  <w:pPr>
                    <w:spacing w:line="0" w:lineRule="atLeast"/>
                    <w:jc w:val="center"/>
                    <w:rPr>
                      <w:rFonts w:hAnsi="宋体"/>
                    </w:rPr>
                  </w:pPr>
                  <w:r>
                    <w:rPr>
                      <w:rFonts w:hAnsi="宋体"/>
                    </w:rPr>
                    <w:t>982</w:t>
                  </w:r>
                </w:p>
              </w:tc>
            </w:tr>
          </w:tbl>
          <w:p w14:paraId="058E8005">
            <w:pPr>
              <w:spacing w:beforeLines="50"/>
              <w:ind w:firstLine="480" w:firstLineChars="200"/>
              <w:rPr>
                <w:color w:val="000000"/>
                <w:sz w:val="24"/>
              </w:rPr>
            </w:pPr>
            <w:r>
              <w:rPr>
                <w:rFonts w:hint="eastAsia"/>
                <w:color w:val="000000"/>
                <w:sz w:val="24"/>
              </w:rPr>
              <w:t>经计算，下午</w:t>
            </w:r>
            <w:r>
              <w:rPr>
                <w:color w:val="000000"/>
                <w:sz w:val="24"/>
              </w:rPr>
              <w:t>16:00</w:t>
            </w:r>
            <w:r>
              <w:rPr>
                <w:rFonts w:hint="eastAsia"/>
                <w:color w:val="000000"/>
                <w:sz w:val="24"/>
              </w:rPr>
              <w:t>光影影响距离最长，但由于早晨及傍晚日照强度均比较弱，</w:t>
            </w:r>
            <w:r>
              <w:rPr>
                <w:color w:val="000000"/>
                <w:sz w:val="24"/>
              </w:rPr>
              <w:t>10:00</w:t>
            </w:r>
            <w:r>
              <w:rPr>
                <w:rFonts w:hint="eastAsia"/>
                <w:color w:val="000000"/>
                <w:sz w:val="24"/>
              </w:rPr>
              <w:t>至</w:t>
            </w:r>
            <w:r>
              <w:rPr>
                <w:color w:val="000000"/>
                <w:sz w:val="24"/>
              </w:rPr>
              <w:t>15:00</w:t>
            </w:r>
            <w:r>
              <w:rPr>
                <w:rFonts w:hint="eastAsia"/>
                <w:color w:val="000000"/>
                <w:sz w:val="24"/>
              </w:rPr>
              <w:t>点太阳光照最为强烈，因此光影防护距离按</w:t>
            </w:r>
            <w:r>
              <w:rPr>
                <w:color w:val="000000"/>
                <w:sz w:val="24"/>
              </w:rPr>
              <w:t>10:00</w:t>
            </w:r>
            <w:r>
              <w:rPr>
                <w:rFonts w:hint="eastAsia"/>
                <w:color w:val="000000"/>
                <w:sz w:val="24"/>
              </w:rPr>
              <w:t>至</w:t>
            </w:r>
            <w:r>
              <w:rPr>
                <w:color w:val="000000"/>
                <w:sz w:val="24"/>
              </w:rPr>
              <w:t>15:00</w:t>
            </w:r>
            <w:r>
              <w:rPr>
                <w:rFonts w:hint="eastAsia"/>
                <w:color w:val="000000"/>
                <w:sz w:val="24"/>
              </w:rPr>
              <w:t>的影响进行分析。对于</w:t>
            </w:r>
            <w:r>
              <w:rPr>
                <w:color w:val="000000"/>
                <w:sz w:val="24"/>
              </w:rPr>
              <w:t>19</w:t>
            </w:r>
            <w:r>
              <w:rPr>
                <w:rFonts w:hint="eastAsia"/>
                <w:color w:val="000000"/>
                <w:sz w:val="24"/>
              </w:rPr>
              <w:t>号风机，德热木其音敖包位于其西南</w:t>
            </w:r>
            <w:r>
              <w:rPr>
                <w:color w:val="000000"/>
                <w:sz w:val="24"/>
              </w:rPr>
              <w:t>532m</w:t>
            </w:r>
            <w:r>
              <w:rPr>
                <w:rFonts w:hint="eastAsia"/>
                <w:color w:val="000000"/>
                <w:sz w:val="24"/>
              </w:rPr>
              <w:t>，下午</w:t>
            </w:r>
            <w:r>
              <w:rPr>
                <w:color w:val="000000"/>
                <w:sz w:val="24"/>
              </w:rPr>
              <w:t>15:00</w:t>
            </w:r>
            <w:r>
              <w:rPr>
                <w:rFonts w:hint="eastAsia"/>
                <w:color w:val="000000"/>
                <w:sz w:val="24"/>
              </w:rPr>
              <w:t>时光影投影影响距离为</w:t>
            </w:r>
            <w:r>
              <w:rPr>
                <w:color w:val="000000"/>
                <w:sz w:val="24"/>
              </w:rPr>
              <w:t>447m</w:t>
            </w:r>
            <w:r>
              <w:rPr>
                <w:rFonts w:hint="eastAsia"/>
                <w:color w:val="000000"/>
                <w:sz w:val="24"/>
              </w:rPr>
              <w:t>，德热木其音敖包不在光影影响范围内，因此</w:t>
            </w:r>
            <w:r>
              <w:rPr>
                <w:color w:val="000000"/>
                <w:sz w:val="24"/>
              </w:rPr>
              <w:t>19</w:t>
            </w:r>
            <w:r>
              <w:rPr>
                <w:rFonts w:hint="eastAsia"/>
                <w:color w:val="000000"/>
                <w:sz w:val="24"/>
              </w:rPr>
              <w:t>号风机光影对其影响很小。</w:t>
            </w:r>
          </w:p>
          <w:p w14:paraId="132859FB">
            <w:pPr>
              <w:ind w:firstLine="480" w:firstLineChars="200"/>
              <w:rPr>
                <w:color w:val="000000"/>
                <w:sz w:val="24"/>
              </w:rPr>
            </w:pPr>
            <w:r>
              <w:rPr>
                <w:color w:val="000000"/>
                <w:sz w:val="24"/>
              </w:rPr>
              <w:t>7</w:t>
            </w:r>
            <w:r>
              <w:rPr>
                <w:rFonts w:hint="eastAsia"/>
                <w:color w:val="000000"/>
                <w:sz w:val="24"/>
              </w:rPr>
              <w:t>、产业政策及规划选址分析</w:t>
            </w:r>
          </w:p>
          <w:p w14:paraId="53D83ACA">
            <w:pPr>
              <w:ind w:firstLine="480" w:firstLineChars="200"/>
              <w:rPr>
                <w:color w:val="000000"/>
                <w:sz w:val="24"/>
              </w:rPr>
            </w:pPr>
            <w:r>
              <w:rPr>
                <w:rFonts w:hint="eastAsia"/>
                <w:color w:val="000000"/>
                <w:sz w:val="24"/>
              </w:rPr>
              <w:t>（</w:t>
            </w:r>
            <w:r>
              <w:rPr>
                <w:color w:val="000000"/>
                <w:sz w:val="24"/>
              </w:rPr>
              <w:t>1</w:t>
            </w:r>
            <w:r>
              <w:rPr>
                <w:rFonts w:hint="eastAsia"/>
                <w:color w:val="000000"/>
                <w:sz w:val="24"/>
              </w:rPr>
              <w:t>）产业政策符合性</w:t>
            </w:r>
          </w:p>
          <w:p w14:paraId="3E67D939">
            <w:pPr>
              <w:ind w:firstLine="480" w:firstLineChars="200"/>
              <w:rPr>
                <w:color w:val="000000"/>
                <w:sz w:val="24"/>
              </w:rPr>
            </w:pPr>
            <w:r>
              <w:rPr>
                <w:rFonts w:hint="eastAsia"/>
                <w:color w:val="000000"/>
                <w:sz w:val="24"/>
              </w:rPr>
              <w:t>本项目属风力发电项目，根据《产业结构调整指导目录（</w:t>
            </w:r>
            <w:r>
              <w:rPr>
                <w:color w:val="000000"/>
                <w:sz w:val="24"/>
              </w:rPr>
              <w:t>2011</w:t>
            </w:r>
            <w:r>
              <w:rPr>
                <w:rFonts w:hint="eastAsia"/>
                <w:color w:val="000000"/>
                <w:sz w:val="24"/>
              </w:rPr>
              <w:t>年本）》（</w:t>
            </w:r>
            <w:r>
              <w:rPr>
                <w:color w:val="000000"/>
                <w:sz w:val="24"/>
              </w:rPr>
              <w:t>2013</w:t>
            </w:r>
            <w:r>
              <w:rPr>
                <w:rFonts w:hint="eastAsia"/>
                <w:color w:val="000000"/>
                <w:sz w:val="24"/>
              </w:rPr>
              <w:t>年修正），本工程不属于鼓励类、限制类和淘汰类项目，因此属国家产业政策允许类项目。该项目已由锡林郭勒盟发展和改革委员会以锡发改能源字</w:t>
            </w:r>
            <w:r>
              <w:rPr>
                <w:color w:val="000000"/>
                <w:sz w:val="24"/>
              </w:rPr>
              <w:t>[2017]54</w:t>
            </w:r>
            <w:r>
              <w:rPr>
                <w:rFonts w:hint="eastAsia"/>
                <w:color w:val="000000"/>
                <w:sz w:val="24"/>
              </w:rPr>
              <w:t>号文进行批复。本项目的建设符合国家产业政策要求。</w:t>
            </w:r>
          </w:p>
          <w:p w14:paraId="5713F2CA">
            <w:pPr>
              <w:ind w:firstLine="480" w:firstLineChars="200"/>
              <w:rPr>
                <w:color w:val="000000"/>
                <w:sz w:val="24"/>
              </w:rPr>
            </w:pPr>
            <w:r>
              <w:rPr>
                <w:rFonts w:hint="eastAsia"/>
                <w:color w:val="000000"/>
                <w:sz w:val="24"/>
              </w:rPr>
              <w:t>（</w:t>
            </w:r>
            <w:r>
              <w:rPr>
                <w:color w:val="000000"/>
                <w:sz w:val="24"/>
              </w:rPr>
              <w:t>2</w:t>
            </w:r>
            <w:r>
              <w:rPr>
                <w:rFonts w:hint="eastAsia"/>
                <w:color w:val="000000"/>
                <w:sz w:val="24"/>
              </w:rPr>
              <w:t>）选址符合性</w:t>
            </w:r>
          </w:p>
          <w:p w14:paraId="53F4419C">
            <w:pPr>
              <w:ind w:firstLine="480" w:firstLineChars="200"/>
              <w:rPr>
                <w:sz w:val="24"/>
                <w:szCs w:val="22"/>
              </w:rPr>
            </w:pPr>
            <w:r>
              <w:rPr>
                <w:rFonts w:hint="eastAsia"/>
                <w:color w:val="000000"/>
                <w:sz w:val="24"/>
              </w:rPr>
              <w:t>风电场位于选址位于内蒙古自治区锡林郭勒盟</w:t>
            </w:r>
            <w:r>
              <w:rPr>
                <w:rFonts w:hint="eastAsia"/>
                <w:sz w:val="24"/>
              </w:rPr>
              <w:t>苏尼特左旗满都拉图镇东北</w:t>
            </w:r>
            <w:r>
              <w:rPr>
                <w:sz w:val="24"/>
              </w:rPr>
              <w:t>26km</w:t>
            </w:r>
            <w:r>
              <w:rPr>
                <w:rFonts w:hint="eastAsia"/>
                <w:sz w:val="24"/>
              </w:rPr>
              <w:t>处，风电场</w:t>
            </w:r>
            <w:r>
              <w:rPr>
                <w:rFonts w:hint="eastAsia"/>
                <w:sz w:val="24"/>
                <w:szCs w:val="22"/>
              </w:rPr>
              <w:t>中心坐标</w:t>
            </w:r>
            <w:r>
              <w:rPr>
                <w:sz w:val="24"/>
                <w:szCs w:val="22"/>
              </w:rPr>
              <w:t>N</w:t>
            </w:r>
            <w:r>
              <w:rPr>
                <w:rFonts w:hint="eastAsia"/>
                <w:sz w:val="24"/>
                <w:szCs w:val="22"/>
              </w:rPr>
              <w:t>：</w:t>
            </w:r>
            <w:r>
              <w:rPr>
                <w:sz w:val="24"/>
                <w:szCs w:val="22"/>
              </w:rPr>
              <w:t>44°02'16.53"</w:t>
            </w:r>
            <w:r>
              <w:rPr>
                <w:rFonts w:hint="eastAsia"/>
                <w:sz w:val="24"/>
                <w:szCs w:val="22"/>
              </w:rPr>
              <w:t>，</w:t>
            </w:r>
            <w:r>
              <w:rPr>
                <w:sz w:val="24"/>
                <w:szCs w:val="22"/>
              </w:rPr>
              <w:t>E</w:t>
            </w:r>
            <w:r>
              <w:rPr>
                <w:rFonts w:hint="eastAsia"/>
                <w:sz w:val="24"/>
                <w:szCs w:val="22"/>
              </w:rPr>
              <w:t>：</w:t>
            </w:r>
            <w:r>
              <w:rPr>
                <w:sz w:val="24"/>
                <w:szCs w:val="22"/>
              </w:rPr>
              <w:t>114°02'13.38"</w:t>
            </w:r>
            <w:r>
              <w:rPr>
                <w:rFonts w:hint="eastAsia"/>
                <w:sz w:val="24"/>
                <w:szCs w:val="22"/>
              </w:rPr>
              <w:t>。</w:t>
            </w:r>
          </w:p>
          <w:p w14:paraId="605D74B5">
            <w:pPr>
              <w:ind w:firstLine="480" w:firstLineChars="200"/>
              <w:rPr>
                <w:color w:val="000000"/>
                <w:sz w:val="24"/>
              </w:rPr>
            </w:pPr>
            <w:r>
              <w:rPr>
                <w:rFonts w:hint="eastAsia"/>
                <w:color w:val="000000"/>
                <w:sz w:val="24"/>
              </w:rPr>
              <w:t>①</w:t>
            </w:r>
            <w:r>
              <w:rPr>
                <w:color w:val="000000"/>
                <w:sz w:val="24"/>
              </w:rPr>
              <w:t xml:space="preserve"> </w:t>
            </w:r>
            <w:r>
              <w:rPr>
                <w:rFonts w:hint="eastAsia"/>
                <w:color w:val="000000"/>
                <w:sz w:val="24"/>
              </w:rPr>
              <w:t>与当地土地利用符合性分析</w:t>
            </w:r>
          </w:p>
          <w:p w14:paraId="416131BF">
            <w:pPr>
              <w:ind w:firstLine="480" w:firstLineChars="200"/>
              <w:rPr>
                <w:color w:val="000000"/>
                <w:sz w:val="24"/>
              </w:rPr>
            </w:pPr>
            <w:r>
              <w:rPr>
                <w:rFonts w:hint="eastAsia"/>
                <w:color w:val="000000"/>
                <w:sz w:val="24"/>
              </w:rPr>
              <w:t>根据《锡林郭勒盟国土资源局关于</w:t>
            </w:r>
            <w:r>
              <w:rPr>
                <w:rFonts w:hint="eastAsia"/>
                <w:sz w:val="24"/>
              </w:rPr>
              <w:t>苏尼特左旗风鼎特高压外送</w:t>
            </w:r>
            <w:r>
              <w:rPr>
                <w:sz w:val="24"/>
              </w:rPr>
              <w:t>300MW</w:t>
            </w:r>
            <w:r>
              <w:rPr>
                <w:rFonts w:hint="eastAsia"/>
                <w:sz w:val="24"/>
              </w:rPr>
              <w:t>风电项目建设用地预审的批复</w:t>
            </w:r>
            <w:r>
              <w:rPr>
                <w:rFonts w:hint="eastAsia"/>
                <w:color w:val="000000"/>
                <w:sz w:val="24"/>
              </w:rPr>
              <w:t>》（锡国土预审字</w:t>
            </w:r>
            <w:r>
              <w:rPr>
                <w:color w:val="000000"/>
                <w:sz w:val="24"/>
              </w:rPr>
              <w:t>[2017]37</w:t>
            </w:r>
            <w:r>
              <w:rPr>
                <w:rFonts w:hint="eastAsia"/>
                <w:color w:val="000000"/>
                <w:sz w:val="24"/>
              </w:rPr>
              <w:t>号），该项目各功能分区用电面积均符合《电力工程建设用地指标（风电场</w:t>
            </w:r>
            <w:r>
              <w:rPr>
                <w:rFonts w:hint="eastAsia" w:ascii="宋体" w:hAnsi="宋体"/>
                <w:color w:val="000000"/>
                <w:sz w:val="24"/>
              </w:rPr>
              <w:t>）</w:t>
            </w:r>
            <w:r>
              <w:rPr>
                <w:rFonts w:hint="eastAsia"/>
                <w:color w:val="000000"/>
                <w:sz w:val="24"/>
              </w:rPr>
              <w:t>的通知》（建标</w:t>
            </w:r>
            <w:r>
              <w:rPr>
                <w:color w:val="000000"/>
                <w:sz w:val="24"/>
              </w:rPr>
              <w:t>[2011]209</w:t>
            </w:r>
            <w:r>
              <w:rPr>
                <w:rFonts w:hint="eastAsia"/>
                <w:color w:val="000000"/>
                <w:sz w:val="24"/>
              </w:rPr>
              <w:t>号）的规定。</w:t>
            </w:r>
          </w:p>
          <w:p w14:paraId="52BF0A4D">
            <w:pPr>
              <w:ind w:firstLine="480" w:firstLineChars="200"/>
              <w:rPr>
                <w:color w:val="000000"/>
                <w:sz w:val="24"/>
              </w:rPr>
            </w:pPr>
            <w:r>
              <w:rPr>
                <w:rFonts w:hint="eastAsia"/>
                <w:color w:val="000000"/>
                <w:sz w:val="24"/>
              </w:rPr>
              <w:t>②</w:t>
            </w:r>
            <w:r>
              <w:rPr>
                <w:color w:val="000000"/>
                <w:sz w:val="24"/>
              </w:rPr>
              <w:t xml:space="preserve"> </w:t>
            </w:r>
            <w:r>
              <w:rPr>
                <w:rFonts w:hint="eastAsia"/>
                <w:color w:val="000000"/>
                <w:sz w:val="24"/>
              </w:rPr>
              <w:t>环境影响程度</w:t>
            </w:r>
          </w:p>
          <w:p w14:paraId="2F13E357">
            <w:pPr>
              <w:ind w:firstLine="480" w:firstLineChars="200"/>
              <w:rPr>
                <w:color w:val="000000"/>
                <w:sz w:val="24"/>
              </w:rPr>
            </w:pPr>
            <w:r>
              <w:rPr>
                <w:rFonts w:hint="eastAsia"/>
                <w:color w:val="000000"/>
                <w:sz w:val="24"/>
              </w:rPr>
              <w:t>根据现场实地踏勘和设计资料可知，本项目施工现场</w:t>
            </w:r>
            <w:r>
              <w:rPr>
                <w:color w:val="000000"/>
                <w:sz w:val="24"/>
              </w:rPr>
              <w:t>300m</w:t>
            </w:r>
            <w:r>
              <w:rPr>
                <w:rFonts w:hint="eastAsia"/>
                <w:color w:val="000000"/>
                <w:sz w:val="24"/>
              </w:rPr>
              <w:t>范围内无居民，距离本项目最近的居民点为</w:t>
            </w:r>
            <w:r>
              <w:rPr>
                <w:color w:val="000000"/>
                <w:sz w:val="24"/>
              </w:rPr>
              <w:t>19</w:t>
            </w:r>
            <w:r>
              <w:rPr>
                <w:rFonts w:hint="eastAsia"/>
                <w:color w:val="000000"/>
                <w:sz w:val="24"/>
              </w:rPr>
              <w:t>号风电机东南方向</w:t>
            </w:r>
            <w:r>
              <w:rPr>
                <w:color w:val="000000"/>
                <w:sz w:val="24"/>
              </w:rPr>
              <w:t>532m</w:t>
            </w:r>
            <w:r>
              <w:rPr>
                <w:rFonts w:hint="eastAsia"/>
                <w:color w:val="000000"/>
                <w:sz w:val="24"/>
              </w:rPr>
              <w:t>的德热木其音敖包，故施工噪声不会对周围居民产生不良影响，运营期风机噪声对该居民点也无影响。升压站周边最近居民区为距离升压站厂界东北方向</w:t>
            </w:r>
            <w:r>
              <w:rPr>
                <w:color w:val="000000"/>
                <w:sz w:val="24"/>
              </w:rPr>
              <w:t>1235m</w:t>
            </w:r>
            <w:r>
              <w:rPr>
                <w:rFonts w:hint="eastAsia"/>
                <w:color w:val="000000"/>
                <w:sz w:val="24"/>
              </w:rPr>
              <w:t>的塔尔干，不在升压站噪声影响范围内。</w:t>
            </w:r>
          </w:p>
          <w:p w14:paraId="1351D88B">
            <w:pPr>
              <w:ind w:firstLine="480" w:firstLineChars="200"/>
              <w:rPr>
                <w:color w:val="000000"/>
                <w:sz w:val="24"/>
              </w:rPr>
            </w:pPr>
            <w:r>
              <w:rPr>
                <w:rFonts w:hint="eastAsia"/>
                <w:color w:val="000000"/>
                <w:sz w:val="24"/>
              </w:rPr>
              <w:t>风场内居民区分布较多，本项目利用原有自然道路作为施工运输道路，途径居民区包括德热木其音敖包、郭达图音额博勒者、芒格勒音胡日勒、和热楚鲁、塔尔干、阿钦郭勒、哈日陶勒盖等，其中距离施工运输道路最近为</w:t>
            </w:r>
            <w:r>
              <w:rPr>
                <w:color w:val="000000"/>
                <w:sz w:val="24"/>
              </w:rPr>
              <w:t>28m</w:t>
            </w:r>
            <w:r>
              <w:rPr>
                <w:rFonts w:hint="eastAsia"/>
                <w:color w:val="000000"/>
                <w:sz w:val="24"/>
              </w:rPr>
              <w:t>的阿钦郭勒。施工运输车辆将对沿线居民点环境空气质量产生一定影响。经采取限制车速、洒水抑尘等环保措施后，可以有效地控制施工期扬尘影响的范围及程度。运营期检修道路为碎石路面，车辆通过时产生少量扬尘。一般派出检修车辆为小型客车，且车次极少，具有瞬时性，即使途径居民区，也不会对居民区声环境产生明显影响。</w:t>
            </w:r>
          </w:p>
          <w:p w14:paraId="5CCEDCBF">
            <w:pPr>
              <w:ind w:firstLine="480" w:firstLineChars="200"/>
              <w:rPr>
                <w:color w:val="000000"/>
                <w:sz w:val="24"/>
              </w:rPr>
            </w:pPr>
            <w:r>
              <w:rPr>
                <w:rFonts w:hint="eastAsia"/>
                <w:color w:val="000000"/>
                <w:sz w:val="24"/>
              </w:rPr>
              <w:t>因此本项目施工期及运营期环境影响较小，从环境保护角度分析，本项目选址合理。</w:t>
            </w:r>
          </w:p>
          <w:p w14:paraId="52653A4D">
            <w:pPr>
              <w:ind w:firstLine="480" w:firstLineChars="200"/>
              <w:rPr>
                <w:color w:val="000000"/>
                <w:sz w:val="24"/>
              </w:rPr>
            </w:pPr>
            <w:r>
              <w:rPr>
                <w:color w:val="000000"/>
                <w:sz w:val="24"/>
              </w:rPr>
              <w:t>6</w:t>
            </w:r>
            <w:r>
              <w:rPr>
                <w:rFonts w:hint="eastAsia"/>
                <w:color w:val="000000"/>
                <w:sz w:val="24"/>
              </w:rPr>
              <w:t>、环保投资及竣工验收</w:t>
            </w:r>
          </w:p>
          <w:p w14:paraId="34C6500D">
            <w:pPr>
              <w:ind w:firstLine="480" w:firstLineChars="200"/>
              <w:rPr>
                <w:color w:val="000000"/>
                <w:sz w:val="24"/>
              </w:rPr>
            </w:pPr>
            <w:r>
              <w:rPr>
                <w:rFonts w:hint="eastAsia"/>
                <w:color w:val="000000"/>
                <w:sz w:val="24"/>
              </w:rPr>
              <w:t>本项目环保设施“三同时”验收一览表见表</w:t>
            </w:r>
            <w:r>
              <w:rPr>
                <w:color w:val="000000"/>
                <w:sz w:val="24"/>
              </w:rPr>
              <w:t>30</w:t>
            </w:r>
            <w:r>
              <w:rPr>
                <w:rFonts w:hint="eastAsia"/>
                <w:color w:val="000000"/>
                <w:sz w:val="24"/>
              </w:rPr>
              <w:t>。</w:t>
            </w:r>
          </w:p>
          <w:p w14:paraId="56CCC249">
            <w:pPr>
              <w:ind w:firstLine="480" w:firstLineChars="200"/>
              <w:rPr>
                <w:rFonts w:ascii="黑体" w:hAnsi="黑体" w:eastAsia="黑体"/>
                <w:color w:val="000000"/>
                <w:sz w:val="24"/>
              </w:rPr>
            </w:pPr>
            <w:r>
              <w:rPr>
                <w:rFonts w:hint="eastAsia" w:ascii="黑体" w:hAnsi="黑体" w:eastAsia="黑体"/>
                <w:color w:val="000000"/>
                <w:sz w:val="24"/>
              </w:rPr>
              <w:t>表30               环保设施“三同时”验收一览表</w:t>
            </w:r>
          </w:p>
          <w:tbl>
            <w:tblPr>
              <w:tblStyle w:val="25"/>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28" w:type="dxa"/>
                <w:bottom w:w="0" w:type="dxa"/>
                <w:right w:w="28" w:type="dxa"/>
              </w:tblCellMar>
            </w:tblPr>
            <w:tblGrid>
              <w:gridCol w:w="565"/>
              <w:gridCol w:w="1406"/>
              <w:gridCol w:w="3081"/>
              <w:gridCol w:w="2217"/>
              <w:gridCol w:w="826"/>
              <w:gridCol w:w="694"/>
            </w:tblGrid>
            <w:tr w14:paraId="6814798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65" w:type="dxa"/>
                  <w:tcBorders>
                    <w:top w:val="single" w:color="auto" w:sz="8" w:space="0"/>
                    <w:left w:val="single" w:color="auto" w:sz="8" w:space="0"/>
                    <w:bottom w:val="single" w:color="auto" w:sz="4" w:space="0"/>
                    <w:right w:val="single" w:color="auto" w:sz="4" w:space="0"/>
                  </w:tcBorders>
                  <w:vAlign w:val="center"/>
                </w:tcPr>
                <w:p w14:paraId="76B7C1F1">
                  <w:pPr>
                    <w:spacing w:line="0" w:lineRule="atLeast"/>
                    <w:jc w:val="center"/>
                    <w:rPr>
                      <w:rFonts w:hAnsi="宋体"/>
                    </w:rPr>
                  </w:pPr>
                  <w:r>
                    <w:rPr>
                      <w:rFonts w:hint="eastAsia" w:hAnsi="宋体"/>
                    </w:rPr>
                    <w:t>类别</w:t>
                  </w:r>
                </w:p>
              </w:tc>
              <w:tc>
                <w:tcPr>
                  <w:tcW w:w="1406" w:type="dxa"/>
                  <w:tcBorders>
                    <w:top w:val="single" w:color="auto" w:sz="8" w:space="0"/>
                    <w:left w:val="single" w:color="auto" w:sz="4" w:space="0"/>
                    <w:bottom w:val="single" w:color="auto" w:sz="4" w:space="0"/>
                    <w:right w:val="single" w:color="auto" w:sz="4" w:space="0"/>
                  </w:tcBorders>
                  <w:vAlign w:val="center"/>
                </w:tcPr>
                <w:p w14:paraId="4784F67A">
                  <w:pPr>
                    <w:autoSpaceDE w:val="0"/>
                    <w:autoSpaceDN w:val="0"/>
                    <w:adjustRightInd w:val="0"/>
                    <w:spacing w:line="0" w:lineRule="atLeast"/>
                    <w:jc w:val="center"/>
                    <w:rPr>
                      <w:rFonts w:hAnsi="宋体"/>
                    </w:rPr>
                  </w:pPr>
                  <w:r>
                    <w:rPr>
                      <w:rFonts w:hint="eastAsia"/>
                    </w:rPr>
                    <w:t>污染物</w:t>
                  </w:r>
                </w:p>
              </w:tc>
              <w:tc>
                <w:tcPr>
                  <w:tcW w:w="3081" w:type="dxa"/>
                  <w:tcBorders>
                    <w:top w:val="single" w:color="auto" w:sz="8" w:space="0"/>
                    <w:left w:val="single" w:color="auto" w:sz="4" w:space="0"/>
                    <w:bottom w:val="single" w:color="auto" w:sz="4" w:space="0"/>
                    <w:right w:val="single" w:color="auto" w:sz="4" w:space="0"/>
                  </w:tcBorders>
                  <w:vAlign w:val="center"/>
                </w:tcPr>
                <w:p w14:paraId="27157BD3">
                  <w:pPr>
                    <w:autoSpaceDE w:val="0"/>
                    <w:autoSpaceDN w:val="0"/>
                    <w:adjustRightInd w:val="0"/>
                    <w:spacing w:line="0" w:lineRule="atLeast"/>
                    <w:jc w:val="center"/>
                    <w:rPr>
                      <w:rFonts w:hAnsi="宋体"/>
                    </w:rPr>
                  </w:pPr>
                  <w:r>
                    <w:rPr>
                      <w:rFonts w:hint="eastAsia"/>
                    </w:rPr>
                    <w:t>设施或措施名称</w:t>
                  </w:r>
                </w:p>
              </w:tc>
              <w:tc>
                <w:tcPr>
                  <w:tcW w:w="2217" w:type="dxa"/>
                  <w:tcBorders>
                    <w:top w:val="single" w:color="auto" w:sz="8" w:space="0"/>
                    <w:left w:val="single" w:color="auto" w:sz="4" w:space="0"/>
                    <w:bottom w:val="single" w:color="auto" w:sz="4" w:space="0"/>
                    <w:right w:val="single" w:color="auto" w:sz="4" w:space="0"/>
                  </w:tcBorders>
                  <w:vAlign w:val="center"/>
                </w:tcPr>
                <w:p w14:paraId="58F12FD1">
                  <w:pPr>
                    <w:autoSpaceDE w:val="0"/>
                    <w:autoSpaceDN w:val="0"/>
                    <w:adjustRightInd w:val="0"/>
                    <w:spacing w:line="0" w:lineRule="atLeast"/>
                    <w:jc w:val="center"/>
                    <w:rPr>
                      <w:rFonts w:hAnsi="宋体"/>
                    </w:rPr>
                  </w:pPr>
                  <w:r>
                    <w:rPr>
                      <w:rFonts w:hint="eastAsia"/>
                    </w:rPr>
                    <w:t>验收标准</w:t>
                  </w:r>
                </w:p>
              </w:tc>
              <w:tc>
                <w:tcPr>
                  <w:tcW w:w="826" w:type="dxa"/>
                  <w:tcBorders>
                    <w:top w:val="single" w:color="auto" w:sz="8" w:space="0"/>
                    <w:left w:val="single" w:color="auto" w:sz="4" w:space="0"/>
                    <w:bottom w:val="single" w:color="auto" w:sz="4" w:space="0"/>
                    <w:right w:val="single" w:color="auto" w:sz="4" w:space="0"/>
                  </w:tcBorders>
                  <w:vAlign w:val="center"/>
                </w:tcPr>
                <w:p w14:paraId="5DB84EF6">
                  <w:pPr>
                    <w:autoSpaceDE w:val="0"/>
                    <w:autoSpaceDN w:val="0"/>
                    <w:adjustRightInd w:val="0"/>
                    <w:spacing w:line="0" w:lineRule="atLeast"/>
                    <w:jc w:val="center"/>
                    <w:rPr>
                      <w:rFonts w:hAnsi="宋体"/>
                    </w:rPr>
                  </w:pPr>
                  <w:r>
                    <w:rPr>
                      <w:rFonts w:hint="eastAsia" w:hAnsi="宋体"/>
                    </w:rPr>
                    <w:t>投资</w:t>
                  </w:r>
                </w:p>
                <w:p w14:paraId="230F837D">
                  <w:pPr>
                    <w:autoSpaceDE w:val="0"/>
                    <w:autoSpaceDN w:val="0"/>
                    <w:adjustRightInd w:val="0"/>
                    <w:spacing w:line="0" w:lineRule="atLeast"/>
                    <w:jc w:val="center"/>
                    <w:rPr>
                      <w:rFonts w:hAnsi="宋体"/>
                    </w:rPr>
                  </w:pPr>
                  <w:r>
                    <w:rPr>
                      <w:rFonts w:hint="eastAsia" w:hAnsi="宋体"/>
                    </w:rPr>
                    <w:t>（元）</w:t>
                  </w:r>
                </w:p>
              </w:tc>
              <w:tc>
                <w:tcPr>
                  <w:tcW w:w="694" w:type="dxa"/>
                  <w:tcBorders>
                    <w:top w:val="single" w:color="auto" w:sz="8" w:space="0"/>
                    <w:left w:val="single" w:color="auto" w:sz="4" w:space="0"/>
                    <w:bottom w:val="single" w:color="auto" w:sz="4" w:space="0"/>
                    <w:right w:val="single" w:color="auto" w:sz="8" w:space="0"/>
                  </w:tcBorders>
                  <w:vAlign w:val="center"/>
                </w:tcPr>
                <w:p w14:paraId="1AD6DE66">
                  <w:pPr>
                    <w:autoSpaceDE w:val="0"/>
                    <w:autoSpaceDN w:val="0"/>
                    <w:adjustRightInd w:val="0"/>
                    <w:spacing w:line="0" w:lineRule="atLeast"/>
                    <w:jc w:val="center"/>
                  </w:pPr>
                  <w:r>
                    <w:rPr>
                      <w:rFonts w:hint="eastAsia"/>
                    </w:rPr>
                    <w:t>实施</w:t>
                  </w:r>
                </w:p>
                <w:p w14:paraId="4E6A3C7F">
                  <w:pPr>
                    <w:autoSpaceDE w:val="0"/>
                    <w:autoSpaceDN w:val="0"/>
                    <w:adjustRightInd w:val="0"/>
                    <w:spacing w:line="0" w:lineRule="atLeast"/>
                    <w:jc w:val="center"/>
                    <w:rPr>
                      <w:rFonts w:hAnsi="宋体"/>
                    </w:rPr>
                  </w:pPr>
                  <w:r>
                    <w:rPr>
                      <w:rFonts w:hint="eastAsia"/>
                    </w:rPr>
                    <w:t>进度</w:t>
                  </w:r>
                </w:p>
              </w:tc>
            </w:tr>
            <w:tr w14:paraId="2B4BC19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65" w:type="dxa"/>
                  <w:tcBorders>
                    <w:top w:val="single" w:color="auto" w:sz="4" w:space="0"/>
                    <w:left w:val="single" w:color="auto" w:sz="8" w:space="0"/>
                    <w:bottom w:val="single" w:color="auto" w:sz="4" w:space="0"/>
                    <w:right w:val="single" w:color="auto" w:sz="4" w:space="0"/>
                  </w:tcBorders>
                  <w:vAlign w:val="center"/>
                </w:tcPr>
                <w:p w14:paraId="6B4FCFD1">
                  <w:pPr>
                    <w:spacing w:line="0" w:lineRule="atLeast"/>
                    <w:jc w:val="center"/>
                    <w:rPr>
                      <w:rFonts w:hAnsi="宋体"/>
                    </w:rPr>
                  </w:pPr>
                  <w:r>
                    <w:rPr>
                      <w:rFonts w:hint="eastAsia"/>
                    </w:rPr>
                    <w:t>废水</w:t>
                  </w:r>
                </w:p>
              </w:tc>
              <w:tc>
                <w:tcPr>
                  <w:tcW w:w="1406" w:type="dxa"/>
                  <w:tcBorders>
                    <w:top w:val="single" w:color="auto" w:sz="4" w:space="0"/>
                    <w:left w:val="single" w:color="auto" w:sz="4" w:space="0"/>
                    <w:bottom w:val="single" w:color="auto" w:sz="4" w:space="0"/>
                    <w:right w:val="single" w:color="auto" w:sz="4" w:space="0"/>
                  </w:tcBorders>
                  <w:vAlign w:val="center"/>
                </w:tcPr>
                <w:p w14:paraId="5009C20B">
                  <w:pPr>
                    <w:autoSpaceDE w:val="0"/>
                    <w:autoSpaceDN w:val="0"/>
                    <w:adjustRightInd w:val="0"/>
                    <w:spacing w:line="0" w:lineRule="atLeast"/>
                    <w:jc w:val="center"/>
                    <w:rPr>
                      <w:rFonts w:hAnsi="宋体"/>
                    </w:rPr>
                  </w:pPr>
                  <w:r>
                    <w:rPr>
                      <w:rFonts w:hint="eastAsia" w:hAnsi="宋体"/>
                    </w:rPr>
                    <w:t>生活污水</w:t>
                  </w:r>
                </w:p>
              </w:tc>
              <w:tc>
                <w:tcPr>
                  <w:tcW w:w="3081" w:type="dxa"/>
                  <w:tcBorders>
                    <w:top w:val="single" w:color="auto" w:sz="4" w:space="0"/>
                    <w:left w:val="single" w:color="auto" w:sz="4" w:space="0"/>
                    <w:bottom w:val="single" w:color="auto" w:sz="4" w:space="0"/>
                    <w:right w:val="single" w:color="auto" w:sz="4" w:space="0"/>
                  </w:tcBorders>
                  <w:vAlign w:val="center"/>
                </w:tcPr>
                <w:p w14:paraId="20D5F7D8">
                  <w:pPr>
                    <w:autoSpaceDE w:val="0"/>
                    <w:autoSpaceDN w:val="0"/>
                    <w:adjustRightInd w:val="0"/>
                    <w:spacing w:line="0" w:lineRule="atLeast"/>
                    <w:rPr>
                      <w:rFonts w:hAnsi="宋体"/>
                    </w:rPr>
                  </w:pPr>
                  <w:r>
                    <w:rPr>
                      <w:rFonts w:hint="eastAsia"/>
                    </w:rPr>
                    <w:t>隔油池</w:t>
                  </w:r>
                  <w:r>
                    <w:t>1</w:t>
                  </w:r>
                  <w:r>
                    <w:rPr>
                      <w:rFonts w:hint="eastAsia"/>
                    </w:rPr>
                    <w:t>座</w:t>
                  </w:r>
                  <w:r>
                    <w:t>2m</w:t>
                  </w:r>
                  <w:r>
                    <w:rPr>
                      <w:vertAlign w:val="superscript"/>
                    </w:rPr>
                    <w:t>3</w:t>
                  </w:r>
                  <w:r>
                    <w:t>+</w:t>
                  </w:r>
                  <w:r>
                    <w:rPr>
                      <w:rFonts w:hint="eastAsia"/>
                    </w:rPr>
                    <w:t>化粪池</w:t>
                  </w:r>
                  <w:r>
                    <w:t>1</w:t>
                  </w:r>
                  <w:r>
                    <w:rPr>
                      <w:rFonts w:hint="eastAsia"/>
                    </w:rPr>
                    <w:t>座</w:t>
                  </w:r>
                  <w:r>
                    <w:t>3m</w:t>
                  </w:r>
                  <w:r>
                    <w:rPr>
                      <w:vertAlign w:val="superscript"/>
                    </w:rPr>
                    <w:t>3</w:t>
                  </w:r>
                  <w:r>
                    <w:t>+</w:t>
                  </w:r>
                  <w:r>
                    <w:rPr>
                      <w:rFonts w:hint="eastAsia"/>
                    </w:rPr>
                    <w:t>地埋式生活污水处理设施地埋式污水处理设施处理能力</w:t>
                  </w:r>
                  <w:r>
                    <w:t>1m</w:t>
                  </w:r>
                  <w:r>
                    <w:rPr>
                      <w:vertAlign w:val="superscript"/>
                    </w:rPr>
                    <w:t>3</w:t>
                  </w:r>
                  <w:r>
                    <w:t>/h</w:t>
                  </w:r>
                  <w:r>
                    <w:rPr>
                      <w:rFonts w:hint="eastAsia"/>
                    </w:rPr>
                    <w:t>，</w:t>
                  </w:r>
                  <w:r>
                    <w:rPr>
                      <w:rFonts w:hint="eastAsia"/>
                      <w:color w:val="0000FF"/>
                    </w:rPr>
                    <w:t>冬储夏灌池</w:t>
                  </w:r>
                  <w:r>
                    <w:rPr>
                      <w:color w:val="0000FF"/>
                    </w:rPr>
                    <w:t>72m</w:t>
                  </w:r>
                  <w:r>
                    <w:rPr>
                      <w:color w:val="0000FF"/>
                      <w:vertAlign w:val="superscript"/>
                    </w:rPr>
                    <w:t>3</w:t>
                  </w:r>
                  <w:r>
                    <w:rPr>
                      <w:rFonts w:hint="eastAsia"/>
                      <w:color w:val="0000FF"/>
                    </w:rPr>
                    <w:t>。</w:t>
                  </w:r>
                  <w:r>
                    <w:rPr>
                      <w:rFonts w:hint="eastAsia"/>
                    </w:rPr>
                    <w:t>污水处理站、化粪池、隔油池、冬储夏灌场等均要求防渗，渗透系数小于</w:t>
                  </w:r>
                  <w:r>
                    <w:t>1×10</w:t>
                  </w:r>
                  <w:r>
                    <w:rPr>
                      <w:vertAlign w:val="superscript"/>
                    </w:rPr>
                    <w:t>-7</w:t>
                  </w:r>
                  <w:r>
                    <w:t>cm/s</w:t>
                  </w:r>
                </w:p>
              </w:tc>
              <w:tc>
                <w:tcPr>
                  <w:tcW w:w="2217" w:type="dxa"/>
                  <w:tcBorders>
                    <w:top w:val="single" w:color="auto" w:sz="4" w:space="0"/>
                    <w:left w:val="single" w:color="auto" w:sz="4" w:space="0"/>
                    <w:bottom w:val="single" w:color="auto" w:sz="4" w:space="0"/>
                    <w:right w:val="single" w:color="auto" w:sz="4" w:space="0"/>
                  </w:tcBorders>
                  <w:vAlign w:val="center"/>
                </w:tcPr>
                <w:p w14:paraId="0D6801EA">
                  <w:pPr>
                    <w:autoSpaceDE w:val="0"/>
                    <w:autoSpaceDN w:val="0"/>
                    <w:adjustRightInd w:val="0"/>
                    <w:spacing w:line="0" w:lineRule="atLeast"/>
                    <w:rPr>
                      <w:rFonts w:hAnsi="宋体"/>
                    </w:rPr>
                  </w:pPr>
                  <w:r>
                    <w:rPr>
                      <w:rFonts w:hint="eastAsia"/>
                    </w:rPr>
                    <w:t>经处理后出水达《城市污水再生利用</w:t>
                  </w:r>
                  <w:r>
                    <w:t xml:space="preserve">  </w:t>
                  </w:r>
                  <w:r>
                    <w:rPr>
                      <w:rFonts w:hint="eastAsia"/>
                    </w:rPr>
                    <w:t>城市杂用水水质》（</w:t>
                  </w:r>
                  <w:r>
                    <w:t>GB18920-2002</w:t>
                  </w:r>
                  <w:r>
                    <w:rPr>
                      <w:rFonts w:hint="eastAsia"/>
                    </w:rPr>
                    <w:t>）标准中绿化标准后回用，不外排</w:t>
                  </w:r>
                </w:p>
              </w:tc>
              <w:tc>
                <w:tcPr>
                  <w:tcW w:w="826" w:type="dxa"/>
                  <w:tcBorders>
                    <w:top w:val="single" w:color="auto" w:sz="4" w:space="0"/>
                    <w:left w:val="single" w:color="auto" w:sz="4" w:space="0"/>
                    <w:bottom w:val="single" w:color="auto" w:sz="4" w:space="0"/>
                    <w:right w:val="single" w:color="auto" w:sz="4" w:space="0"/>
                  </w:tcBorders>
                  <w:vAlign w:val="center"/>
                </w:tcPr>
                <w:p w14:paraId="4A7E2A1B">
                  <w:pPr>
                    <w:autoSpaceDE w:val="0"/>
                    <w:autoSpaceDN w:val="0"/>
                    <w:adjustRightInd w:val="0"/>
                    <w:spacing w:line="0" w:lineRule="atLeast"/>
                    <w:jc w:val="center"/>
                    <w:rPr>
                      <w:rFonts w:hAnsi="宋体"/>
                    </w:rPr>
                  </w:pPr>
                  <w:r>
                    <w:rPr>
                      <w:rFonts w:hAnsi="宋体"/>
                    </w:rPr>
                    <w:t>70</w:t>
                  </w:r>
                </w:p>
              </w:tc>
              <w:tc>
                <w:tcPr>
                  <w:tcW w:w="694" w:type="dxa"/>
                  <w:vMerge w:val="restart"/>
                  <w:tcBorders>
                    <w:top w:val="single" w:color="auto" w:sz="4" w:space="0"/>
                    <w:left w:val="single" w:color="auto" w:sz="4" w:space="0"/>
                    <w:bottom w:val="single" w:color="auto" w:sz="8" w:space="0"/>
                    <w:right w:val="single" w:color="auto" w:sz="8" w:space="0"/>
                  </w:tcBorders>
                  <w:vAlign w:val="center"/>
                </w:tcPr>
                <w:p w14:paraId="67FC20BB">
                  <w:pPr>
                    <w:autoSpaceDE w:val="0"/>
                    <w:autoSpaceDN w:val="0"/>
                    <w:adjustRightInd w:val="0"/>
                    <w:spacing w:line="0" w:lineRule="atLeast"/>
                  </w:pPr>
                  <w:r>
                    <w:rPr>
                      <w:rFonts w:hint="eastAsia"/>
                    </w:rPr>
                    <w:t>与主体工程同时完成，同时投入使用</w:t>
                  </w:r>
                </w:p>
              </w:tc>
            </w:tr>
            <w:tr w14:paraId="758509E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65" w:type="dxa"/>
                  <w:tcBorders>
                    <w:top w:val="single" w:color="auto" w:sz="4" w:space="0"/>
                    <w:left w:val="single" w:color="auto" w:sz="8" w:space="0"/>
                    <w:bottom w:val="single" w:color="auto" w:sz="4" w:space="0"/>
                    <w:right w:val="single" w:color="auto" w:sz="4" w:space="0"/>
                  </w:tcBorders>
                  <w:vAlign w:val="center"/>
                </w:tcPr>
                <w:p w14:paraId="0ACA6226">
                  <w:pPr>
                    <w:spacing w:line="0" w:lineRule="atLeast"/>
                    <w:jc w:val="center"/>
                    <w:rPr>
                      <w:rFonts w:hAnsi="宋体"/>
                    </w:rPr>
                  </w:pPr>
                  <w:r>
                    <w:rPr>
                      <w:rFonts w:hint="eastAsia"/>
                    </w:rPr>
                    <w:t>废气</w:t>
                  </w:r>
                </w:p>
              </w:tc>
              <w:tc>
                <w:tcPr>
                  <w:tcW w:w="1406" w:type="dxa"/>
                  <w:tcBorders>
                    <w:top w:val="single" w:color="auto" w:sz="4" w:space="0"/>
                    <w:left w:val="single" w:color="auto" w:sz="4" w:space="0"/>
                    <w:bottom w:val="single" w:color="auto" w:sz="4" w:space="0"/>
                    <w:right w:val="single" w:color="auto" w:sz="4" w:space="0"/>
                  </w:tcBorders>
                  <w:vAlign w:val="center"/>
                </w:tcPr>
                <w:p w14:paraId="55B87F3D">
                  <w:pPr>
                    <w:autoSpaceDE w:val="0"/>
                    <w:autoSpaceDN w:val="0"/>
                    <w:adjustRightInd w:val="0"/>
                    <w:spacing w:line="0" w:lineRule="atLeast"/>
                    <w:jc w:val="center"/>
                    <w:rPr>
                      <w:rFonts w:hAnsi="宋体"/>
                    </w:rPr>
                  </w:pPr>
                  <w:r>
                    <w:rPr>
                      <w:rFonts w:hint="eastAsia"/>
                    </w:rPr>
                    <w:t>食堂油烟废气</w:t>
                  </w:r>
                </w:p>
              </w:tc>
              <w:tc>
                <w:tcPr>
                  <w:tcW w:w="3081" w:type="dxa"/>
                  <w:tcBorders>
                    <w:top w:val="single" w:color="auto" w:sz="4" w:space="0"/>
                    <w:left w:val="single" w:color="auto" w:sz="4" w:space="0"/>
                    <w:bottom w:val="single" w:color="auto" w:sz="4" w:space="0"/>
                    <w:right w:val="single" w:color="auto" w:sz="4" w:space="0"/>
                  </w:tcBorders>
                  <w:vAlign w:val="center"/>
                </w:tcPr>
                <w:p w14:paraId="0C8D9BB8">
                  <w:pPr>
                    <w:autoSpaceDE w:val="0"/>
                    <w:autoSpaceDN w:val="0"/>
                    <w:adjustRightInd w:val="0"/>
                    <w:spacing w:line="0" w:lineRule="atLeast"/>
                    <w:rPr>
                      <w:rFonts w:hAnsi="宋体"/>
                    </w:rPr>
                  </w:pPr>
                  <w:r>
                    <w:rPr>
                      <w:rFonts w:hint="eastAsia"/>
                    </w:rPr>
                    <w:t>在食堂厨房安装油烟净化率大</w:t>
                  </w:r>
                  <w:r>
                    <w:t>60%</w:t>
                  </w:r>
                  <w:r>
                    <w:rPr>
                      <w:rFonts w:hint="eastAsia"/>
                    </w:rPr>
                    <w:t>以上的油烟净化器</w:t>
                  </w:r>
                </w:p>
              </w:tc>
              <w:tc>
                <w:tcPr>
                  <w:tcW w:w="2217" w:type="dxa"/>
                  <w:tcBorders>
                    <w:top w:val="single" w:color="auto" w:sz="4" w:space="0"/>
                    <w:left w:val="single" w:color="auto" w:sz="4" w:space="0"/>
                    <w:bottom w:val="single" w:color="auto" w:sz="4" w:space="0"/>
                    <w:right w:val="single" w:color="auto" w:sz="4" w:space="0"/>
                  </w:tcBorders>
                  <w:vAlign w:val="center"/>
                </w:tcPr>
                <w:p w14:paraId="2C6EADFD">
                  <w:pPr>
                    <w:autoSpaceDE w:val="0"/>
                    <w:autoSpaceDN w:val="0"/>
                    <w:adjustRightInd w:val="0"/>
                    <w:spacing w:line="0" w:lineRule="atLeast"/>
                    <w:rPr>
                      <w:rFonts w:hAnsi="宋体"/>
                    </w:rPr>
                  </w:pPr>
                  <w:r>
                    <w:rPr>
                      <w:rFonts w:hint="eastAsia"/>
                    </w:rPr>
                    <w:t>满足《饮食业油烟排放标准（试行）》（</w:t>
                  </w:r>
                  <w:r>
                    <w:t>GB18483-2001</w:t>
                  </w:r>
                  <w:r>
                    <w:rPr>
                      <w:rFonts w:hint="eastAsia"/>
                    </w:rPr>
                    <w:t>）中表</w:t>
                  </w:r>
                  <w:r>
                    <w:t>2</w:t>
                  </w:r>
                  <w:r>
                    <w:rPr>
                      <w:rFonts w:hint="eastAsia"/>
                    </w:rPr>
                    <w:t>中规定最高允许排放浓度（</w:t>
                  </w:r>
                  <w:r>
                    <w:t>2.0mg/m</w:t>
                  </w:r>
                  <w:r>
                    <w:rPr>
                      <w:vertAlign w:val="superscript"/>
                    </w:rPr>
                    <w:t>3</w:t>
                  </w:r>
                  <w:r>
                    <w:rPr>
                      <w:rFonts w:hint="eastAsia"/>
                    </w:rPr>
                    <w:t>）标准要求，和对最低去除效率</w:t>
                  </w:r>
                  <w:r>
                    <w:t>60%</w:t>
                  </w:r>
                  <w:r>
                    <w:rPr>
                      <w:rFonts w:hint="eastAsia"/>
                    </w:rPr>
                    <w:t>的要求</w:t>
                  </w:r>
                </w:p>
              </w:tc>
              <w:tc>
                <w:tcPr>
                  <w:tcW w:w="826" w:type="dxa"/>
                  <w:tcBorders>
                    <w:top w:val="single" w:color="auto" w:sz="4" w:space="0"/>
                    <w:left w:val="single" w:color="auto" w:sz="4" w:space="0"/>
                    <w:bottom w:val="single" w:color="auto" w:sz="4" w:space="0"/>
                    <w:right w:val="single" w:color="auto" w:sz="4" w:space="0"/>
                  </w:tcBorders>
                  <w:vAlign w:val="center"/>
                </w:tcPr>
                <w:p w14:paraId="5C7B49CC">
                  <w:pPr>
                    <w:autoSpaceDE w:val="0"/>
                    <w:autoSpaceDN w:val="0"/>
                    <w:adjustRightInd w:val="0"/>
                    <w:spacing w:line="0" w:lineRule="atLeast"/>
                    <w:jc w:val="center"/>
                    <w:rPr>
                      <w:rFonts w:hAnsi="宋体"/>
                    </w:rPr>
                  </w:pPr>
                  <w:r>
                    <w:rPr>
                      <w:rFonts w:hAnsi="宋体"/>
                    </w:rPr>
                    <w:t>1</w:t>
                  </w:r>
                </w:p>
              </w:tc>
              <w:tc>
                <w:tcPr>
                  <w:tcW w:w="694" w:type="dxa"/>
                  <w:vMerge w:val="continue"/>
                  <w:tcBorders>
                    <w:top w:val="single" w:color="auto" w:sz="4" w:space="0"/>
                    <w:left w:val="single" w:color="auto" w:sz="4" w:space="0"/>
                    <w:bottom w:val="single" w:color="auto" w:sz="8" w:space="0"/>
                    <w:right w:val="single" w:color="auto" w:sz="8" w:space="0"/>
                  </w:tcBorders>
                  <w:vAlign w:val="center"/>
                </w:tcPr>
                <w:p w14:paraId="657BF603">
                  <w:pPr>
                    <w:widowControl/>
                    <w:spacing w:line="240" w:lineRule="auto"/>
                    <w:jc w:val="left"/>
                  </w:pPr>
                </w:p>
              </w:tc>
            </w:tr>
            <w:tr w14:paraId="7438173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65" w:type="dxa"/>
                  <w:tcBorders>
                    <w:top w:val="single" w:color="auto" w:sz="4" w:space="0"/>
                    <w:left w:val="single" w:color="auto" w:sz="8" w:space="0"/>
                    <w:bottom w:val="single" w:color="auto" w:sz="4" w:space="0"/>
                    <w:right w:val="single" w:color="auto" w:sz="4" w:space="0"/>
                  </w:tcBorders>
                  <w:vAlign w:val="center"/>
                </w:tcPr>
                <w:p w14:paraId="7456202E">
                  <w:pPr>
                    <w:spacing w:line="0" w:lineRule="atLeast"/>
                    <w:jc w:val="center"/>
                    <w:rPr>
                      <w:rFonts w:hAnsi="宋体"/>
                    </w:rPr>
                  </w:pPr>
                  <w:r>
                    <w:rPr>
                      <w:rFonts w:hint="eastAsia"/>
                    </w:rPr>
                    <w:t>噪声</w:t>
                  </w:r>
                </w:p>
              </w:tc>
              <w:tc>
                <w:tcPr>
                  <w:tcW w:w="1406" w:type="dxa"/>
                  <w:tcBorders>
                    <w:top w:val="single" w:color="auto" w:sz="4" w:space="0"/>
                    <w:left w:val="single" w:color="auto" w:sz="4" w:space="0"/>
                    <w:bottom w:val="single" w:color="auto" w:sz="4" w:space="0"/>
                    <w:right w:val="single" w:color="auto" w:sz="4" w:space="0"/>
                  </w:tcBorders>
                  <w:vAlign w:val="center"/>
                </w:tcPr>
                <w:p w14:paraId="13B69636">
                  <w:pPr>
                    <w:spacing w:line="0" w:lineRule="atLeast"/>
                    <w:rPr>
                      <w:rFonts w:hAnsi="宋体"/>
                    </w:rPr>
                  </w:pPr>
                  <w:r>
                    <w:rPr>
                      <w:rFonts w:hint="eastAsia"/>
                    </w:rPr>
                    <w:t>风力发电机、主变压器等运行噪声</w:t>
                  </w:r>
                </w:p>
              </w:tc>
              <w:tc>
                <w:tcPr>
                  <w:tcW w:w="3081" w:type="dxa"/>
                  <w:tcBorders>
                    <w:top w:val="single" w:color="auto" w:sz="4" w:space="0"/>
                    <w:left w:val="single" w:color="auto" w:sz="4" w:space="0"/>
                    <w:bottom w:val="single" w:color="auto" w:sz="4" w:space="0"/>
                    <w:right w:val="single" w:color="auto" w:sz="4" w:space="0"/>
                  </w:tcBorders>
                  <w:vAlign w:val="center"/>
                </w:tcPr>
                <w:p w14:paraId="7CC139BD">
                  <w:pPr>
                    <w:spacing w:line="0" w:lineRule="atLeast"/>
                    <w:rPr>
                      <w:rFonts w:hAnsi="宋体"/>
                    </w:rPr>
                  </w:pPr>
                  <w:r>
                    <w:rPr>
                      <w:rFonts w:hint="eastAsia"/>
                    </w:rPr>
                    <w:t>选用低噪声设备，安装消音、减振、隔声等措施</w:t>
                  </w:r>
                </w:p>
              </w:tc>
              <w:tc>
                <w:tcPr>
                  <w:tcW w:w="2217" w:type="dxa"/>
                  <w:tcBorders>
                    <w:top w:val="single" w:color="auto" w:sz="4" w:space="0"/>
                    <w:left w:val="single" w:color="auto" w:sz="4" w:space="0"/>
                    <w:bottom w:val="single" w:color="auto" w:sz="4" w:space="0"/>
                    <w:right w:val="single" w:color="auto" w:sz="4" w:space="0"/>
                  </w:tcBorders>
                  <w:vAlign w:val="center"/>
                </w:tcPr>
                <w:p w14:paraId="299BEA61">
                  <w:pPr>
                    <w:spacing w:line="0" w:lineRule="atLeast"/>
                    <w:rPr>
                      <w:rFonts w:hAnsi="宋体"/>
                    </w:rPr>
                  </w:pPr>
                  <w:r>
                    <w:rPr>
                      <w:rFonts w:hint="eastAsia"/>
                    </w:rPr>
                    <w:t>确保升压站场界达到《工业企业厂界环境噪声排放标准》（</w:t>
                  </w:r>
                  <w:r>
                    <w:t>GB12348-2008</w:t>
                  </w:r>
                  <w:r>
                    <w:rPr>
                      <w:rFonts w:hint="eastAsia"/>
                    </w:rPr>
                    <w:t>）中</w:t>
                  </w:r>
                  <w:r>
                    <w:t>1</w:t>
                  </w:r>
                  <w:r>
                    <w:rPr>
                      <w:rFonts w:hint="eastAsia"/>
                    </w:rPr>
                    <w:t>类标准</w:t>
                  </w:r>
                </w:p>
              </w:tc>
              <w:tc>
                <w:tcPr>
                  <w:tcW w:w="826" w:type="dxa"/>
                  <w:tcBorders>
                    <w:top w:val="single" w:color="auto" w:sz="4" w:space="0"/>
                    <w:left w:val="single" w:color="auto" w:sz="4" w:space="0"/>
                    <w:bottom w:val="single" w:color="auto" w:sz="4" w:space="0"/>
                    <w:right w:val="single" w:color="auto" w:sz="4" w:space="0"/>
                  </w:tcBorders>
                  <w:vAlign w:val="center"/>
                </w:tcPr>
                <w:p w14:paraId="4501E42F">
                  <w:pPr>
                    <w:spacing w:line="0" w:lineRule="atLeast"/>
                    <w:jc w:val="center"/>
                    <w:rPr>
                      <w:rFonts w:hAnsi="宋体"/>
                    </w:rPr>
                  </w:pPr>
                  <w:r>
                    <w:rPr>
                      <w:rFonts w:hAnsi="宋体"/>
                    </w:rPr>
                    <w:t>7.5</w:t>
                  </w:r>
                </w:p>
              </w:tc>
              <w:tc>
                <w:tcPr>
                  <w:tcW w:w="694" w:type="dxa"/>
                  <w:vMerge w:val="continue"/>
                  <w:tcBorders>
                    <w:top w:val="single" w:color="auto" w:sz="4" w:space="0"/>
                    <w:left w:val="single" w:color="auto" w:sz="4" w:space="0"/>
                    <w:bottom w:val="single" w:color="auto" w:sz="8" w:space="0"/>
                    <w:right w:val="single" w:color="auto" w:sz="8" w:space="0"/>
                  </w:tcBorders>
                  <w:vAlign w:val="center"/>
                </w:tcPr>
                <w:p w14:paraId="75FE09AE">
                  <w:pPr>
                    <w:widowControl/>
                    <w:spacing w:line="240" w:lineRule="auto"/>
                    <w:jc w:val="left"/>
                  </w:pPr>
                </w:p>
              </w:tc>
            </w:tr>
            <w:tr w14:paraId="2EDDA8B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65" w:type="dxa"/>
                  <w:vMerge w:val="restart"/>
                  <w:tcBorders>
                    <w:top w:val="single" w:color="auto" w:sz="4" w:space="0"/>
                    <w:left w:val="single" w:color="auto" w:sz="8" w:space="0"/>
                    <w:bottom w:val="single" w:color="auto" w:sz="4" w:space="0"/>
                    <w:right w:val="single" w:color="auto" w:sz="4" w:space="0"/>
                  </w:tcBorders>
                  <w:vAlign w:val="center"/>
                </w:tcPr>
                <w:p w14:paraId="4C377F8E">
                  <w:pPr>
                    <w:spacing w:line="0" w:lineRule="atLeast"/>
                    <w:jc w:val="center"/>
                    <w:rPr>
                      <w:rFonts w:hAnsi="宋体"/>
                    </w:rPr>
                  </w:pPr>
                  <w:r>
                    <w:rPr>
                      <w:rFonts w:hint="eastAsia"/>
                    </w:rPr>
                    <w:t>固废</w:t>
                  </w:r>
                </w:p>
              </w:tc>
              <w:tc>
                <w:tcPr>
                  <w:tcW w:w="1406" w:type="dxa"/>
                  <w:tcBorders>
                    <w:top w:val="single" w:color="auto" w:sz="4" w:space="0"/>
                    <w:left w:val="single" w:color="auto" w:sz="4" w:space="0"/>
                    <w:bottom w:val="single" w:color="auto" w:sz="4" w:space="0"/>
                    <w:right w:val="single" w:color="auto" w:sz="4" w:space="0"/>
                  </w:tcBorders>
                  <w:vAlign w:val="center"/>
                </w:tcPr>
                <w:p w14:paraId="3573BF8C">
                  <w:pPr>
                    <w:spacing w:line="0" w:lineRule="atLeast"/>
                    <w:rPr>
                      <w:rFonts w:hAnsi="宋体"/>
                    </w:rPr>
                  </w:pPr>
                  <w:bookmarkStart w:id="13" w:name="OLE_LINK15"/>
                  <w:bookmarkStart w:id="14" w:name="OLE_LINK16"/>
                  <w:r>
                    <w:rPr>
                      <w:rFonts w:hint="eastAsia"/>
                    </w:rPr>
                    <w:t>生活垃圾</w:t>
                  </w:r>
                  <w:bookmarkEnd w:id="13"/>
                  <w:bookmarkEnd w:id="14"/>
                  <w:r>
                    <w:rPr>
                      <w:rFonts w:hint="eastAsia"/>
                    </w:rPr>
                    <w:t>及污水处理污泥</w:t>
                  </w:r>
                </w:p>
              </w:tc>
              <w:tc>
                <w:tcPr>
                  <w:tcW w:w="3081" w:type="dxa"/>
                  <w:tcBorders>
                    <w:top w:val="single" w:color="auto" w:sz="4" w:space="0"/>
                    <w:left w:val="single" w:color="auto" w:sz="4" w:space="0"/>
                    <w:bottom w:val="single" w:color="auto" w:sz="4" w:space="0"/>
                    <w:right w:val="single" w:color="auto" w:sz="4" w:space="0"/>
                  </w:tcBorders>
                  <w:vAlign w:val="center"/>
                </w:tcPr>
                <w:p w14:paraId="79FE07FA">
                  <w:pPr>
                    <w:spacing w:line="0" w:lineRule="atLeast"/>
                    <w:rPr>
                      <w:rFonts w:hAnsi="宋体"/>
                    </w:rPr>
                  </w:pPr>
                  <w:r>
                    <w:rPr>
                      <w:rFonts w:hint="eastAsia"/>
                    </w:rPr>
                    <w:t>升压站设垃圾箱</w:t>
                  </w:r>
                  <w:r>
                    <w:t>1</w:t>
                  </w:r>
                  <w:r>
                    <w:rPr>
                      <w:rFonts w:hint="eastAsia"/>
                    </w:rPr>
                    <w:t>个，生活垃圾集中收集后交由环卫部门统一处置；定期由环卫部门清掏污水处理污泥，并由环卫部门统一处理</w:t>
                  </w:r>
                </w:p>
              </w:tc>
              <w:tc>
                <w:tcPr>
                  <w:tcW w:w="2217" w:type="dxa"/>
                  <w:tcBorders>
                    <w:top w:val="single" w:color="auto" w:sz="4" w:space="0"/>
                    <w:left w:val="single" w:color="auto" w:sz="4" w:space="0"/>
                    <w:bottom w:val="single" w:color="auto" w:sz="4" w:space="0"/>
                    <w:right w:val="single" w:color="auto" w:sz="4" w:space="0"/>
                  </w:tcBorders>
                  <w:vAlign w:val="center"/>
                </w:tcPr>
                <w:p w14:paraId="4B480DDE">
                  <w:pPr>
                    <w:spacing w:line="0" w:lineRule="atLeast"/>
                    <w:rPr>
                      <w:rFonts w:hAnsi="宋体"/>
                    </w:rPr>
                  </w:pPr>
                  <w:r>
                    <w:rPr>
                      <w:rFonts w:hint="eastAsia"/>
                    </w:rPr>
                    <w:t>按要求收集处理生活垃圾及污水处理污泥</w:t>
                  </w:r>
                </w:p>
              </w:tc>
              <w:tc>
                <w:tcPr>
                  <w:tcW w:w="826" w:type="dxa"/>
                  <w:tcBorders>
                    <w:top w:val="single" w:color="auto" w:sz="4" w:space="0"/>
                    <w:left w:val="single" w:color="auto" w:sz="4" w:space="0"/>
                    <w:bottom w:val="single" w:color="auto" w:sz="4" w:space="0"/>
                    <w:right w:val="single" w:color="auto" w:sz="4" w:space="0"/>
                  </w:tcBorders>
                  <w:vAlign w:val="center"/>
                </w:tcPr>
                <w:p w14:paraId="080418F2">
                  <w:pPr>
                    <w:spacing w:line="0" w:lineRule="atLeast"/>
                    <w:jc w:val="center"/>
                    <w:rPr>
                      <w:rFonts w:hAnsi="宋体"/>
                    </w:rPr>
                  </w:pPr>
                  <w:r>
                    <w:rPr>
                      <w:rFonts w:hAnsi="宋体"/>
                    </w:rPr>
                    <w:t>0.2</w:t>
                  </w:r>
                </w:p>
              </w:tc>
              <w:tc>
                <w:tcPr>
                  <w:tcW w:w="694" w:type="dxa"/>
                  <w:vMerge w:val="continue"/>
                  <w:tcBorders>
                    <w:top w:val="single" w:color="auto" w:sz="4" w:space="0"/>
                    <w:left w:val="single" w:color="auto" w:sz="4" w:space="0"/>
                    <w:bottom w:val="single" w:color="auto" w:sz="8" w:space="0"/>
                    <w:right w:val="single" w:color="auto" w:sz="8" w:space="0"/>
                  </w:tcBorders>
                  <w:vAlign w:val="center"/>
                </w:tcPr>
                <w:p w14:paraId="73B95CFF">
                  <w:pPr>
                    <w:widowControl/>
                    <w:spacing w:line="240" w:lineRule="auto"/>
                    <w:jc w:val="left"/>
                  </w:pPr>
                </w:p>
              </w:tc>
            </w:tr>
            <w:tr w14:paraId="7F67771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971" w:type="dxa"/>
                  <w:vMerge w:val="continue"/>
                  <w:tcBorders>
                    <w:top w:val="single" w:color="auto" w:sz="4" w:space="0"/>
                    <w:left w:val="single" w:color="auto" w:sz="8" w:space="0"/>
                    <w:bottom w:val="single" w:color="auto" w:sz="4" w:space="0"/>
                    <w:right w:val="single" w:color="auto" w:sz="4" w:space="0"/>
                  </w:tcBorders>
                  <w:vAlign w:val="center"/>
                </w:tcPr>
                <w:p w14:paraId="571DFA87">
                  <w:pPr>
                    <w:widowControl/>
                    <w:spacing w:line="240" w:lineRule="auto"/>
                    <w:jc w:val="left"/>
                    <w:rPr>
                      <w:rFonts w:hAnsi="宋体"/>
                    </w:rPr>
                  </w:pPr>
                </w:p>
              </w:tc>
              <w:tc>
                <w:tcPr>
                  <w:tcW w:w="1406" w:type="dxa"/>
                  <w:tcBorders>
                    <w:top w:val="single" w:color="auto" w:sz="4" w:space="0"/>
                    <w:left w:val="single" w:color="auto" w:sz="4" w:space="0"/>
                    <w:bottom w:val="single" w:color="auto" w:sz="4" w:space="0"/>
                    <w:right w:val="single" w:color="auto" w:sz="4" w:space="0"/>
                  </w:tcBorders>
                  <w:vAlign w:val="center"/>
                </w:tcPr>
                <w:p w14:paraId="2F5B7DB2">
                  <w:pPr>
                    <w:spacing w:line="0" w:lineRule="atLeast"/>
                    <w:rPr>
                      <w:rFonts w:hAnsi="宋体"/>
                    </w:rPr>
                  </w:pPr>
                  <w:r>
                    <w:rPr>
                      <w:rFonts w:hint="eastAsia"/>
                      <w:color w:val="FF0000"/>
                    </w:rPr>
                    <w:t>维修垃圾</w:t>
                  </w:r>
                  <w:r>
                    <w:rPr>
                      <w:rFonts w:hint="eastAsia"/>
                    </w:rPr>
                    <w:t>及污油</w:t>
                  </w:r>
                </w:p>
              </w:tc>
              <w:tc>
                <w:tcPr>
                  <w:tcW w:w="3081" w:type="dxa"/>
                  <w:tcBorders>
                    <w:top w:val="single" w:color="auto" w:sz="4" w:space="0"/>
                    <w:left w:val="single" w:color="auto" w:sz="4" w:space="0"/>
                    <w:bottom w:val="single" w:color="auto" w:sz="4" w:space="0"/>
                    <w:right w:val="single" w:color="auto" w:sz="4" w:space="0"/>
                  </w:tcBorders>
                  <w:vAlign w:val="center"/>
                </w:tcPr>
                <w:p w14:paraId="56432563">
                  <w:pPr>
                    <w:spacing w:line="0" w:lineRule="atLeast"/>
                    <w:rPr>
                      <w:rFonts w:hAnsi="宋体"/>
                    </w:rPr>
                  </w:pPr>
                  <w:r>
                    <w:rPr>
                      <w:rFonts w:hint="eastAsia"/>
                    </w:rPr>
                    <w:t>设危废暂存间</w:t>
                  </w:r>
                  <w:r>
                    <w:t>1</w:t>
                  </w:r>
                  <w:r>
                    <w:rPr>
                      <w:rFonts w:hint="eastAsia"/>
                    </w:rPr>
                    <w:t>座，采用</w:t>
                  </w:r>
                  <w:r>
                    <w:t>2mm</w:t>
                  </w:r>
                  <w:r>
                    <w:rPr>
                      <w:rFonts w:hint="eastAsia"/>
                    </w:rPr>
                    <w:t>厚高密度聚乙烯防渗，渗透系数小于</w:t>
                  </w:r>
                  <w:r>
                    <w:t>1×10</w:t>
                  </w:r>
                  <w:r>
                    <w:rPr>
                      <w:vertAlign w:val="superscript"/>
                    </w:rPr>
                    <w:t>-10</w:t>
                  </w:r>
                  <w:r>
                    <w:t>cm/s</w:t>
                  </w:r>
                  <w:r>
                    <w:rPr>
                      <w:rFonts w:hint="eastAsia"/>
                    </w:rPr>
                    <w:t>，</w:t>
                  </w:r>
                  <w:r>
                    <w:rPr>
                      <w:rFonts w:hint="eastAsia"/>
                      <w:color w:val="FF0000"/>
                    </w:rPr>
                    <w:t>维修垃圾</w:t>
                  </w:r>
                  <w:r>
                    <w:rPr>
                      <w:rFonts w:hint="eastAsia"/>
                    </w:rPr>
                    <w:t>及废油装于铁桶中暂时存放于危废暂存间，由建设单位委托有处理该危险废物资质的单位处置</w:t>
                  </w:r>
                </w:p>
              </w:tc>
              <w:tc>
                <w:tcPr>
                  <w:tcW w:w="2217" w:type="dxa"/>
                  <w:tcBorders>
                    <w:top w:val="single" w:color="auto" w:sz="4" w:space="0"/>
                    <w:left w:val="single" w:color="auto" w:sz="4" w:space="0"/>
                    <w:bottom w:val="single" w:color="auto" w:sz="4" w:space="0"/>
                    <w:right w:val="single" w:color="auto" w:sz="4" w:space="0"/>
                  </w:tcBorders>
                  <w:vAlign w:val="center"/>
                </w:tcPr>
                <w:p w14:paraId="2F5DAE77">
                  <w:pPr>
                    <w:spacing w:line="0" w:lineRule="atLeast"/>
                    <w:rPr>
                      <w:rFonts w:hAnsi="宋体"/>
                    </w:rPr>
                  </w:pPr>
                  <w:r>
                    <w:rPr>
                      <w:rFonts w:hint="eastAsia"/>
                    </w:rPr>
                    <w:t>危废暂存间的建设符合《危险废物贮存污染控制标准》要求</w:t>
                  </w:r>
                </w:p>
              </w:tc>
              <w:tc>
                <w:tcPr>
                  <w:tcW w:w="826" w:type="dxa"/>
                  <w:tcBorders>
                    <w:top w:val="single" w:color="auto" w:sz="4" w:space="0"/>
                    <w:left w:val="single" w:color="auto" w:sz="4" w:space="0"/>
                    <w:bottom w:val="single" w:color="auto" w:sz="4" w:space="0"/>
                    <w:right w:val="single" w:color="auto" w:sz="4" w:space="0"/>
                  </w:tcBorders>
                  <w:vAlign w:val="center"/>
                </w:tcPr>
                <w:p w14:paraId="0BDF8EB5">
                  <w:pPr>
                    <w:spacing w:line="0" w:lineRule="atLeast"/>
                    <w:jc w:val="center"/>
                    <w:rPr>
                      <w:rFonts w:hAnsi="宋体"/>
                    </w:rPr>
                  </w:pPr>
                  <w:r>
                    <w:rPr>
                      <w:rFonts w:hAnsi="宋体"/>
                    </w:rPr>
                    <w:t>15</w:t>
                  </w:r>
                </w:p>
              </w:tc>
              <w:tc>
                <w:tcPr>
                  <w:tcW w:w="694" w:type="dxa"/>
                  <w:vMerge w:val="continue"/>
                  <w:tcBorders>
                    <w:top w:val="single" w:color="auto" w:sz="4" w:space="0"/>
                    <w:left w:val="single" w:color="auto" w:sz="4" w:space="0"/>
                    <w:bottom w:val="single" w:color="auto" w:sz="8" w:space="0"/>
                    <w:right w:val="single" w:color="auto" w:sz="8" w:space="0"/>
                  </w:tcBorders>
                  <w:vAlign w:val="center"/>
                </w:tcPr>
                <w:p w14:paraId="3AAF2188">
                  <w:pPr>
                    <w:widowControl/>
                    <w:spacing w:line="240" w:lineRule="auto"/>
                    <w:jc w:val="left"/>
                  </w:pPr>
                </w:p>
              </w:tc>
            </w:tr>
            <w:tr w14:paraId="589040C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971" w:type="dxa"/>
                  <w:vMerge w:val="continue"/>
                  <w:tcBorders>
                    <w:top w:val="single" w:color="auto" w:sz="4" w:space="0"/>
                    <w:left w:val="single" w:color="auto" w:sz="8" w:space="0"/>
                    <w:bottom w:val="single" w:color="auto" w:sz="4" w:space="0"/>
                    <w:right w:val="single" w:color="auto" w:sz="4" w:space="0"/>
                  </w:tcBorders>
                  <w:vAlign w:val="center"/>
                </w:tcPr>
                <w:p w14:paraId="07F73C51">
                  <w:pPr>
                    <w:widowControl/>
                    <w:spacing w:line="240" w:lineRule="auto"/>
                    <w:jc w:val="left"/>
                    <w:rPr>
                      <w:rFonts w:hAnsi="宋体"/>
                    </w:rPr>
                  </w:pPr>
                </w:p>
              </w:tc>
              <w:tc>
                <w:tcPr>
                  <w:tcW w:w="1406" w:type="dxa"/>
                  <w:tcBorders>
                    <w:top w:val="single" w:color="auto" w:sz="4" w:space="0"/>
                    <w:left w:val="single" w:color="auto" w:sz="4" w:space="0"/>
                    <w:bottom w:val="single" w:color="auto" w:sz="4" w:space="0"/>
                    <w:right w:val="single" w:color="auto" w:sz="4" w:space="0"/>
                  </w:tcBorders>
                  <w:vAlign w:val="center"/>
                </w:tcPr>
                <w:p w14:paraId="1C465D84">
                  <w:pPr>
                    <w:spacing w:line="0" w:lineRule="atLeast"/>
                    <w:jc w:val="center"/>
                  </w:pPr>
                  <w:r>
                    <w:rPr>
                      <w:rFonts w:hint="eastAsia"/>
                    </w:rPr>
                    <w:t>废蓄电池</w:t>
                  </w:r>
                </w:p>
              </w:tc>
              <w:tc>
                <w:tcPr>
                  <w:tcW w:w="3081" w:type="dxa"/>
                  <w:tcBorders>
                    <w:top w:val="single" w:color="auto" w:sz="4" w:space="0"/>
                    <w:left w:val="single" w:color="auto" w:sz="4" w:space="0"/>
                    <w:bottom w:val="single" w:color="auto" w:sz="4" w:space="0"/>
                    <w:right w:val="single" w:color="auto" w:sz="4" w:space="0"/>
                  </w:tcBorders>
                  <w:vAlign w:val="center"/>
                </w:tcPr>
                <w:p w14:paraId="26D09724">
                  <w:pPr>
                    <w:spacing w:line="0" w:lineRule="atLeast"/>
                  </w:pPr>
                  <w:r>
                    <w:t>10</w:t>
                  </w:r>
                  <w:r>
                    <w:rPr>
                      <w:rFonts w:hint="eastAsia"/>
                    </w:rPr>
                    <w:t>～</w:t>
                  </w:r>
                  <w:r>
                    <w:t>15</w:t>
                  </w:r>
                  <w:r>
                    <w:rPr>
                      <w:rFonts w:hint="eastAsia"/>
                    </w:rPr>
                    <w:t>年更换一次，拟由蓄电池提供单位回收处置</w:t>
                  </w:r>
                </w:p>
              </w:tc>
              <w:tc>
                <w:tcPr>
                  <w:tcW w:w="2217" w:type="dxa"/>
                  <w:tcBorders>
                    <w:top w:val="single" w:color="auto" w:sz="4" w:space="0"/>
                    <w:left w:val="single" w:color="auto" w:sz="4" w:space="0"/>
                    <w:bottom w:val="single" w:color="auto" w:sz="4" w:space="0"/>
                    <w:right w:val="single" w:color="auto" w:sz="4" w:space="0"/>
                  </w:tcBorders>
                  <w:vAlign w:val="center"/>
                </w:tcPr>
                <w:p w14:paraId="1CCC72E7">
                  <w:pPr>
                    <w:spacing w:line="0" w:lineRule="atLeast"/>
                  </w:pPr>
                  <w:r>
                    <w:rPr>
                      <w:rFonts w:hint="eastAsia"/>
                    </w:rPr>
                    <w:t>更换过程及时处置，不在站内暂存</w:t>
                  </w:r>
                </w:p>
              </w:tc>
              <w:tc>
                <w:tcPr>
                  <w:tcW w:w="826" w:type="dxa"/>
                  <w:tcBorders>
                    <w:top w:val="single" w:color="auto" w:sz="4" w:space="0"/>
                    <w:left w:val="single" w:color="auto" w:sz="4" w:space="0"/>
                    <w:bottom w:val="single" w:color="auto" w:sz="4" w:space="0"/>
                    <w:right w:val="single" w:color="auto" w:sz="4" w:space="0"/>
                  </w:tcBorders>
                  <w:vAlign w:val="center"/>
                </w:tcPr>
                <w:p w14:paraId="0D4B27AA">
                  <w:pPr>
                    <w:spacing w:line="0" w:lineRule="atLeast"/>
                    <w:jc w:val="center"/>
                    <w:rPr>
                      <w:rFonts w:hAnsi="宋体"/>
                    </w:rPr>
                  </w:pPr>
                  <w:r>
                    <w:rPr>
                      <w:rFonts w:hint="eastAsia" w:hAnsi="宋体"/>
                    </w:rPr>
                    <w:t>—</w:t>
                  </w:r>
                </w:p>
              </w:tc>
              <w:tc>
                <w:tcPr>
                  <w:tcW w:w="694" w:type="dxa"/>
                  <w:vMerge w:val="continue"/>
                  <w:tcBorders>
                    <w:top w:val="single" w:color="auto" w:sz="4" w:space="0"/>
                    <w:left w:val="single" w:color="auto" w:sz="4" w:space="0"/>
                    <w:bottom w:val="single" w:color="auto" w:sz="8" w:space="0"/>
                    <w:right w:val="single" w:color="auto" w:sz="8" w:space="0"/>
                  </w:tcBorders>
                  <w:vAlign w:val="center"/>
                </w:tcPr>
                <w:p w14:paraId="4C372886">
                  <w:pPr>
                    <w:widowControl/>
                    <w:spacing w:line="240" w:lineRule="auto"/>
                    <w:jc w:val="left"/>
                  </w:pPr>
                </w:p>
              </w:tc>
            </w:tr>
            <w:tr w14:paraId="68EBC63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971" w:type="dxa"/>
                  <w:vMerge w:val="continue"/>
                  <w:tcBorders>
                    <w:top w:val="single" w:color="auto" w:sz="4" w:space="0"/>
                    <w:left w:val="single" w:color="auto" w:sz="8" w:space="0"/>
                    <w:bottom w:val="single" w:color="auto" w:sz="4" w:space="0"/>
                    <w:right w:val="single" w:color="auto" w:sz="4" w:space="0"/>
                  </w:tcBorders>
                  <w:vAlign w:val="center"/>
                </w:tcPr>
                <w:p w14:paraId="11DDA1EE">
                  <w:pPr>
                    <w:widowControl/>
                    <w:spacing w:line="240" w:lineRule="auto"/>
                    <w:jc w:val="left"/>
                    <w:rPr>
                      <w:rFonts w:hAnsi="宋体"/>
                    </w:rPr>
                  </w:pPr>
                </w:p>
              </w:tc>
              <w:tc>
                <w:tcPr>
                  <w:tcW w:w="1406" w:type="dxa"/>
                  <w:tcBorders>
                    <w:top w:val="single" w:color="auto" w:sz="4" w:space="0"/>
                    <w:left w:val="single" w:color="auto" w:sz="4" w:space="0"/>
                    <w:bottom w:val="single" w:color="auto" w:sz="4" w:space="0"/>
                    <w:right w:val="single" w:color="auto" w:sz="4" w:space="0"/>
                  </w:tcBorders>
                  <w:vAlign w:val="center"/>
                </w:tcPr>
                <w:p w14:paraId="6C7F62A9">
                  <w:pPr>
                    <w:spacing w:line="0" w:lineRule="atLeast"/>
                    <w:jc w:val="center"/>
                  </w:pPr>
                  <w:r>
                    <w:rPr>
                      <w:rFonts w:hint="eastAsia"/>
                    </w:rPr>
                    <w:t>变压器事故油</w:t>
                  </w:r>
                </w:p>
              </w:tc>
              <w:tc>
                <w:tcPr>
                  <w:tcW w:w="3081" w:type="dxa"/>
                  <w:tcBorders>
                    <w:top w:val="single" w:color="auto" w:sz="4" w:space="0"/>
                    <w:left w:val="single" w:color="auto" w:sz="4" w:space="0"/>
                    <w:bottom w:val="single" w:color="auto" w:sz="4" w:space="0"/>
                    <w:right w:val="single" w:color="auto" w:sz="4" w:space="0"/>
                  </w:tcBorders>
                  <w:vAlign w:val="center"/>
                </w:tcPr>
                <w:p w14:paraId="26A4AA58">
                  <w:pPr>
                    <w:spacing w:line="0" w:lineRule="atLeast"/>
                  </w:pPr>
                  <w:r>
                    <w:rPr>
                      <w:rFonts w:hint="eastAsia"/>
                    </w:rPr>
                    <w:t>变压器事故油池</w:t>
                  </w:r>
                  <w:r>
                    <w:t>1</w:t>
                  </w:r>
                  <w:r>
                    <w:rPr>
                      <w:rFonts w:hint="eastAsia"/>
                    </w:rPr>
                    <w:t>座（</w:t>
                  </w:r>
                  <w:r>
                    <w:t>96m</w:t>
                  </w:r>
                  <w:r>
                    <w:rPr>
                      <w:vertAlign w:val="superscript"/>
                    </w:rPr>
                    <w:t>3</w:t>
                  </w:r>
                  <w:r>
                    <w:rPr>
                      <w:rFonts w:hint="eastAsia"/>
                    </w:rPr>
                    <w:t>），渗透系数小于</w:t>
                  </w:r>
                  <w:r>
                    <w:t>1×10</w:t>
                  </w:r>
                  <w:r>
                    <w:rPr>
                      <w:vertAlign w:val="superscript"/>
                    </w:rPr>
                    <w:t>-10</w:t>
                  </w:r>
                  <w:r>
                    <w:t>cm/s</w:t>
                  </w:r>
                  <w:r>
                    <w:rPr>
                      <w:rFonts w:hint="eastAsia"/>
                    </w:rPr>
                    <w:t>。由变压器油提供单位回收综合利用</w:t>
                  </w:r>
                </w:p>
              </w:tc>
              <w:tc>
                <w:tcPr>
                  <w:tcW w:w="2217" w:type="dxa"/>
                  <w:tcBorders>
                    <w:top w:val="single" w:color="auto" w:sz="4" w:space="0"/>
                    <w:left w:val="single" w:color="auto" w:sz="4" w:space="0"/>
                    <w:bottom w:val="single" w:color="auto" w:sz="4" w:space="0"/>
                    <w:right w:val="single" w:color="auto" w:sz="4" w:space="0"/>
                  </w:tcBorders>
                  <w:vAlign w:val="center"/>
                </w:tcPr>
                <w:p w14:paraId="38434D57">
                  <w:pPr>
                    <w:spacing w:line="0" w:lineRule="atLeast"/>
                  </w:pPr>
                  <w:r>
                    <w:rPr>
                      <w:rFonts w:hint="eastAsia"/>
                    </w:rPr>
                    <w:t>事故油池建设符合《危险废物贮存污染控制标准》要求</w:t>
                  </w:r>
                </w:p>
              </w:tc>
              <w:tc>
                <w:tcPr>
                  <w:tcW w:w="826" w:type="dxa"/>
                  <w:tcBorders>
                    <w:top w:val="single" w:color="auto" w:sz="4" w:space="0"/>
                    <w:left w:val="single" w:color="auto" w:sz="4" w:space="0"/>
                    <w:bottom w:val="single" w:color="auto" w:sz="4" w:space="0"/>
                    <w:right w:val="single" w:color="auto" w:sz="4" w:space="0"/>
                  </w:tcBorders>
                  <w:vAlign w:val="center"/>
                </w:tcPr>
                <w:p w14:paraId="18FC08BD">
                  <w:pPr>
                    <w:spacing w:line="0" w:lineRule="atLeast"/>
                    <w:jc w:val="center"/>
                    <w:rPr>
                      <w:rFonts w:hAnsi="宋体"/>
                    </w:rPr>
                  </w:pPr>
                  <w:r>
                    <w:rPr>
                      <w:rFonts w:hAnsi="宋体"/>
                    </w:rPr>
                    <w:t>20</w:t>
                  </w:r>
                </w:p>
              </w:tc>
              <w:tc>
                <w:tcPr>
                  <w:tcW w:w="694" w:type="dxa"/>
                  <w:vMerge w:val="continue"/>
                  <w:tcBorders>
                    <w:top w:val="single" w:color="auto" w:sz="4" w:space="0"/>
                    <w:left w:val="single" w:color="auto" w:sz="4" w:space="0"/>
                    <w:bottom w:val="single" w:color="auto" w:sz="8" w:space="0"/>
                    <w:right w:val="single" w:color="auto" w:sz="8" w:space="0"/>
                  </w:tcBorders>
                  <w:vAlign w:val="center"/>
                </w:tcPr>
                <w:p w14:paraId="6DABCB98">
                  <w:pPr>
                    <w:widowControl/>
                    <w:spacing w:line="240" w:lineRule="auto"/>
                    <w:jc w:val="left"/>
                  </w:pPr>
                </w:p>
              </w:tc>
            </w:tr>
            <w:tr w14:paraId="18E8200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565" w:type="dxa"/>
                  <w:tcBorders>
                    <w:top w:val="single" w:color="auto" w:sz="4" w:space="0"/>
                    <w:left w:val="single" w:color="auto" w:sz="8" w:space="0"/>
                    <w:bottom w:val="single" w:color="auto" w:sz="4" w:space="0"/>
                    <w:right w:val="single" w:color="auto" w:sz="4" w:space="0"/>
                  </w:tcBorders>
                  <w:vAlign w:val="center"/>
                </w:tcPr>
                <w:p w14:paraId="792DCD52">
                  <w:pPr>
                    <w:spacing w:line="0" w:lineRule="atLeast"/>
                    <w:jc w:val="center"/>
                    <w:rPr>
                      <w:rFonts w:hAnsi="宋体"/>
                    </w:rPr>
                  </w:pPr>
                  <w:r>
                    <w:rPr>
                      <w:rFonts w:hint="eastAsia"/>
                    </w:rPr>
                    <w:t>生态</w:t>
                  </w:r>
                </w:p>
              </w:tc>
              <w:tc>
                <w:tcPr>
                  <w:tcW w:w="6704" w:type="dxa"/>
                  <w:gridSpan w:val="3"/>
                  <w:tcBorders>
                    <w:top w:val="single" w:color="auto" w:sz="4" w:space="0"/>
                    <w:left w:val="single" w:color="auto" w:sz="4" w:space="0"/>
                    <w:bottom w:val="single" w:color="auto" w:sz="4" w:space="0"/>
                    <w:right w:val="single" w:color="auto" w:sz="4" w:space="0"/>
                  </w:tcBorders>
                  <w:vAlign w:val="center"/>
                </w:tcPr>
                <w:p w14:paraId="765D3951">
                  <w:pPr>
                    <w:spacing w:line="0" w:lineRule="atLeast"/>
                  </w:pPr>
                  <w:r>
                    <w:rPr>
                      <w:rFonts w:hint="eastAsia" w:hAnsi="宋体"/>
                    </w:rPr>
                    <w:t>严格控制临时占地，临时占地包括风电场铁塔架设、检修道路占地、施工临时建筑占地、施工吊装场地、施工道路临时占地等临时占地面积</w:t>
                  </w:r>
                  <w:r>
                    <w:rPr>
                      <w:rFonts w:hAnsi="宋体"/>
                    </w:rPr>
                    <w:t>126.2224hm</w:t>
                  </w:r>
                  <w:r>
                    <w:rPr>
                      <w:rFonts w:hAnsi="宋体"/>
                      <w:vertAlign w:val="superscript"/>
                    </w:rPr>
                    <w:t>2</w:t>
                  </w:r>
                  <w:r>
                    <w:rPr>
                      <w:rFonts w:hint="eastAsia" w:hAnsi="宋体"/>
                    </w:rPr>
                    <w:t>，施工结束后，临时占地全部采取植被恢复措施</w:t>
                  </w:r>
                </w:p>
              </w:tc>
              <w:tc>
                <w:tcPr>
                  <w:tcW w:w="826" w:type="dxa"/>
                  <w:tcBorders>
                    <w:top w:val="single" w:color="auto" w:sz="4" w:space="0"/>
                    <w:left w:val="single" w:color="auto" w:sz="4" w:space="0"/>
                    <w:bottom w:val="single" w:color="auto" w:sz="4" w:space="0"/>
                    <w:right w:val="single" w:color="auto" w:sz="4" w:space="0"/>
                  </w:tcBorders>
                  <w:vAlign w:val="center"/>
                </w:tcPr>
                <w:p w14:paraId="0AD62FC6">
                  <w:pPr>
                    <w:spacing w:line="0" w:lineRule="atLeast"/>
                    <w:jc w:val="center"/>
                    <w:rPr>
                      <w:rFonts w:hAnsi="宋体"/>
                    </w:rPr>
                  </w:pPr>
                  <w:r>
                    <w:rPr>
                      <w:rFonts w:hAnsi="宋体"/>
                    </w:rPr>
                    <w:t>574.31</w:t>
                  </w:r>
                </w:p>
              </w:tc>
              <w:tc>
                <w:tcPr>
                  <w:tcW w:w="694" w:type="dxa"/>
                  <w:vMerge w:val="continue"/>
                  <w:tcBorders>
                    <w:top w:val="single" w:color="auto" w:sz="4" w:space="0"/>
                    <w:left w:val="single" w:color="auto" w:sz="4" w:space="0"/>
                    <w:bottom w:val="single" w:color="auto" w:sz="8" w:space="0"/>
                    <w:right w:val="single" w:color="auto" w:sz="8" w:space="0"/>
                  </w:tcBorders>
                  <w:vAlign w:val="center"/>
                </w:tcPr>
                <w:p w14:paraId="030B9D3F">
                  <w:pPr>
                    <w:widowControl/>
                    <w:spacing w:line="240" w:lineRule="auto"/>
                    <w:jc w:val="left"/>
                  </w:pPr>
                </w:p>
              </w:tc>
            </w:tr>
            <w:tr w14:paraId="2D2E30F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971" w:type="dxa"/>
                  <w:gridSpan w:val="2"/>
                  <w:tcBorders>
                    <w:top w:val="single" w:color="auto" w:sz="4" w:space="0"/>
                    <w:left w:val="single" w:color="auto" w:sz="8" w:space="0"/>
                    <w:bottom w:val="single" w:color="auto" w:sz="8" w:space="0"/>
                    <w:right w:val="single" w:color="auto" w:sz="4" w:space="0"/>
                  </w:tcBorders>
                  <w:vAlign w:val="center"/>
                </w:tcPr>
                <w:p w14:paraId="744E1B34">
                  <w:pPr>
                    <w:spacing w:line="0" w:lineRule="atLeast"/>
                    <w:jc w:val="center"/>
                  </w:pPr>
                  <w:r>
                    <w:rPr>
                      <w:rFonts w:hint="eastAsia"/>
                    </w:rPr>
                    <w:t>合计</w:t>
                  </w:r>
                </w:p>
              </w:tc>
              <w:tc>
                <w:tcPr>
                  <w:tcW w:w="3081" w:type="dxa"/>
                  <w:tcBorders>
                    <w:top w:val="single" w:color="auto" w:sz="4" w:space="0"/>
                    <w:left w:val="single" w:color="auto" w:sz="4" w:space="0"/>
                    <w:bottom w:val="single" w:color="auto" w:sz="8" w:space="0"/>
                    <w:right w:val="single" w:color="auto" w:sz="4" w:space="0"/>
                  </w:tcBorders>
                  <w:vAlign w:val="center"/>
                </w:tcPr>
                <w:p w14:paraId="77073DE0">
                  <w:pPr>
                    <w:spacing w:line="0" w:lineRule="atLeast"/>
                    <w:jc w:val="center"/>
                  </w:pPr>
                  <w:r>
                    <w:rPr>
                      <w:rFonts w:hint="eastAsia"/>
                    </w:rPr>
                    <w:t>—</w:t>
                  </w:r>
                </w:p>
              </w:tc>
              <w:tc>
                <w:tcPr>
                  <w:tcW w:w="2217" w:type="dxa"/>
                  <w:tcBorders>
                    <w:top w:val="single" w:color="auto" w:sz="4" w:space="0"/>
                    <w:left w:val="single" w:color="auto" w:sz="4" w:space="0"/>
                    <w:bottom w:val="single" w:color="auto" w:sz="8" w:space="0"/>
                    <w:right w:val="single" w:color="auto" w:sz="4" w:space="0"/>
                  </w:tcBorders>
                  <w:vAlign w:val="center"/>
                </w:tcPr>
                <w:p w14:paraId="1A9511C5">
                  <w:pPr>
                    <w:spacing w:line="0" w:lineRule="atLeast"/>
                    <w:jc w:val="center"/>
                  </w:pPr>
                  <w:r>
                    <w:rPr>
                      <w:rFonts w:hint="eastAsia"/>
                    </w:rPr>
                    <w:t>—</w:t>
                  </w:r>
                </w:p>
              </w:tc>
              <w:tc>
                <w:tcPr>
                  <w:tcW w:w="826" w:type="dxa"/>
                  <w:tcBorders>
                    <w:top w:val="single" w:color="auto" w:sz="4" w:space="0"/>
                    <w:left w:val="single" w:color="auto" w:sz="4" w:space="0"/>
                    <w:bottom w:val="single" w:color="auto" w:sz="8" w:space="0"/>
                    <w:right w:val="single" w:color="auto" w:sz="4" w:space="0"/>
                  </w:tcBorders>
                  <w:vAlign w:val="center"/>
                </w:tcPr>
                <w:p w14:paraId="67BB408A">
                  <w:pPr>
                    <w:spacing w:line="0" w:lineRule="atLeast"/>
                    <w:jc w:val="center"/>
                    <w:rPr>
                      <w:rFonts w:hAnsi="宋体"/>
                    </w:rPr>
                  </w:pPr>
                  <w:r>
                    <w:rPr>
                      <w:rFonts w:hAnsi="宋体"/>
                    </w:rPr>
                    <w:t>688.01</w:t>
                  </w:r>
                </w:p>
              </w:tc>
              <w:tc>
                <w:tcPr>
                  <w:tcW w:w="694" w:type="dxa"/>
                  <w:vMerge w:val="continue"/>
                  <w:tcBorders>
                    <w:top w:val="single" w:color="auto" w:sz="4" w:space="0"/>
                    <w:left w:val="single" w:color="auto" w:sz="4" w:space="0"/>
                    <w:bottom w:val="single" w:color="auto" w:sz="8" w:space="0"/>
                    <w:right w:val="single" w:color="auto" w:sz="8" w:space="0"/>
                  </w:tcBorders>
                  <w:vAlign w:val="center"/>
                </w:tcPr>
                <w:p w14:paraId="22550E5B">
                  <w:pPr>
                    <w:widowControl/>
                    <w:spacing w:line="240" w:lineRule="auto"/>
                    <w:jc w:val="left"/>
                  </w:pPr>
                </w:p>
              </w:tc>
            </w:tr>
          </w:tbl>
          <w:p w14:paraId="78A65B75">
            <w:pPr>
              <w:ind w:firstLine="480" w:firstLineChars="200"/>
              <w:rPr>
                <w:color w:val="000000"/>
                <w:sz w:val="24"/>
              </w:rPr>
            </w:pPr>
          </w:p>
          <w:p w14:paraId="79B58BB2">
            <w:pPr>
              <w:ind w:firstLine="480" w:firstLineChars="200"/>
              <w:rPr>
                <w:color w:val="000000"/>
                <w:sz w:val="24"/>
              </w:rPr>
            </w:pPr>
          </w:p>
          <w:p w14:paraId="3B73AF4E">
            <w:pPr>
              <w:ind w:firstLine="480" w:firstLineChars="200"/>
              <w:rPr>
                <w:color w:val="000000"/>
                <w:sz w:val="24"/>
              </w:rPr>
            </w:pPr>
          </w:p>
          <w:p w14:paraId="4E0D937C">
            <w:pPr>
              <w:ind w:firstLine="480" w:firstLineChars="200"/>
              <w:rPr>
                <w:color w:val="000000"/>
                <w:sz w:val="24"/>
              </w:rPr>
            </w:pPr>
          </w:p>
          <w:p w14:paraId="4CE8EFBC">
            <w:pPr>
              <w:ind w:firstLine="480" w:firstLineChars="200"/>
              <w:rPr>
                <w:color w:val="000000"/>
                <w:sz w:val="24"/>
              </w:rPr>
            </w:pPr>
          </w:p>
          <w:p w14:paraId="0056F6D0">
            <w:pPr>
              <w:ind w:firstLine="480" w:firstLineChars="200"/>
              <w:rPr>
                <w:color w:val="000000"/>
                <w:sz w:val="24"/>
              </w:rPr>
            </w:pPr>
          </w:p>
          <w:p w14:paraId="352400A0">
            <w:pPr>
              <w:ind w:firstLine="480" w:firstLineChars="200"/>
              <w:rPr>
                <w:color w:val="000000"/>
                <w:sz w:val="24"/>
              </w:rPr>
            </w:pPr>
          </w:p>
          <w:p w14:paraId="448B73CB">
            <w:pPr>
              <w:ind w:firstLine="480" w:firstLineChars="200"/>
              <w:rPr>
                <w:color w:val="000000"/>
                <w:sz w:val="24"/>
              </w:rPr>
            </w:pPr>
          </w:p>
          <w:p w14:paraId="0171D5B4">
            <w:pPr>
              <w:ind w:firstLine="480" w:firstLineChars="200"/>
              <w:rPr>
                <w:color w:val="000000"/>
                <w:sz w:val="24"/>
              </w:rPr>
            </w:pPr>
          </w:p>
          <w:p w14:paraId="758FDAAF">
            <w:pPr>
              <w:ind w:firstLine="420" w:firstLineChars="200"/>
              <w:rPr>
                <w:color w:val="000000"/>
              </w:rPr>
            </w:pPr>
          </w:p>
        </w:tc>
      </w:tr>
    </w:tbl>
    <w:p w14:paraId="207A781C">
      <w:pPr>
        <w:widowControl/>
        <w:jc w:val="left"/>
        <w:rPr>
          <w:color w:val="000000"/>
        </w:rPr>
        <w:sectPr>
          <w:pgSz w:w="11906" w:h="16838"/>
          <w:pgMar w:top="1588" w:right="1701" w:bottom="1588" w:left="1701" w:header="851" w:footer="992" w:gutter="0"/>
          <w:pgNumType w:fmt="numberInDash"/>
          <w:cols w:space="720" w:num="1"/>
          <w:docGrid w:type="lines" w:linePitch="312" w:charSpace="0"/>
        </w:sectPr>
      </w:pPr>
    </w:p>
    <w:p w14:paraId="74E61898">
      <w:pPr>
        <w:rPr>
          <w:b/>
          <w:color w:val="000000"/>
          <w:sz w:val="28"/>
          <w:szCs w:val="28"/>
        </w:rPr>
      </w:pPr>
      <w:r>
        <w:rPr>
          <w:rFonts w:hint="eastAsia"/>
          <w:b/>
          <w:color w:val="000000"/>
          <w:sz w:val="28"/>
          <w:szCs w:val="28"/>
        </w:rPr>
        <w:t>建设项目拟采取的防治措施及预期治理效果</w:t>
      </w:r>
    </w:p>
    <w:tbl>
      <w:tblPr>
        <w:tblStyle w:val="2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0"/>
        <w:gridCol w:w="720"/>
        <w:gridCol w:w="1611"/>
        <w:gridCol w:w="1566"/>
        <w:gridCol w:w="2390"/>
        <w:gridCol w:w="2065"/>
      </w:tblGrid>
      <w:tr w14:paraId="542C4B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440" w:type="dxa"/>
            <w:gridSpan w:val="2"/>
            <w:tcBorders>
              <w:top w:val="single" w:color="auto" w:sz="4" w:space="0"/>
              <w:left w:val="single" w:color="auto" w:sz="4" w:space="0"/>
              <w:bottom w:val="single" w:color="auto" w:sz="4" w:space="0"/>
              <w:right w:val="single" w:color="auto" w:sz="4" w:space="0"/>
            </w:tcBorders>
            <w:vAlign w:val="center"/>
          </w:tcPr>
          <w:p w14:paraId="622C11D6">
            <w:pPr>
              <w:spacing w:line="400" w:lineRule="exact"/>
              <w:ind w:firstLine="560" w:firstLineChars="200"/>
              <w:rPr>
                <w:color w:val="000000"/>
                <w:kern w:val="0"/>
                <w:sz w:val="28"/>
                <w:szCs w:val="28"/>
              </w:rPr>
            </w:pPr>
            <w:r>
              <w:rPr>
                <w:rFonts w:hint="eastAsia"/>
                <w:color w:val="000000"/>
                <w:kern w:val="0"/>
                <w:sz w:val="28"/>
                <w:szCs w:val="28"/>
              </w:rPr>
              <w:t>内容</w:t>
            </w:r>
          </w:p>
          <w:p w14:paraId="1F4546DF">
            <w:pPr>
              <w:spacing w:line="400" w:lineRule="exact"/>
              <w:rPr>
                <w:color w:val="000000"/>
                <w:kern w:val="0"/>
                <w:sz w:val="28"/>
                <w:szCs w:val="28"/>
              </w:rPr>
            </w:pPr>
            <w:r>
              <w:rPr>
                <w:rFonts w:hint="eastAsia"/>
                <w:color w:val="000000"/>
                <w:kern w:val="0"/>
                <w:sz w:val="28"/>
                <w:szCs w:val="28"/>
              </w:rPr>
              <w:t>类型</w:t>
            </w:r>
          </w:p>
        </w:tc>
        <w:tc>
          <w:tcPr>
            <w:tcW w:w="1611" w:type="dxa"/>
            <w:tcBorders>
              <w:top w:val="single" w:color="auto" w:sz="4" w:space="0"/>
              <w:left w:val="single" w:color="auto" w:sz="4" w:space="0"/>
              <w:bottom w:val="single" w:color="auto" w:sz="4" w:space="0"/>
              <w:right w:val="single" w:color="auto" w:sz="4" w:space="0"/>
            </w:tcBorders>
            <w:vAlign w:val="center"/>
          </w:tcPr>
          <w:p w14:paraId="53401A06">
            <w:pPr>
              <w:spacing w:line="400" w:lineRule="exact"/>
              <w:jc w:val="center"/>
              <w:rPr>
                <w:color w:val="000000"/>
                <w:kern w:val="0"/>
                <w:sz w:val="28"/>
                <w:szCs w:val="28"/>
              </w:rPr>
            </w:pPr>
            <w:r>
              <w:rPr>
                <w:rFonts w:hint="eastAsia"/>
                <w:color w:val="000000"/>
                <w:kern w:val="0"/>
                <w:sz w:val="28"/>
                <w:szCs w:val="28"/>
              </w:rPr>
              <w:t>排放源</w:t>
            </w:r>
          </w:p>
          <w:p w14:paraId="047937C0">
            <w:pPr>
              <w:spacing w:line="400" w:lineRule="exact"/>
              <w:jc w:val="center"/>
              <w:rPr>
                <w:color w:val="000000"/>
                <w:kern w:val="0"/>
                <w:sz w:val="28"/>
                <w:szCs w:val="28"/>
              </w:rPr>
            </w:pPr>
            <w:r>
              <w:rPr>
                <w:rFonts w:hint="eastAsia"/>
                <w:color w:val="000000"/>
                <w:kern w:val="0"/>
                <w:sz w:val="28"/>
                <w:szCs w:val="28"/>
              </w:rPr>
              <w:t>（编号）</w:t>
            </w:r>
          </w:p>
        </w:tc>
        <w:tc>
          <w:tcPr>
            <w:tcW w:w="1566" w:type="dxa"/>
            <w:tcBorders>
              <w:top w:val="single" w:color="auto" w:sz="4" w:space="0"/>
              <w:left w:val="single" w:color="auto" w:sz="4" w:space="0"/>
              <w:bottom w:val="single" w:color="auto" w:sz="4" w:space="0"/>
              <w:right w:val="single" w:color="auto" w:sz="4" w:space="0"/>
            </w:tcBorders>
            <w:vAlign w:val="center"/>
          </w:tcPr>
          <w:p w14:paraId="74A9E62C">
            <w:pPr>
              <w:spacing w:line="400" w:lineRule="exact"/>
              <w:jc w:val="center"/>
              <w:rPr>
                <w:color w:val="000000"/>
                <w:kern w:val="0"/>
                <w:sz w:val="28"/>
                <w:szCs w:val="28"/>
              </w:rPr>
            </w:pPr>
            <w:r>
              <w:rPr>
                <w:rFonts w:hint="eastAsia"/>
                <w:color w:val="000000"/>
                <w:kern w:val="0"/>
                <w:sz w:val="28"/>
                <w:szCs w:val="28"/>
              </w:rPr>
              <w:t>污染物</w:t>
            </w:r>
          </w:p>
          <w:p w14:paraId="453DEC7C">
            <w:pPr>
              <w:spacing w:line="400" w:lineRule="exact"/>
              <w:jc w:val="center"/>
              <w:rPr>
                <w:color w:val="000000"/>
                <w:kern w:val="0"/>
                <w:sz w:val="28"/>
                <w:szCs w:val="28"/>
              </w:rPr>
            </w:pPr>
            <w:r>
              <w:rPr>
                <w:rFonts w:hint="eastAsia"/>
                <w:color w:val="000000"/>
                <w:kern w:val="0"/>
                <w:sz w:val="28"/>
                <w:szCs w:val="28"/>
              </w:rPr>
              <w:t>名称</w:t>
            </w:r>
          </w:p>
        </w:tc>
        <w:tc>
          <w:tcPr>
            <w:tcW w:w="2390" w:type="dxa"/>
            <w:tcBorders>
              <w:top w:val="single" w:color="auto" w:sz="4" w:space="0"/>
              <w:left w:val="single" w:color="auto" w:sz="4" w:space="0"/>
              <w:bottom w:val="single" w:color="auto" w:sz="4" w:space="0"/>
              <w:right w:val="single" w:color="auto" w:sz="4" w:space="0"/>
            </w:tcBorders>
            <w:vAlign w:val="center"/>
          </w:tcPr>
          <w:p w14:paraId="2D38CB86">
            <w:pPr>
              <w:spacing w:line="400" w:lineRule="exact"/>
              <w:jc w:val="center"/>
              <w:rPr>
                <w:color w:val="000000"/>
                <w:kern w:val="0"/>
                <w:sz w:val="28"/>
                <w:szCs w:val="28"/>
              </w:rPr>
            </w:pPr>
            <w:r>
              <w:rPr>
                <w:rFonts w:hint="eastAsia"/>
                <w:color w:val="000000"/>
                <w:kern w:val="0"/>
                <w:sz w:val="28"/>
                <w:szCs w:val="28"/>
              </w:rPr>
              <w:t>防治措施</w:t>
            </w:r>
          </w:p>
        </w:tc>
        <w:tc>
          <w:tcPr>
            <w:tcW w:w="2065" w:type="dxa"/>
            <w:tcBorders>
              <w:top w:val="single" w:color="auto" w:sz="4" w:space="0"/>
              <w:left w:val="single" w:color="auto" w:sz="4" w:space="0"/>
              <w:bottom w:val="single" w:color="auto" w:sz="4" w:space="0"/>
              <w:right w:val="single" w:color="auto" w:sz="4" w:space="0"/>
            </w:tcBorders>
            <w:vAlign w:val="center"/>
          </w:tcPr>
          <w:p w14:paraId="53D52AAB">
            <w:pPr>
              <w:spacing w:line="400" w:lineRule="exact"/>
              <w:jc w:val="center"/>
              <w:rPr>
                <w:color w:val="000000"/>
                <w:kern w:val="0"/>
                <w:sz w:val="28"/>
                <w:szCs w:val="28"/>
              </w:rPr>
            </w:pPr>
            <w:r>
              <w:rPr>
                <w:rFonts w:hint="eastAsia"/>
                <w:color w:val="000000"/>
                <w:kern w:val="0"/>
                <w:sz w:val="28"/>
                <w:szCs w:val="28"/>
              </w:rPr>
              <w:t>预期治理效果</w:t>
            </w:r>
          </w:p>
        </w:tc>
      </w:tr>
      <w:tr w14:paraId="25F958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7" w:hRule="atLeast"/>
          <w:jc w:val="center"/>
        </w:trPr>
        <w:tc>
          <w:tcPr>
            <w:tcW w:w="720" w:type="dxa"/>
            <w:vMerge w:val="restart"/>
            <w:tcBorders>
              <w:top w:val="single" w:color="auto" w:sz="4" w:space="0"/>
              <w:left w:val="single" w:color="auto" w:sz="4" w:space="0"/>
              <w:bottom w:val="single" w:color="auto" w:sz="4" w:space="0"/>
              <w:right w:val="single" w:color="auto" w:sz="4" w:space="0"/>
            </w:tcBorders>
            <w:vAlign w:val="center"/>
          </w:tcPr>
          <w:p w14:paraId="6EE16E79">
            <w:pPr>
              <w:spacing w:line="400" w:lineRule="exact"/>
              <w:jc w:val="center"/>
              <w:rPr>
                <w:color w:val="000000"/>
                <w:kern w:val="0"/>
                <w:sz w:val="28"/>
                <w:szCs w:val="28"/>
              </w:rPr>
            </w:pPr>
            <w:r>
              <w:rPr>
                <w:rFonts w:hint="eastAsia"/>
                <w:color w:val="000000"/>
                <w:kern w:val="0"/>
                <w:sz w:val="28"/>
                <w:szCs w:val="28"/>
              </w:rPr>
              <w:t>大</w:t>
            </w:r>
          </w:p>
          <w:p w14:paraId="2BF6199D">
            <w:pPr>
              <w:spacing w:line="400" w:lineRule="exact"/>
              <w:jc w:val="center"/>
              <w:rPr>
                <w:color w:val="000000"/>
                <w:kern w:val="0"/>
                <w:sz w:val="28"/>
                <w:szCs w:val="28"/>
              </w:rPr>
            </w:pPr>
            <w:r>
              <w:rPr>
                <w:rFonts w:hint="eastAsia"/>
                <w:color w:val="000000"/>
                <w:kern w:val="0"/>
                <w:sz w:val="28"/>
                <w:szCs w:val="28"/>
              </w:rPr>
              <w:t>气</w:t>
            </w:r>
          </w:p>
          <w:p w14:paraId="65EC6125">
            <w:pPr>
              <w:spacing w:line="400" w:lineRule="exact"/>
              <w:jc w:val="center"/>
              <w:rPr>
                <w:color w:val="000000"/>
                <w:kern w:val="0"/>
                <w:sz w:val="28"/>
                <w:szCs w:val="28"/>
              </w:rPr>
            </w:pPr>
            <w:r>
              <w:rPr>
                <w:rFonts w:hint="eastAsia"/>
                <w:color w:val="000000"/>
                <w:kern w:val="0"/>
                <w:sz w:val="28"/>
                <w:szCs w:val="28"/>
              </w:rPr>
              <w:t>污</w:t>
            </w:r>
          </w:p>
          <w:p w14:paraId="037193D7">
            <w:pPr>
              <w:spacing w:line="400" w:lineRule="exact"/>
              <w:jc w:val="center"/>
              <w:rPr>
                <w:color w:val="000000"/>
                <w:kern w:val="0"/>
                <w:sz w:val="28"/>
                <w:szCs w:val="28"/>
              </w:rPr>
            </w:pPr>
            <w:r>
              <w:rPr>
                <w:rFonts w:hint="eastAsia"/>
                <w:color w:val="000000"/>
                <w:kern w:val="0"/>
                <w:sz w:val="28"/>
                <w:szCs w:val="28"/>
              </w:rPr>
              <w:t>染</w:t>
            </w:r>
          </w:p>
          <w:p w14:paraId="55BB406F">
            <w:pPr>
              <w:spacing w:line="400" w:lineRule="exact"/>
              <w:jc w:val="center"/>
              <w:rPr>
                <w:color w:val="000000"/>
                <w:kern w:val="0"/>
                <w:sz w:val="28"/>
                <w:szCs w:val="28"/>
              </w:rPr>
            </w:pPr>
            <w:r>
              <w:rPr>
                <w:rFonts w:hint="eastAsia"/>
                <w:color w:val="000000"/>
                <w:kern w:val="0"/>
                <w:sz w:val="28"/>
                <w:szCs w:val="28"/>
              </w:rPr>
              <w:t>物</w:t>
            </w:r>
          </w:p>
        </w:tc>
        <w:tc>
          <w:tcPr>
            <w:tcW w:w="720" w:type="dxa"/>
            <w:vMerge w:val="restart"/>
            <w:tcBorders>
              <w:top w:val="single" w:color="auto" w:sz="4" w:space="0"/>
              <w:left w:val="single" w:color="auto" w:sz="4" w:space="0"/>
              <w:bottom w:val="single" w:color="auto" w:sz="4" w:space="0"/>
              <w:right w:val="single" w:color="auto" w:sz="4" w:space="0"/>
            </w:tcBorders>
            <w:vAlign w:val="center"/>
          </w:tcPr>
          <w:p w14:paraId="4534DB60">
            <w:pPr>
              <w:spacing w:line="240" w:lineRule="auto"/>
              <w:jc w:val="center"/>
              <w:rPr>
                <w:color w:val="000000"/>
                <w:szCs w:val="21"/>
              </w:rPr>
            </w:pPr>
            <w:r>
              <w:rPr>
                <w:rFonts w:hint="eastAsia"/>
                <w:color w:val="000000"/>
                <w:szCs w:val="21"/>
              </w:rPr>
              <w:t>施</w:t>
            </w:r>
          </w:p>
          <w:p w14:paraId="00412A0B">
            <w:pPr>
              <w:spacing w:line="240" w:lineRule="auto"/>
              <w:jc w:val="center"/>
              <w:rPr>
                <w:color w:val="000000"/>
                <w:szCs w:val="21"/>
              </w:rPr>
            </w:pPr>
            <w:r>
              <w:rPr>
                <w:rFonts w:hint="eastAsia"/>
                <w:color w:val="000000"/>
                <w:szCs w:val="21"/>
              </w:rPr>
              <w:t>工</w:t>
            </w:r>
          </w:p>
          <w:p w14:paraId="14DA9A8A">
            <w:pPr>
              <w:spacing w:line="240" w:lineRule="auto"/>
              <w:jc w:val="center"/>
              <w:rPr>
                <w:color w:val="000000"/>
                <w:kern w:val="0"/>
                <w:sz w:val="28"/>
                <w:szCs w:val="28"/>
              </w:rPr>
            </w:pPr>
            <w:r>
              <w:rPr>
                <w:rFonts w:hint="eastAsia"/>
                <w:color w:val="000000"/>
                <w:szCs w:val="21"/>
              </w:rPr>
              <w:t>期</w:t>
            </w:r>
          </w:p>
        </w:tc>
        <w:tc>
          <w:tcPr>
            <w:tcW w:w="1611" w:type="dxa"/>
            <w:vMerge w:val="restart"/>
            <w:tcBorders>
              <w:top w:val="single" w:color="auto" w:sz="4" w:space="0"/>
              <w:left w:val="single" w:color="auto" w:sz="4" w:space="0"/>
              <w:bottom w:val="single" w:color="auto" w:sz="4" w:space="0"/>
              <w:right w:val="single" w:color="auto" w:sz="4" w:space="0"/>
            </w:tcBorders>
            <w:vAlign w:val="center"/>
          </w:tcPr>
          <w:p w14:paraId="317B14F3">
            <w:pPr>
              <w:spacing w:line="240" w:lineRule="auto"/>
              <w:jc w:val="center"/>
              <w:rPr>
                <w:color w:val="000000"/>
                <w:szCs w:val="21"/>
              </w:rPr>
            </w:pPr>
            <w:r>
              <w:rPr>
                <w:rFonts w:hint="eastAsia"/>
                <w:color w:val="000000"/>
                <w:szCs w:val="21"/>
              </w:rPr>
              <w:t>施工</w:t>
            </w:r>
          </w:p>
        </w:tc>
        <w:tc>
          <w:tcPr>
            <w:tcW w:w="1566" w:type="dxa"/>
            <w:tcBorders>
              <w:top w:val="single" w:color="auto" w:sz="4" w:space="0"/>
              <w:left w:val="single" w:color="auto" w:sz="4" w:space="0"/>
              <w:bottom w:val="single" w:color="auto" w:sz="4" w:space="0"/>
              <w:right w:val="single" w:color="auto" w:sz="4" w:space="0"/>
            </w:tcBorders>
            <w:vAlign w:val="center"/>
          </w:tcPr>
          <w:p w14:paraId="571F1FF2">
            <w:pPr>
              <w:pStyle w:val="111"/>
              <w:spacing w:line="240" w:lineRule="auto"/>
              <w:ind w:firstLine="0" w:firstLineChars="0"/>
              <w:jc w:val="center"/>
              <w:rPr>
                <w:color w:val="000000"/>
                <w:sz w:val="21"/>
                <w:szCs w:val="21"/>
              </w:rPr>
            </w:pPr>
            <w:r>
              <w:rPr>
                <w:rFonts w:hint="eastAsia"/>
                <w:color w:val="000000"/>
                <w:sz w:val="21"/>
                <w:szCs w:val="21"/>
              </w:rPr>
              <w:t>施工扬尘</w:t>
            </w:r>
          </w:p>
        </w:tc>
        <w:tc>
          <w:tcPr>
            <w:tcW w:w="2390" w:type="dxa"/>
            <w:tcBorders>
              <w:top w:val="single" w:color="auto" w:sz="4" w:space="0"/>
              <w:left w:val="single" w:color="auto" w:sz="4" w:space="0"/>
              <w:bottom w:val="single" w:color="auto" w:sz="4" w:space="0"/>
              <w:right w:val="single" w:color="auto" w:sz="4" w:space="0"/>
            </w:tcBorders>
            <w:vAlign w:val="center"/>
          </w:tcPr>
          <w:p w14:paraId="5F2B2459">
            <w:pPr>
              <w:spacing w:line="240" w:lineRule="auto"/>
              <w:rPr>
                <w:color w:val="000000"/>
              </w:rPr>
            </w:pPr>
            <w:r>
              <w:rPr>
                <w:rFonts w:hint="eastAsia"/>
                <w:color w:val="000000"/>
              </w:rPr>
              <w:t>①减少露天堆放，确需露天堆放应加以覆盖；</w:t>
            </w:r>
          </w:p>
          <w:p w14:paraId="079BE484">
            <w:pPr>
              <w:spacing w:line="240" w:lineRule="auto"/>
              <w:rPr>
                <w:color w:val="000000"/>
              </w:rPr>
            </w:pPr>
            <w:r>
              <w:rPr>
                <w:rFonts w:hint="eastAsia"/>
                <w:color w:val="000000"/>
              </w:rPr>
              <w:t>②开挖土石方应及时回填或运到指定地点；</w:t>
            </w:r>
          </w:p>
          <w:p w14:paraId="54EE53E0">
            <w:pPr>
              <w:spacing w:line="240" w:lineRule="auto"/>
              <w:rPr>
                <w:color w:val="000000"/>
              </w:rPr>
            </w:pPr>
            <w:r>
              <w:rPr>
                <w:rFonts w:hint="eastAsia"/>
                <w:color w:val="000000"/>
              </w:rPr>
              <w:t>③施工工作面及堆场实施洒水降尘；</w:t>
            </w:r>
          </w:p>
          <w:p w14:paraId="5191BEDB">
            <w:pPr>
              <w:spacing w:line="240" w:lineRule="auto"/>
              <w:rPr>
                <w:color w:val="000000"/>
              </w:rPr>
            </w:pPr>
            <w:r>
              <w:rPr>
                <w:rFonts w:hint="eastAsia"/>
                <w:color w:val="000000"/>
              </w:rPr>
              <w:t>④运输车辆途径居民区限制车速和路面洒水；</w:t>
            </w:r>
          </w:p>
          <w:p w14:paraId="04CFDDBE">
            <w:pPr>
              <w:spacing w:line="240" w:lineRule="auto"/>
              <w:rPr>
                <w:color w:val="000000"/>
                <w:sz w:val="24"/>
              </w:rPr>
            </w:pPr>
            <w:r>
              <w:rPr>
                <w:rFonts w:hint="eastAsia"/>
                <w:color w:val="000000"/>
              </w:rPr>
              <w:t>⑤沙土运输车辆须采用封闭运输</w:t>
            </w:r>
          </w:p>
        </w:tc>
        <w:tc>
          <w:tcPr>
            <w:tcW w:w="2065" w:type="dxa"/>
            <w:vMerge w:val="restart"/>
            <w:tcBorders>
              <w:top w:val="single" w:color="auto" w:sz="4" w:space="0"/>
              <w:left w:val="single" w:color="auto" w:sz="4" w:space="0"/>
              <w:bottom w:val="single" w:color="auto" w:sz="4" w:space="0"/>
              <w:right w:val="single" w:color="auto" w:sz="4" w:space="0"/>
            </w:tcBorders>
            <w:vAlign w:val="center"/>
          </w:tcPr>
          <w:p w14:paraId="2F333B1D">
            <w:pPr>
              <w:spacing w:line="240" w:lineRule="auto"/>
              <w:rPr>
                <w:color w:val="000000"/>
              </w:rPr>
            </w:pPr>
            <w:r>
              <w:rPr>
                <w:rFonts w:hint="eastAsia"/>
                <w:color w:val="000000"/>
              </w:rPr>
              <w:t>施工场界满足《大气污染物综合排放标准》（</w:t>
            </w:r>
            <w:r>
              <w:rPr>
                <w:color w:val="000000"/>
              </w:rPr>
              <w:t>GB16297-1996</w:t>
            </w:r>
            <w:r>
              <w:rPr>
                <w:rFonts w:hint="eastAsia"/>
                <w:color w:val="000000"/>
              </w:rPr>
              <w:t>）中二级标准新污染源大气污染物排放限值中无组织排放监控浓度限值。</w:t>
            </w:r>
            <w:r>
              <w:rPr>
                <w:rFonts w:hint="eastAsia"/>
                <w:kern w:val="0"/>
                <w:szCs w:val="21"/>
                <w:lang w:val="zh-CN"/>
              </w:rPr>
              <w:t>施工结束，污染消除</w:t>
            </w:r>
          </w:p>
        </w:tc>
      </w:tr>
      <w:tr w14:paraId="1F8778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7" w:hRule="atLeast"/>
          <w:jc w:val="center"/>
        </w:trPr>
        <w:tc>
          <w:tcPr>
            <w:tcW w:w="9072" w:type="dxa"/>
            <w:vMerge w:val="continue"/>
            <w:tcBorders>
              <w:top w:val="single" w:color="auto" w:sz="4" w:space="0"/>
              <w:left w:val="single" w:color="auto" w:sz="4" w:space="0"/>
              <w:bottom w:val="single" w:color="auto" w:sz="4" w:space="0"/>
              <w:right w:val="single" w:color="auto" w:sz="4" w:space="0"/>
            </w:tcBorders>
            <w:vAlign w:val="center"/>
          </w:tcPr>
          <w:p w14:paraId="1F9457C7">
            <w:pPr>
              <w:widowControl/>
              <w:spacing w:line="240" w:lineRule="auto"/>
              <w:jc w:val="left"/>
              <w:rPr>
                <w:color w:val="000000"/>
                <w:kern w:val="0"/>
                <w:sz w:val="28"/>
                <w:szCs w:val="28"/>
              </w:rPr>
            </w:pPr>
          </w:p>
        </w:tc>
        <w:tc>
          <w:tcPr>
            <w:tcW w:w="720" w:type="dxa"/>
            <w:vMerge w:val="continue"/>
            <w:tcBorders>
              <w:top w:val="single" w:color="auto" w:sz="4" w:space="0"/>
              <w:left w:val="single" w:color="auto" w:sz="4" w:space="0"/>
              <w:bottom w:val="single" w:color="auto" w:sz="4" w:space="0"/>
              <w:right w:val="single" w:color="auto" w:sz="4" w:space="0"/>
            </w:tcBorders>
            <w:vAlign w:val="center"/>
          </w:tcPr>
          <w:p w14:paraId="345DBA8F">
            <w:pPr>
              <w:widowControl/>
              <w:spacing w:line="240" w:lineRule="auto"/>
              <w:jc w:val="left"/>
              <w:rPr>
                <w:color w:val="000000"/>
                <w:kern w:val="0"/>
                <w:sz w:val="28"/>
                <w:szCs w:val="28"/>
              </w:rPr>
            </w:pPr>
          </w:p>
        </w:tc>
        <w:tc>
          <w:tcPr>
            <w:tcW w:w="7632" w:type="dxa"/>
            <w:vMerge w:val="continue"/>
            <w:tcBorders>
              <w:top w:val="single" w:color="auto" w:sz="4" w:space="0"/>
              <w:left w:val="single" w:color="auto" w:sz="4" w:space="0"/>
              <w:bottom w:val="single" w:color="auto" w:sz="4" w:space="0"/>
              <w:right w:val="single" w:color="auto" w:sz="4" w:space="0"/>
            </w:tcBorders>
            <w:vAlign w:val="center"/>
          </w:tcPr>
          <w:p w14:paraId="68B3D377">
            <w:pPr>
              <w:widowControl/>
              <w:spacing w:line="240" w:lineRule="auto"/>
              <w:jc w:val="left"/>
              <w:rPr>
                <w:color w:val="000000"/>
                <w:szCs w:val="21"/>
              </w:rPr>
            </w:pPr>
          </w:p>
        </w:tc>
        <w:tc>
          <w:tcPr>
            <w:tcW w:w="1566" w:type="dxa"/>
            <w:tcBorders>
              <w:top w:val="single" w:color="auto" w:sz="4" w:space="0"/>
              <w:left w:val="single" w:color="auto" w:sz="4" w:space="0"/>
              <w:bottom w:val="single" w:color="auto" w:sz="4" w:space="0"/>
              <w:right w:val="single" w:color="auto" w:sz="4" w:space="0"/>
            </w:tcBorders>
            <w:vAlign w:val="center"/>
          </w:tcPr>
          <w:p w14:paraId="1DFE41FC">
            <w:pPr>
              <w:pStyle w:val="111"/>
              <w:spacing w:line="240" w:lineRule="auto"/>
              <w:ind w:firstLine="0" w:firstLineChars="0"/>
              <w:jc w:val="center"/>
              <w:rPr>
                <w:color w:val="000000"/>
                <w:sz w:val="21"/>
                <w:szCs w:val="21"/>
              </w:rPr>
            </w:pPr>
            <w:r>
              <w:rPr>
                <w:rFonts w:hint="eastAsia"/>
                <w:color w:val="000000"/>
                <w:sz w:val="21"/>
                <w:szCs w:val="21"/>
              </w:rPr>
              <w:t>燃油废气</w:t>
            </w:r>
          </w:p>
        </w:tc>
        <w:tc>
          <w:tcPr>
            <w:tcW w:w="2390" w:type="dxa"/>
            <w:tcBorders>
              <w:top w:val="single" w:color="auto" w:sz="4" w:space="0"/>
              <w:left w:val="single" w:color="auto" w:sz="4" w:space="0"/>
              <w:bottom w:val="single" w:color="auto" w:sz="4" w:space="0"/>
              <w:right w:val="single" w:color="auto" w:sz="4" w:space="0"/>
            </w:tcBorders>
            <w:vAlign w:val="center"/>
          </w:tcPr>
          <w:p w14:paraId="0DA48338">
            <w:pPr>
              <w:spacing w:line="240" w:lineRule="auto"/>
              <w:rPr>
                <w:color w:val="000000"/>
              </w:rPr>
            </w:pPr>
            <w:r>
              <w:rPr>
                <w:rFonts w:hint="eastAsia"/>
                <w:color w:val="000000"/>
              </w:rPr>
              <w:t>加强施工车辆及设备保养、维护</w:t>
            </w:r>
          </w:p>
        </w:tc>
        <w:tc>
          <w:tcPr>
            <w:tcW w:w="2065" w:type="dxa"/>
            <w:vMerge w:val="continue"/>
            <w:tcBorders>
              <w:top w:val="single" w:color="auto" w:sz="4" w:space="0"/>
              <w:left w:val="single" w:color="auto" w:sz="4" w:space="0"/>
              <w:bottom w:val="single" w:color="auto" w:sz="4" w:space="0"/>
              <w:right w:val="single" w:color="auto" w:sz="4" w:space="0"/>
            </w:tcBorders>
            <w:vAlign w:val="center"/>
          </w:tcPr>
          <w:p w14:paraId="089AC3F6">
            <w:pPr>
              <w:widowControl/>
              <w:spacing w:line="240" w:lineRule="auto"/>
              <w:jc w:val="left"/>
              <w:rPr>
                <w:color w:val="000000"/>
              </w:rPr>
            </w:pPr>
          </w:p>
        </w:tc>
      </w:tr>
      <w:tr w14:paraId="76D51D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7" w:hRule="atLeast"/>
          <w:jc w:val="center"/>
        </w:trPr>
        <w:tc>
          <w:tcPr>
            <w:tcW w:w="9072" w:type="dxa"/>
            <w:vMerge w:val="continue"/>
            <w:tcBorders>
              <w:top w:val="single" w:color="auto" w:sz="4" w:space="0"/>
              <w:left w:val="single" w:color="auto" w:sz="4" w:space="0"/>
              <w:bottom w:val="single" w:color="auto" w:sz="4" w:space="0"/>
              <w:right w:val="single" w:color="auto" w:sz="4" w:space="0"/>
            </w:tcBorders>
            <w:vAlign w:val="center"/>
          </w:tcPr>
          <w:p w14:paraId="18134D1D">
            <w:pPr>
              <w:widowControl/>
              <w:spacing w:line="240" w:lineRule="auto"/>
              <w:jc w:val="left"/>
              <w:rPr>
                <w:color w:val="000000"/>
                <w:kern w:val="0"/>
                <w:sz w:val="28"/>
                <w:szCs w:val="28"/>
              </w:rPr>
            </w:pPr>
          </w:p>
        </w:tc>
        <w:tc>
          <w:tcPr>
            <w:tcW w:w="720" w:type="dxa"/>
            <w:vMerge w:val="continue"/>
            <w:tcBorders>
              <w:top w:val="single" w:color="auto" w:sz="4" w:space="0"/>
              <w:left w:val="single" w:color="auto" w:sz="4" w:space="0"/>
              <w:bottom w:val="single" w:color="auto" w:sz="4" w:space="0"/>
              <w:right w:val="single" w:color="auto" w:sz="4" w:space="0"/>
            </w:tcBorders>
            <w:vAlign w:val="center"/>
          </w:tcPr>
          <w:p w14:paraId="0A0A6BAA">
            <w:pPr>
              <w:widowControl/>
              <w:spacing w:line="240" w:lineRule="auto"/>
              <w:jc w:val="left"/>
              <w:rPr>
                <w:color w:val="000000"/>
                <w:kern w:val="0"/>
                <w:sz w:val="28"/>
                <w:szCs w:val="28"/>
              </w:rPr>
            </w:pPr>
          </w:p>
        </w:tc>
        <w:tc>
          <w:tcPr>
            <w:tcW w:w="1611" w:type="dxa"/>
            <w:tcBorders>
              <w:top w:val="single" w:color="auto" w:sz="4" w:space="0"/>
              <w:left w:val="single" w:color="auto" w:sz="4" w:space="0"/>
              <w:bottom w:val="single" w:color="auto" w:sz="4" w:space="0"/>
              <w:right w:val="single" w:color="auto" w:sz="4" w:space="0"/>
            </w:tcBorders>
            <w:vAlign w:val="center"/>
          </w:tcPr>
          <w:p w14:paraId="08A5775D">
            <w:pPr>
              <w:spacing w:line="240" w:lineRule="auto"/>
              <w:jc w:val="center"/>
              <w:rPr>
                <w:color w:val="000000"/>
                <w:szCs w:val="21"/>
              </w:rPr>
            </w:pPr>
            <w:r>
              <w:rPr>
                <w:rFonts w:hint="eastAsia"/>
                <w:szCs w:val="21"/>
              </w:rPr>
              <w:t>生活区食堂</w:t>
            </w:r>
          </w:p>
        </w:tc>
        <w:tc>
          <w:tcPr>
            <w:tcW w:w="1566" w:type="dxa"/>
            <w:tcBorders>
              <w:top w:val="single" w:color="auto" w:sz="4" w:space="0"/>
              <w:left w:val="single" w:color="auto" w:sz="4" w:space="0"/>
              <w:bottom w:val="single" w:color="auto" w:sz="4" w:space="0"/>
              <w:right w:val="single" w:color="auto" w:sz="4" w:space="0"/>
            </w:tcBorders>
            <w:vAlign w:val="center"/>
          </w:tcPr>
          <w:p w14:paraId="1965795F">
            <w:pPr>
              <w:pStyle w:val="111"/>
              <w:spacing w:line="240" w:lineRule="auto"/>
              <w:ind w:firstLine="0" w:firstLineChars="0"/>
              <w:jc w:val="center"/>
              <w:rPr>
                <w:color w:val="000000"/>
                <w:sz w:val="21"/>
                <w:szCs w:val="21"/>
              </w:rPr>
            </w:pPr>
            <w:r>
              <w:rPr>
                <w:rFonts w:hint="eastAsia"/>
                <w:color w:val="000000"/>
                <w:sz w:val="21"/>
                <w:szCs w:val="21"/>
              </w:rPr>
              <w:t>食堂油烟</w:t>
            </w:r>
          </w:p>
        </w:tc>
        <w:tc>
          <w:tcPr>
            <w:tcW w:w="2390" w:type="dxa"/>
            <w:tcBorders>
              <w:top w:val="single" w:color="auto" w:sz="4" w:space="0"/>
              <w:left w:val="single" w:color="auto" w:sz="4" w:space="0"/>
              <w:bottom w:val="single" w:color="auto" w:sz="4" w:space="0"/>
              <w:right w:val="single" w:color="auto" w:sz="4" w:space="0"/>
            </w:tcBorders>
            <w:vAlign w:val="center"/>
          </w:tcPr>
          <w:p w14:paraId="05AB6E00">
            <w:pPr>
              <w:spacing w:line="240" w:lineRule="auto"/>
              <w:rPr>
                <w:color w:val="000000"/>
              </w:rPr>
            </w:pPr>
            <w:r>
              <w:rPr>
                <w:rFonts w:hint="eastAsia"/>
                <w:color w:val="000000"/>
              </w:rPr>
              <w:t>设</w:t>
            </w:r>
            <w:r>
              <w:rPr>
                <w:color w:val="000000"/>
              </w:rPr>
              <w:t>1</w:t>
            </w:r>
            <w:r>
              <w:rPr>
                <w:rFonts w:hint="eastAsia"/>
                <w:color w:val="000000"/>
              </w:rPr>
              <w:t>台油烟净化器，油烟经油烟净化器处理后引至房顶排放</w:t>
            </w:r>
          </w:p>
        </w:tc>
        <w:tc>
          <w:tcPr>
            <w:tcW w:w="2065" w:type="dxa"/>
            <w:vMerge w:val="restart"/>
            <w:tcBorders>
              <w:top w:val="single" w:color="auto" w:sz="4" w:space="0"/>
              <w:left w:val="single" w:color="auto" w:sz="4" w:space="0"/>
              <w:bottom w:val="single" w:color="auto" w:sz="4" w:space="0"/>
              <w:right w:val="single" w:color="auto" w:sz="4" w:space="0"/>
            </w:tcBorders>
            <w:vAlign w:val="center"/>
          </w:tcPr>
          <w:p w14:paraId="42C260FE">
            <w:pPr>
              <w:spacing w:line="240" w:lineRule="auto"/>
              <w:rPr>
                <w:color w:val="000000"/>
              </w:rPr>
            </w:pPr>
            <w:r>
              <w:rPr>
                <w:rFonts w:hint="eastAsia"/>
                <w:color w:val="000000"/>
              </w:rPr>
              <w:t>食堂油烟排放满足《饮食业油烟排放标准（试行）》（</w:t>
            </w:r>
            <w:r>
              <w:rPr>
                <w:color w:val="000000"/>
              </w:rPr>
              <w:t>GB18483-2001</w:t>
            </w:r>
            <w:r>
              <w:rPr>
                <w:rFonts w:hint="eastAsia"/>
                <w:color w:val="000000"/>
              </w:rPr>
              <w:t>）表</w:t>
            </w:r>
            <w:r>
              <w:rPr>
                <w:color w:val="000000"/>
              </w:rPr>
              <w:t>2</w:t>
            </w:r>
            <w:r>
              <w:rPr>
                <w:rFonts w:hint="eastAsia"/>
                <w:color w:val="000000"/>
              </w:rPr>
              <w:t>小型食堂排放标准要求</w:t>
            </w:r>
          </w:p>
        </w:tc>
      </w:tr>
      <w:tr w14:paraId="59140D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7" w:hRule="atLeast"/>
          <w:jc w:val="center"/>
        </w:trPr>
        <w:tc>
          <w:tcPr>
            <w:tcW w:w="9072" w:type="dxa"/>
            <w:vMerge w:val="continue"/>
            <w:tcBorders>
              <w:top w:val="single" w:color="auto" w:sz="4" w:space="0"/>
              <w:left w:val="single" w:color="auto" w:sz="4" w:space="0"/>
              <w:bottom w:val="single" w:color="auto" w:sz="4" w:space="0"/>
              <w:right w:val="single" w:color="auto" w:sz="4" w:space="0"/>
            </w:tcBorders>
            <w:vAlign w:val="center"/>
          </w:tcPr>
          <w:p w14:paraId="5DB446C3">
            <w:pPr>
              <w:widowControl/>
              <w:spacing w:line="240" w:lineRule="auto"/>
              <w:jc w:val="left"/>
              <w:rPr>
                <w:color w:val="000000"/>
                <w:kern w:val="0"/>
                <w:sz w:val="28"/>
                <w:szCs w:val="28"/>
              </w:rPr>
            </w:pPr>
          </w:p>
        </w:tc>
        <w:tc>
          <w:tcPr>
            <w:tcW w:w="720" w:type="dxa"/>
            <w:vMerge w:val="restart"/>
            <w:tcBorders>
              <w:top w:val="single" w:color="auto" w:sz="4" w:space="0"/>
              <w:left w:val="single" w:color="auto" w:sz="4" w:space="0"/>
              <w:bottom w:val="single" w:color="auto" w:sz="4" w:space="0"/>
              <w:right w:val="single" w:color="auto" w:sz="4" w:space="0"/>
            </w:tcBorders>
            <w:vAlign w:val="center"/>
          </w:tcPr>
          <w:p w14:paraId="69A3B314">
            <w:pPr>
              <w:spacing w:line="240" w:lineRule="auto"/>
              <w:jc w:val="center"/>
              <w:rPr>
                <w:color w:val="000000"/>
                <w:szCs w:val="21"/>
              </w:rPr>
            </w:pPr>
            <w:r>
              <w:rPr>
                <w:rFonts w:hint="eastAsia"/>
                <w:color w:val="000000"/>
                <w:szCs w:val="21"/>
              </w:rPr>
              <w:t>运</w:t>
            </w:r>
          </w:p>
          <w:p w14:paraId="0032A84F">
            <w:pPr>
              <w:spacing w:line="240" w:lineRule="auto"/>
              <w:jc w:val="center"/>
              <w:rPr>
                <w:color w:val="000000"/>
                <w:szCs w:val="21"/>
              </w:rPr>
            </w:pPr>
            <w:r>
              <w:rPr>
                <w:rFonts w:hint="eastAsia"/>
                <w:color w:val="000000"/>
                <w:szCs w:val="21"/>
              </w:rPr>
              <w:t>行</w:t>
            </w:r>
          </w:p>
          <w:p w14:paraId="1E74F290">
            <w:pPr>
              <w:spacing w:line="240" w:lineRule="auto"/>
              <w:jc w:val="center"/>
              <w:rPr>
                <w:color w:val="000000"/>
                <w:kern w:val="0"/>
                <w:sz w:val="28"/>
                <w:szCs w:val="28"/>
              </w:rPr>
            </w:pPr>
            <w:r>
              <w:rPr>
                <w:rFonts w:hint="eastAsia"/>
                <w:color w:val="000000"/>
                <w:szCs w:val="21"/>
              </w:rPr>
              <w:t>期</w:t>
            </w:r>
          </w:p>
        </w:tc>
        <w:tc>
          <w:tcPr>
            <w:tcW w:w="1611" w:type="dxa"/>
            <w:tcBorders>
              <w:top w:val="single" w:color="auto" w:sz="4" w:space="0"/>
              <w:left w:val="single" w:color="auto" w:sz="4" w:space="0"/>
              <w:bottom w:val="single" w:color="auto" w:sz="4" w:space="0"/>
              <w:right w:val="single" w:color="auto" w:sz="4" w:space="0"/>
            </w:tcBorders>
            <w:vAlign w:val="center"/>
          </w:tcPr>
          <w:p w14:paraId="7FBE9431">
            <w:pPr>
              <w:spacing w:line="240" w:lineRule="auto"/>
              <w:jc w:val="center"/>
              <w:rPr>
                <w:color w:val="000000"/>
                <w:szCs w:val="21"/>
              </w:rPr>
            </w:pPr>
            <w:r>
              <w:rPr>
                <w:rFonts w:hint="eastAsia"/>
                <w:szCs w:val="21"/>
              </w:rPr>
              <w:t>升压站食堂</w:t>
            </w:r>
          </w:p>
        </w:tc>
        <w:tc>
          <w:tcPr>
            <w:tcW w:w="1566" w:type="dxa"/>
            <w:tcBorders>
              <w:top w:val="single" w:color="auto" w:sz="4" w:space="0"/>
              <w:left w:val="single" w:color="auto" w:sz="4" w:space="0"/>
              <w:bottom w:val="single" w:color="auto" w:sz="4" w:space="0"/>
              <w:right w:val="single" w:color="auto" w:sz="4" w:space="0"/>
            </w:tcBorders>
            <w:vAlign w:val="center"/>
          </w:tcPr>
          <w:p w14:paraId="41AF6371">
            <w:pPr>
              <w:spacing w:line="240" w:lineRule="auto"/>
              <w:ind w:left="-50" w:right="-50"/>
              <w:jc w:val="center"/>
              <w:rPr>
                <w:color w:val="000000"/>
                <w:szCs w:val="21"/>
              </w:rPr>
            </w:pPr>
            <w:r>
              <w:rPr>
                <w:rFonts w:hint="eastAsia"/>
                <w:color w:val="000000"/>
                <w:szCs w:val="21"/>
              </w:rPr>
              <w:t>食堂油烟</w:t>
            </w:r>
          </w:p>
        </w:tc>
        <w:tc>
          <w:tcPr>
            <w:tcW w:w="2390" w:type="dxa"/>
            <w:tcBorders>
              <w:top w:val="single" w:color="auto" w:sz="4" w:space="0"/>
              <w:left w:val="single" w:color="auto" w:sz="4" w:space="0"/>
              <w:bottom w:val="single" w:color="auto" w:sz="4" w:space="0"/>
              <w:right w:val="single" w:color="auto" w:sz="4" w:space="0"/>
            </w:tcBorders>
            <w:vAlign w:val="center"/>
          </w:tcPr>
          <w:p w14:paraId="619B9DEC">
            <w:pPr>
              <w:spacing w:line="240" w:lineRule="auto"/>
              <w:rPr>
                <w:color w:val="000000"/>
              </w:rPr>
            </w:pPr>
            <w:r>
              <w:rPr>
                <w:rFonts w:hint="eastAsia"/>
                <w:color w:val="000000"/>
              </w:rPr>
              <w:t>设</w:t>
            </w:r>
            <w:r>
              <w:rPr>
                <w:color w:val="000000"/>
              </w:rPr>
              <w:t>1</w:t>
            </w:r>
            <w:r>
              <w:rPr>
                <w:rFonts w:hint="eastAsia"/>
                <w:color w:val="000000"/>
              </w:rPr>
              <w:t>台油烟净化器，油烟经油烟净化器处理后引至房顶排放</w:t>
            </w:r>
          </w:p>
        </w:tc>
        <w:tc>
          <w:tcPr>
            <w:tcW w:w="2065" w:type="dxa"/>
            <w:vMerge w:val="continue"/>
            <w:tcBorders>
              <w:top w:val="single" w:color="auto" w:sz="4" w:space="0"/>
              <w:left w:val="single" w:color="auto" w:sz="4" w:space="0"/>
              <w:bottom w:val="single" w:color="auto" w:sz="4" w:space="0"/>
              <w:right w:val="single" w:color="auto" w:sz="4" w:space="0"/>
            </w:tcBorders>
            <w:vAlign w:val="center"/>
          </w:tcPr>
          <w:p w14:paraId="2D2036B3">
            <w:pPr>
              <w:widowControl/>
              <w:spacing w:line="240" w:lineRule="auto"/>
              <w:jc w:val="left"/>
              <w:rPr>
                <w:color w:val="000000"/>
              </w:rPr>
            </w:pPr>
          </w:p>
        </w:tc>
      </w:tr>
      <w:tr w14:paraId="5E5085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7" w:hRule="atLeast"/>
          <w:jc w:val="center"/>
        </w:trPr>
        <w:tc>
          <w:tcPr>
            <w:tcW w:w="9072" w:type="dxa"/>
            <w:vMerge w:val="continue"/>
            <w:tcBorders>
              <w:top w:val="single" w:color="auto" w:sz="4" w:space="0"/>
              <w:left w:val="single" w:color="auto" w:sz="4" w:space="0"/>
              <w:bottom w:val="single" w:color="auto" w:sz="4" w:space="0"/>
              <w:right w:val="single" w:color="auto" w:sz="4" w:space="0"/>
            </w:tcBorders>
            <w:vAlign w:val="center"/>
          </w:tcPr>
          <w:p w14:paraId="1E5BE5BF">
            <w:pPr>
              <w:widowControl/>
              <w:spacing w:line="240" w:lineRule="auto"/>
              <w:jc w:val="left"/>
              <w:rPr>
                <w:color w:val="000000"/>
                <w:kern w:val="0"/>
                <w:sz w:val="28"/>
                <w:szCs w:val="28"/>
              </w:rPr>
            </w:pPr>
          </w:p>
        </w:tc>
        <w:tc>
          <w:tcPr>
            <w:tcW w:w="720" w:type="dxa"/>
            <w:vMerge w:val="continue"/>
            <w:tcBorders>
              <w:top w:val="single" w:color="auto" w:sz="4" w:space="0"/>
              <w:left w:val="single" w:color="auto" w:sz="4" w:space="0"/>
              <w:bottom w:val="single" w:color="auto" w:sz="4" w:space="0"/>
              <w:right w:val="single" w:color="auto" w:sz="4" w:space="0"/>
            </w:tcBorders>
            <w:vAlign w:val="center"/>
          </w:tcPr>
          <w:p w14:paraId="090A601B">
            <w:pPr>
              <w:widowControl/>
              <w:spacing w:line="240" w:lineRule="auto"/>
              <w:jc w:val="left"/>
              <w:rPr>
                <w:color w:val="000000"/>
                <w:kern w:val="0"/>
                <w:sz w:val="28"/>
                <w:szCs w:val="28"/>
              </w:rPr>
            </w:pPr>
          </w:p>
        </w:tc>
        <w:tc>
          <w:tcPr>
            <w:tcW w:w="1611" w:type="dxa"/>
            <w:tcBorders>
              <w:top w:val="single" w:color="auto" w:sz="4" w:space="0"/>
              <w:left w:val="single" w:color="auto" w:sz="4" w:space="0"/>
              <w:bottom w:val="single" w:color="auto" w:sz="4" w:space="0"/>
              <w:right w:val="single" w:color="auto" w:sz="4" w:space="0"/>
            </w:tcBorders>
            <w:vAlign w:val="center"/>
          </w:tcPr>
          <w:p w14:paraId="5E71DF79">
            <w:pPr>
              <w:spacing w:line="240" w:lineRule="auto"/>
              <w:jc w:val="center"/>
              <w:rPr>
                <w:szCs w:val="21"/>
              </w:rPr>
            </w:pPr>
            <w:r>
              <w:rPr>
                <w:rFonts w:hint="eastAsia"/>
                <w:szCs w:val="21"/>
              </w:rPr>
              <w:t>检修道路</w:t>
            </w:r>
          </w:p>
        </w:tc>
        <w:tc>
          <w:tcPr>
            <w:tcW w:w="1566" w:type="dxa"/>
            <w:tcBorders>
              <w:top w:val="single" w:color="auto" w:sz="4" w:space="0"/>
              <w:left w:val="single" w:color="auto" w:sz="4" w:space="0"/>
              <w:bottom w:val="single" w:color="auto" w:sz="4" w:space="0"/>
              <w:right w:val="single" w:color="auto" w:sz="4" w:space="0"/>
            </w:tcBorders>
            <w:vAlign w:val="center"/>
          </w:tcPr>
          <w:p w14:paraId="2148DF13">
            <w:pPr>
              <w:spacing w:line="240" w:lineRule="auto"/>
              <w:ind w:left="-50" w:right="-50"/>
              <w:jc w:val="center"/>
              <w:rPr>
                <w:szCs w:val="21"/>
              </w:rPr>
            </w:pPr>
            <w:r>
              <w:rPr>
                <w:rFonts w:hint="eastAsia"/>
                <w:szCs w:val="21"/>
              </w:rPr>
              <w:t>道路扬尘</w:t>
            </w:r>
          </w:p>
        </w:tc>
        <w:tc>
          <w:tcPr>
            <w:tcW w:w="2390" w:type="dxa"/>
            <w:tcBorders>
              <w:top w:val="single" w:color="auto" w:sz="4" w:space="0"/>
              <w:left w:val="single" w:color="auto" w:sz="4" w:space="0"/>
              <w:bottom w:val="single" w:color="auto" w:sz="4" w:space="0"/>
              <w:right w:val="single" w:color="auto" w:sz="4" w:space="0"/>
            </w:tcBorders>
            <w:vAlign w:val="center"/>
          </w:tcPr>
          <w:p w14:paraId="43B9B3A4">
            <w:pPr>
              <w:spacing w:line="240" w:lineRule="auto"/>
              <w:rPr>
                <w:color w:val="000000"/>
              </w:rPr>
            </w:pPr>
            <w:r>
              <w:rPr>
                <w:rFonts w:hint="eastAsia"/>
                <w:color w:val="000000"/>
              </w:rPr>
              <w:t>①限制车速并加强日常管理；</w:t>
            </w:r>
          </w:p>
          <w:p w14:paraId="37594A4D">
            <w:pPr>
              <w:spacing w:line="240" w:lineRule="auto"/>
              <w:rPr>
                <w:color w:val="000000"/>
              </w:rPr>
            </w:pPr>
            <w:r>
              <w:rPr>
                <w:rFonts w:hint="eastAsia"/>
                <w:color w:val="000000"/>
              </w:rPr>
              <w:t>②检修车辆进场前利用洒水车对站区道路进行洒水抑尘</w:t>
            </w:r>
          </w:p>
        </w:tc>
        <w:tc>
          <w:tcPr>
            <w:tcW w:w="2065" w:type="dxa"/>
            <w:tcBorders>
              <w:top w:val="single" w:color="auto" w:sz="4" w:space="0"/>
              <w:left w:val="single" w:color="auto" w:sz="4" w:space="0"/>
              <w:bottom w:val="single" w:color="auto" w:sz="4" w:space="0"/>
              <w:right w:val="single" w:color="auto" w:sz="4" w:space="0"/>
            </w:tcBorders>
            <w:vAlign w:val="center"/>
          </w:tcPr>
          <w:p w14:paraId="1C2DA97F">
            <w:pPr>
              <w:spacing w:line="240" w:lineRule="auto"/>
              <w:rPr>
                <w:color w:val="000000"/>
                <w:szCs w:val="21"/>
              </w:rPr>
            </w:pPr>
            <w:r>
              <w:rPr>
                <w:rFonts w:hint="eastAsia"/>
                <w:color w:val="000000"/>
                <w:szCs w:val="21"/>
              </w:rPr>
              <w:t>对环境空气质量影响较小</w:t>
            </w:r>
          </w:p>
        </w:tc>
      </w:tr>
      <w:tr w14:paraId="005F32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8" w:hRule="atLeast"/>
          <w:jc w:val="center"/>
        </w:trPr>
        <w:tc>
          <w:tcPr>
            <w:tcW w:w="720" w:type="dxa"/>
            <w:vMerge w:val="restart"/>
            <w:tcBorders>
              <w:top w:val="single" w:color="auto" w:sz="4" w:space="0"/>
              <w:left w:val="single" w:color="auto" w:sz="4" w:space="0"/>
              <w:bottom w:val="single" w:color="auto" w:sz="4" w:space="0"/>
              <w:right w:val="single" w:color="auto" w:sz="4" w:space="0"/>
            </w:tcBorders>
            <w:vAlign w:val="center"/>
          </w:tcPr>
          <w:p w14:paraId="62D309DE">
            <w:pPr>
              <w:spacing w:line="400" w:lineRule="exact"/>
              <w:jc w:val="center"/>
              <w:rPr>
                <w:color w:val="000000"/>
                <w:kern w:val="0"/>
                <w:sz w:val="28"/>
                <w:szCs w:val="28"/>
              </w:rPr>
            </w:pPr>
            <w:r>
              <w:rPr>
                <w:rFonts w:hint="eastAsia"/>
                <w:color w:val="000000"/>
                <w:kern w:val="0"/>
                <w:sz w:val="28"/>
                <w:szCs w:val="28"/>
              </w:rPr>
              <w:t>水</w:t>
            </w:r>
          </w:p>
          <w:p w14:paraId="44396729">
            <w:pPr>
              <w:spacing w:line="400" w:lineRule="exact"/>
              <w:jc w:val="center"/>
              <w:rPr>
                <w:color w:val="000000"/>
                <w:kern w:val="0"/>
                <w:sz w:val="28"/>
                <w:szCs w:val="28"/>
              </w:rPr>
            </w:pPr>
            <w:r>
              <w:rPr>
                <w:rFonts w:hint="eastAsia"/>
                <w:color w:val="000000"/>
                <w:kern w:val="0"/>
                <w:sz w:val="28"/>
                <w:szCs w:val="28"/>
              </w:rPr>
              <w:t>污</w:t>
            </w:r>
          </w:p>
          <w:p w14:paraId="682745F0">
            <w:pPr>
              <w:spacing w:line="400" w:lineRule="exact"/>
              <w:jc w:val="center"/>
              <w:rPr>
                <w:color w:val="000000"/>
                <w:kern w:val="0"/>
                <w:sz w:val="28"/>
                <w:szCs w:val="28"/>
              </w:rPr>
            </w:pPr>
            <w:r>
              <w:rPr>
                <w:rFonts w:hint="eastAsia"/>
                <w:color w:val="000000"/>
                <w:kern w:val="0"/>
                <w:sz w:val="28"/>
                <w:szCs w:val="28"/>
              </w:rPr>
              <w:t>染</w:t>
            </w:r>
          </w:p>
          <w:p w14:paraId="394D4E47">
            <w:pPr>
              <w:spacing w:line="400" w:lineRule="exact"/>
              <w:jc w:val="center"/>
              <w:rPr>
                <w:color w:val="000000"/>
                <w:kern w:val="0"/>
                <w:sz w:val="28"/>
                <w:szCs w:val="28"/>
              </w:rPr>
            </w:pPr>
            <w:r>
              <w:rPr>
                <w:rFonts w:hint="eastAsia"/>
                <w:color w:val="000000"/>
                <w:kern w:val="0"/>
                <w:sz w:val="28"/>
                <w:szCs w:val="28"/>
              </w:rPr>
              <w:t>物</w:t>
            </w:r>
          </w:p>
        </w:tc>
        <w:tc>
          <w:tcPr>
            <w:tcW w:w="720" w:type="dxa"/>
            <w:vMerge w:val="restart"/>
            <w:tcBorders>
              <w:top w:val="single" w:color="auto" w:sz="4" w:space="0"/>
              <w:left w:val="single" w:color="auto" w:sz="4" w:space="0"/>
              <w:bottom w:val="single" w:color="auto" w:sz="4" w:space="0"/>
              <w:right w:val="single" w:color="auto" w:sz="4" w:space="0"/>
            </w:tcBorders>
            <w:vAlign w:val="center"/>
          </w:tcPr>
          <w:p w14:paraId="4AE84869">
            <w:pPr>
              <w:spacing w:line="240" w:lineRule="auto"/>
              <w:jc w:val="center"/>
              <w:rPr>
                <w:color w:val="000000"/>
                <w:szCs w:val="21"/>
              </w:rPr>
            </w:pPr>
            <w:r>
              <w:rPr>
                <w:rFonts w:hint="eastAsia"/>
                <w:color w:val="000000"/>
                <w:szCs w:val="21"/>
              </w:rPr>
              <w:t>施</w:t>
            </w:r>
          </w:p>
          <w:p w14:paraId="2B2E35C7">
            <w:pPr>
              <w:spacing w:line="240" w:lineRule="auto"/>
              <w:jc w:val="center"/>
              <w:rPr>
                <w:color w:val="000000"/>
                <w:szCs w:val="21"/>
              </w:rPr>
            </w:pPr>
            <w:r>
              <w:rPr>
                <w:rFonts w:hint="eastAsia"/>
                <w:color w:val="000000"/>
                <w:szCs w:val="21"/>
              </w:rPr>
              <w:t>工</w:t>
            </w:r>
          </w:p>
          <w:p w14:paraId="3FD3F69E">
            <w:pPr>
              <w:spacing w:line="240" w:lineRule="auto"/>
              <w:jc w:val="center"/>
              <w:rPr>
                <w:color w:val="000000"/>
                <w:szCs w:val="21"/>
              </w:rPr>
            </w:pPr>
            <w:r>
              <w:rPr>
                <w:rFonts w:hint="eastAsia"/>
                <w:color w:val="000000"/>
                <w:szCs w:val="21"/>
              </w:rPr>
              <w:t>期</w:t>
            </w:r>
          </w:p>
        </w:tc>
        <w:tc>
          <w:tcPr>
            <w:tcW w:w="1611" w:type="dxa"/>
            <w:tcBorders>
              <w:top w:val="single" w:color="auto" w:sz="4" w:space="0"/>
              <w:left w:val="single" w:color="auto" w:sz="4" w:space="0"/>
              <w:bottom w:val="single" w:color="auto" w:sz="4" w:space="0"/>
              <w:right w:val="single" w:color="auto" w:sz="4" w:space="0"/>
            </w:tcBorders>
            <w:vAlign w:val="center"/>
          </w:tcPr>
          <w:p w14:paraId="34AC9E22">
            <w:pPr>
              <w:spacing w:line="240" w:lineRule="auto"/>
              <w:jc w:val="center"/>
              <w:rPr>
                <w:color w:val="000000"/>
                <w:kern w:val="0"/>
              </w:rPr>
            </w:pPr>
            <w:r>
              <w:rPr>
                <w:rFonts w:hint="eastAsia"/>
                <w:color w:val="000000"/>
                <w:szCs w:val="21"/>
              </w:rPr>
              <w:t>生活污水</w:t>
            </w:r>
          </w:p>
        </w:tc>
        <w:tc>
          <w:tcPr>
            <w:tcW w:w="1566" w:type="dxa"/>
            <w:tcBorders>
              <w:top w:val="single" w:color="auto" w:sz="4" w:space="0"/>
              <w:left w:val="single" w:color="auto" w:sz="4" w:space="0"/>
              <w:bottom w:val="single" w:color="auto" w:sz="4" w:space="0"/>
              <w:right w:val="single" w:color="auto" w:sz="4" w:space="0"/>
            </w:tcBorders>
            <w:vAlign w:val="center"/>
          </w:tcPr>
          <w:p w14:paraId="08B07451">
            <w:pPr>
              <w:spacing w:line="240" w:lineRule="auto"/>
              <w:rPr>
                <w:color w:val="000000"/>
                <w:szCs w:val="21"/>
              </w:rPr>
            </w:pPr>
            <w:r>
              <w:rPr>
                <w:color w:val="000000"/>
                <w:szCs w:val="21"/>
              </w:rPr>
              <w:t>COD</w:t>
            </w:r>
            <w:r>
              <w:rPr>
                <w:color w:val="000000"/>
                <w:szCs w:val="21"/>
                <w:vertAlign w:val="subscript"/>
              </w:rPr>
              <w:t>cr</w:t>
            </w:r>
            <w:r>
              <w:rPr>
                <w:rFonts w:hint="eastAsia"/>
                <w:color w:val="000000"/>
                <w:szCs w:val="21"/>
              </w:rPr>
              <w:t>、</w:t>
            </w:r>
            <w:r>
              <w:rPr>
                <w:color w:val="000000"/>
                <w:szCs w:val="21"/>
              </w:rPr>
              <w:t>BOD</w:t>
            </w:r>
            <w:r>
              <w:rPr>
                <w:color w:val="000000"/>
                <w:szCs w:val="21"/>
                <w:vertAlign w:val="subscript"/>
              </w:rPr>
              <w:t>5</w:t>
            </w:r>
            <w:r>
              <w:rPr>
                <w:rFonts w:hint="eastAsia"/>
                <w:color w:val="000000"/>
                <w:szCs w:val="21"/>
              </w:rPr>
              <w:t>、</w:t>
            </w:r>
            <w:r>
              <w:rPr>
                <w:color w:val="000000"/>
                <w:szCs w:val="21"/>
              </w:rPr>
              <w:t>SS</w:t>
            </w:r>
            <w:r>
              <w:rPr>
                <w:rFonts w:hint="eastAsia"/>
                <w:color w:val="000000"/>
                <w:szCs w:val="21"/>
              </w:rPr>
              <w:t>、</w:t>
            </w:r>
            <w:r>
              <w:rPr>
                <w:color w:val="000000"/>
                <w:szCs w:val="21"/>
              </w:rPr>
              <w:t>NH</w:t>
            </w:r>
            <w:r>
              <w:rPr>
                <w:color w:val="000000"/>
                <w:szCs w:val="21"/>
                <w:vertAlign w:val="subscript"/>
              </w:rPr>
              <w:t>3</w:t>
            </w:r>
            <w:r>
              <w:rPr>
                <w:color w:val="000000"/>
                <w:szCs w:val="21"/>
              </w:rPr>
              <w:t>-N</w:t>
            </w:r>
            <w:r>
              <w:rPr>
                <w:rFonts w:hint="eastAsia"/>
                <w:color w:val="000000"/>
                <w:szCs w:val="21"/>
              </w:rPr>
              <w:t>等</w:t>
            </w:r>
          </w:p>
        </w:tc>
        <w:tc>
          <w:tcPr>
            <w:tcW w:w="2390" w:type="dxa"/>
            <w:tcBorders>
              <w:top w:val="single" w:color="auto" w:sz="4" w:space="0"/>
              <w:left w:val="single" w:color="auto" w:sz="4" w:space="0"/>
              <w:bottom w:val="single" w:color="auto" w:sz="4" w:space="0"/>
              <w:right w:val="single" w:color="auto" w:sz="4" w:space="0"/>
            </w:tcBorders>
            <w:vAlign w:val="center"/>
          </w:tcPr>
          <w:p w14:paraId="36BC49F3">
            <w:pPr>
              <w:spacing w:line="240" w:lineRule="auto"/>
              <w:rPr>
                <w:color w:val="000000"/>
                <w:kern w:val="0"/>
              </w:rPr>
            </w:pPr>
            <w:r>
              <w:rPr>
                <w:rFonts w:hint="eastAsia"/>
                <w:color w:val="000000"/>
                <w:szCs w:val="21"/>
              </w:rPr>
              <w:t>经化粪池处理后委托环卫部门定期清掏处理</w:t>
            </w:r>
          </w:p>
        </w:tc>
        <w:tc>
          <w:tcPr>
            <w:tcW w:w="2065" w:type="dxa"/>
            <w:tcBorders>
              <w:top w:val="single" w:color="auto" w:sz="4" w:space="0"/>
              <w:left w:val="single" w:color="auto" w:sz="4" w:space="0"/>
              <w:bottom w:val="single" w:color="auto" w:sz="4" w:space="0"/>
              <w:right w:val="single" w:color="auto" w:sz="4" w:space="0"/>
            </w:tcBorders>
            <w:vAlign w:val="center"/>
          </w:tcPr>
          <w:p w14:paraId="0F595331">
            <w:pPr>
              <w:spacing w:line="240" w:lineRule="auto"/>
              <w:rPr>
                <w:color w:val="000000"/>
                <w:kern w:val="0"/>
              </w:rPr>
            </w:pPr>
            <w:r>
              <w:rPr>
                <w:rFonts w:hint="eastAsia"/>
                <w:color w:val="000000"/>
                <w:szCs w:val="21"/>
              </w:rPr>
              <w:t>生活污水得到妥善处置，不外排</w:t>
            </w:r>
          </w:p>
        </w:tc>
      </w:tr>
      <w:tr w14:paraId="0095FD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2" w:hRule="atLeast"/>
          <w:jc w:val="center"/>
        </w:trPr>
        <w:tc>
          <w:tcPr>
            <w:tcW w:w="9072" w:type="dxa"/>
            <w:vMerge w:val="continue"/>
            <w:tcBorders>
              <w:top w:val="single" w:color="auto" w:sz="4" w:space="0"/>
              <w:left w:val="single" w:color="auto" w:sz="4" w:space="0"/>
              <w:bottom w:val="single" w:color="auto" w:sz="4" w:space="0"/>
              <w:right w:val="single" w:color="auto" w:sz="4" w:space="0"/>
            </w:tcBorders>
            <w:vAlign w:val="center"/>
          </w:tcPr>
          <w:p w14:paraId="4ED823A9">
            <w:pPr>
              <w:widowControl/>
              <w:spacing w:line="240" w:lineRule="auto"/>
              <w:jc w:val="left"/>
              <w:rPr>
                <w:color w:val="000000"/>
                <w:kern w:val="0"/>
                <w:sz w:val="28"/>
                <w:szCs w:val="28"/>
              </w:rPr>
            </w:pPr>
          </w:p>
        </w:tc>
        <w:tc>
          <w:tcPr>
            <w:tcW w:w="720" w:type="dxa"/>
            <w:vMerge w:val="continue"/>
            <w:tcBorders>
              <w:top w:val="single" w:color="auto" w:sz="4" w:space="0"/>
              <w:left w:val="single" w:color="auto" w:sz="4" w:space="0"/>
              <w:bottom w:val="single" w:color="auto" w:sz="4" w:space="0"/>
              <w:right w:val="single" w:color="auto" w:sz="4" w:space="0"/>
            </w:tcBorders>
            <w:vAlign w:val="center"/>
          </w:tcPr>
          <w:p w14:paraId="60D760F1">
            <w:pPr>
              <w:widowControl/>
              <w:spacing w:line="240" w:lineRule="auto"/>
              <w:jc w:val="left"/>
              <w:rPr>
                <w:color w:val="000000"/>
                <w:szCs w:val="21"/>
              </w:rPr>
            </w:pPr>
          </w:p>
        </w:tc>
        <w:tc>
          <w:tcPr>
            <w:tcW w:w="1611" w:type="dxa"/>
            <w:tcBorders>
              <w:top w:val="single" w:color="auto" w:sz="4" w:space="0"/>
              <w:left w:val="single" w:color="auto" w:sz="4" w:space="0"/>
              <w:bottom w:val="single" w:color="auto" w:sz="4" w:space="0"/>
              <w:right w:val="single" w:color="auto" w:sz="4" w:space="0"/>
            </w:tcBorders>
            <w:vAlign w:val="center"/>
          </w:tcPr>
          <w:p w14:paraId="730AB33C">
            <w:pPr>
              <w:spacing w:line="240" w:lineRule="auto"/>
              <w:jc w:val="center"/>
              <w:rPr>
                <w:color w:val="000000"/>
                <w:kern w:val="0"/>
              </w:rPr>
            </w:pPr>
            <w:r>
              <w:rPr>
                <w:rFonts w:hint="eastAsia"/>
                <w:color w:val="000000"/>
                <w:szCs w:val="21"/>
              </w:rPr>
              <w:t>施工废水</w:t>
            </w:r>
          </w:p>
        </w:tc>
        <w:tc>
          <w:tcPr>
            <w:tcW w:w="1566" w:type="dxa"/>
            <w:tcBorders>
              <w:top w:val="single" w:color="auto" w:sz="4" w:space="0"/>
              <w:left w:val="single" w:color="auto" w:sz="4" w:space="0"/>
              <w:bottom w:val="single" w:color="auto" w:sz="4" w:space="0"/>
              <w:right w:val="single" w:color="auto" w:sz="4" w:space="0"/>
            </w:tcBorders>
            <w:vAlign w:val="center"/>
          </w:tcPr>
          <w:p w14:paraId="1B9B4784">
            <w:pPr>
              <w:spacing w:line="240" w:lineRule="auto"/>
              <w:jc w:val="center"/>
              <w:rPr>
                <w:color w:val="000000"/>
                <w:szCs w:val="21"/>
              </w:rPr>
            </w:pPr>
            <w:r>
              <w:rPr>
                <w:color w:val="000000"/>
                <w:szCs w:val="21"/>
              </w:rPr>
              <w:t>SS</w:t>
            </w:r>
          </w:p>
        </w:tc>
        <w:tc>
          <w:tcPr>
            <w:tcW w:w="2390" w:type="dxa"/>
            <w:tcBorders>
              <w:top w:val="single" w:color="auto" w:sz="4" w:space="0"/>
              <w:left w:val="single" w:color="auto" w:sz="4" w:space="0"/>
              <w:bottom w:val="single" w:color="auto" w:sz="4" w:space="0"/>
              <w:right w:val="single" w:color="auto" w:sz="4" w:space="0"/>
            </w:tcBorders>
            <w:vAlign w:val="center"/>
          </w:tcPr>
          <w:p w14:paraId="322C5432">
            <w:pPr>
              <w:spacing w:line="240" w:lineRule="auto"/>
              <w:rPr>
                <w:color w:val="000000"/>
                <w:kern w:val="0"/>
              </w:rPr>
            </w:pPr>
            <w:r>
              <w:rPr>
                <w:rFonts w:hint="eastAsia"/>
                <w:color w:val="000000"/>
                <w:szCs w:val="21"/>
              </w:rPr>
              <w:t>简易沉淀池处理后回用于施工生产</w:t>
            </w:r>
          </w:p>
        </w:tc>
        <w:tc>
          <w:tcPr>
            <w:tcW w:w="2065" w:type="dxa"/>
            <w:tcBorders>
              <w:top w:val="single" w:color="auto" w:sz="4" w:space="0"/>
              <w:left w:val="single" w:color="auto" w:sz="4" w:space="0"/>
              <w:bottom w:val="single" w:color="auto" w:sz="4" w:space="0"/>
              <w:right w:val="single" w:color="auto" w:sz="4" w:space="0"/>
            </w:tcBorders>
            <w:vAlign w:val="center"/>
          </w:tcPr>
          <w:p w14:paraId="1B624BF2">
            <w:pPr>
              <w:spacing w:line="240" w:lineRule="auto"/>
              <w:rPr>
                <w:color w:val="000000"/>
                <w:kern w:val="0"/>
              </w:rPr>
            </w:pPr>
            <w:r>
              <w:rPr>
                <w:rFonts w:hint="eastAsia"/>
                <w:color w:val="000000"/>
                <w:szCs w:val="21"/>
              </w:rPr>
              <w:t>施工废水得到妥善处置，不外排</w:t>
            </w:r>
          </w:p>
        </w:tc>
      </w:tr>
      <w:tr w14:paraId="2CDD75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4" w:hRule="atLeast"/>
          <w:jc w:val="center"/>
        </w:trPr>
        <w:tc>
          <w:tcPr>
            <w:tcW w:w="9072" w:type="dxa"/>
            <w:vMerge w:val="continue"/>
            <w:tcBorders>
              <w:top w:val="single" w:color="auto" w:sz="4" w:space="0"/>
              <w:left w:val="single" w:color="auto" w:sz="4" w:space="0"/>
              <w:bottom w:val="single" w:color="auto" w:sz="4" w:space="0"/>
              <w:right w:val="single" w:color="auto" w:sz="4" w:space="0"/>
            </w:tcBorders>
            <w:vAlign w:val="center"/>
          </w:tcPr>
          <w:p w14:paraId="628CCA2E">
            <w:pPr>
              <w:widowControl/>
              <w:spacing w:line="240" w:lineRule="auto"/>
              <w:jc w:val="left"/>
              <w:rPr>
                <w:color w:val="000000"/>
                <w:kern w:val="0"/>
                <w:sz w:val="28"/>
                <w:szCs w:val="28"/>
              </w:rPr>
            </w:pPr>
          </w:p>
        </w:tc>
        <w:tc>
          <w:tcPr>
            <w:tcW w:w="720" w:type="dxa"/>
            <w:vMerge w:val="continue"/>
            <w:tcBorders>
              <w:top w:val="single" w:color="auto" w:sz="4" w:space="0"/>
              <w:left w:val="single" w:color="auto" w:sz="4" w:space="0"/>
              <w:bottom w:val="single" w:color="auto" w:sz="4" w:space="0"/>
              <w:right w:val="single" w:color="auto" w:sz="4" w:space="0"/>
            </w:tcBorders>
            <w:vAlign w:val="center"/>
          </w:tcPr>
          <w:p w14:paraId="051849B9">
            <w:pPr>
              <w:widowControl/>
              <w:spacing w:line="240" w:lineRule="auto"/>
              <w:jc w:val="left"/>
              <w:rPr>
                <w:color w:val="000000"/>
                <w:szCs w:val="21"/>
              </w:rPr>
            </w:pPr>
          </w:p>
        </w:tc>
        <w:tc>
          <w:tcPr>
            <w:tcW w:w="1611" w:type="dxa"/>
            <w:tcBorders>
              <w:top w:val="single" w:color="auto" w:sz="4" w:space="0"/>
              <w:left w:val="single" w:color="auto" w:sz="4" w:space="0"/>
              <w:bottom w:val="single" w:color="auto" w:sz="4" w:space="0"/>
              <w:right w:val="single" w:color="auto" w:sz="4" w:space="0"/>
            </w:tcBorders>
            <w:vAlign w:val="center"/>
          </w:tcPr>
          <w:p w14:paraId="31CE246C">
            <w:pPr>
              <w:spacing w:line="240" w:lineRule="auto"/>
              <w:jc w:val="center"/>
              <w:rPr>
                <w:color w:val="000000"/>
                <w:kern w:val="0"/>
              </w:rPr>
            </w:pPr>
            <w:r>
              <w:rPr>
                <w:rFonts w:hint="eastAsia"/>
                <w:szCs w:val="21"/>
              </w:rPr>
              <w:t>机械冲洗废水</w:t>
            </w:r>
          </w:p>
        </w:tc>
        <w:tc>
          <w:tcPr>
            <w:tcW w:w="1566" w:type="dxa"/>
            <w:tcBorders>
              <w:top w:val="single" w:color="auto" w:sz="4" w:space="0"/>
              <w:left w:val="single" w:color="auto" w:sz="4" w:space="0"/>
              <w:bottom w:val="single" w:color="auto" w:sz="4" w:space="0"/>
              <w:right w:val="single" w:color="auto" w:sz="4" w:space="0"/>
            </w:tcBorders>
            <w:vAlign w:val="center"/>
          </w:tcPr>
          <w:p w14:paraId="085942CD">
            <w:pPr>
              <w:spacing w:line="240" w:lineRule="auto"/>
              <w:jc w:val="center"/>
              <w:rPr>
                <w:szCs w:val="21"/>
              </w:rPr>
            </w:pPr>
            <w:r>
              <w:rPr>
                <w:szCs w:val="21"/>
              </w:rPr>
              <w:t>SS</w:t>
            </w:r>
            <w:r>
              <w:rPr>
                <w:rFonts w:hint="eastAsia"/>
                <w:szCs w:val="21"/>
              </w:rPr>
              <w:t>、石油类</w:t>
            </w:r>
          </w:p>
        </w:tc>
        <w:tc>
          <w:tcPr>
            <w:tcW w:w="2390" w:type="dxa"/>
            <w:tcBorders>
              <w:top w:val="single" w:color="auto" w:sz="4" w:space="0"/>
              <w:left w:val="single" w:color="auto" w:sz="4" w:space="0"/>
              <w:bottom w:val="single" w:color="auto" w:sz="4" w:space="0"/>
              <w:right w:val="single" w:color="auto" w:sz="4" w:space="0"/>
            </w:tcBorders>
            <w:vAlign w:val="center"/>
          </w:tcPr>
          <w:p w14:paraId="700119AA">
            <w:pPr>
              <w:spacing w:line="240" w:lineRule="auto"/>
              <w:rPr>
                <w:color w:val="000000"/>
                <w:kern w:val="0"/>
              </w:rPr>
            </w:pPr>
            <w:r>
              <w:rPr>
                <w:rFonts w:hint="eastAsia"/>
                <w:color w:val="000000"/>
                <w:szCs w:val="21"/>
              </w:rPr>
              <w:t>经隔油沉淀处理后回用于</w:t>
            </w:r>
            <w:r>
              <w:rPr>
                <w:rFonts w:hint="eastAsia"/>
                <w:szCs w:val="21"/>
              </w:rPr>
              <w:t>机械冲洗</w:t>
            </w:r>
          </w:p>
        </w:tc>
        <w:tc>
          <w:tcPr>
            <w:tcW w:w="2065" w:type="dxa"/>
            <w:tcBorders>
              <w:top w:val="single" w:color="auto" w:sz="4" w:space="0"/>
              <w:left w:val="single" w:color="auto" w:sz="4" w:space="0"/>
              <w:bottom w:val="single" w:color="auto" w:sz="4" w:space="0"/>
              <w:right w:val="single" w:color="auto" w:sz="4" w:space="0"/>
            </w:tcBorders>
            <w:vAlign w:val="center"/>
          </w:tcPr>
          <w:p w14:paraId="17892E16">
            <w:pPr>
              <w:spacing w:line="240" w:lineRule="auto"/>
              <w:rPr>
                <w:color w:val="000000"/>
                <w:kern w:val="0"/>
              </w:rPr>
            </w:pPr>
            <w:r>
              <w:rPr>
                <w:rFonts w:hint="eastAsia"/>
                <w:szCs w:val="21"/>
              </w:rPr>
              <w:t>机械冲洗废水</w:t>
            </w:r>
            <w:r>
              <w:rPr>
                <w:rFonts w:hint="eastAsia"/>
                <w:color w:val="000000"/>
                <w:szCs w:val="21"/>
              </w:rPr>
              <w:t>得到妥善处置，不外排</w:t>
            </w:r>
          </w:p>
        </w:tc>
      </w:tr>
      <w:tr w14:paraId="3B25AC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00" w:hRule="atLeast"/>
          <w:jc w:val="center"/>
        </w:trPr>
        <w:tc>
          <w:tcPr>
            <w:tcW w:w="9072" w:type="dxa"/>
            <w:vMerge w:val="continue"/>
            <w:tcBorders>
              <w:top w:val="single" w:color="auto" w:sz="4" w:space="0"/>
              <w:left w:val="single" w:color="auto" w:sz="4" w:space="0"/>
              <w:bottom w:val="single" w:color="auto" w:sz="4" w:space="0"/>
              <w:right w:val="single" w:color="auto" w:sz="4" w:space="0"/>
            </w:tcBorders>
            <w:vAlign w:val="center"/>
          </w:tcPr>
          <w:p w14:paraId="564A3B48">
            <w:pPr>
              <w:widowControl/>
              <w:spacing w:line="240" w:lineRule="auto"/>
              <w:jc w:val="left"/>
              <w:rPr>
                <w:color w:val="000000"/>
                <w:kern w:val="0"/>
                <w:sz w:val="28"/>
                <w:szCs w:val="28"/>
              </w:rPr>
            </w:pPr>
          </w:p>
        </w:tc>
        <w:tc>
          <w:tcPr>
            <w:tcW w:w="720" w:type="dxa"/>
            <w:tcBorders>
              <w:top w:val="single" w:color="auto" w:sz="4" w:space="0"/>
              <w:left w:val="single" w:color="auto" w:sz="4" w:space="0"/>
              <w:bottom w:val="single" w:color="auto" w:sz="4" w:space="0"/>
              <w:right w:val="single" w:color="auto" w:sz="4" w:space="0"/>
            </w:tcBorders>
            <w:vAlign w:val="center"/>
          </w:tcPr>
          <w:p w14:paraId="3809CCC5">
            <w:pPr>
              <w:spacing w:line="240" w:lineRule="auto"/>
              <w:jc w:val="center"/>
              <w:rPr>
                <w:color w:val="000000"/>
                <w:szCs w:val="21"/>
              </w:rPr>
            </w:pPr>
            <w:r>
              <w:rPr>
                <w:rFonts w:hint="eastAsia"/>
                <w:color w:val="000000"/>
                <w:szCs w:val="21"/>
              </w:rPr>
              <w:t>运</w:t>
            </w:r>
          </w:p>
          <w:p w14:paraId="263C0521">
            <w:pPr>
              <w:spacing w:line="240" w:lineRule="auto"/>
              <w:jc w:val="center"/>
              <w:rPr>
                <w:color w:val="000000"/>
                <w:szCs w:val="21"/>
              </w:rPr>
            </w:pPr>
            <w:r>
              <w:rPr>
                <w:rFonts w:hint="eastAsia"/>
                <w:color w:val="000000"/>
                <w:szCs w:val="21"/>
              </w:rPr>
              <w:t>行</w:t>
            </w:r>
          </w:p>
          <w:p w14:paraId="32037EEE">
            <w:pPr>
              <w:spacing w:line="240" w:lineRule="auto"/>
              <w:jc w:val="center"/>
              <w:rPr>
                <w:color w:val="000000"/>
                <w:szCs w:val="21"/>
              </w:rPr>
            </w:pPr>
            <w:r>
              <w:rPr>
                <w:rFonts w:hint="eastAsia"/>
                <w:color w:val="000000"/>
                <w:szCs w:val="21"/>
              </w:rPr>
              <w:t>期</w:t>
            </w:r>
          </w:p>
        </w:tc>
        <w:tc>
          <w:tcPr>
            <w:tcW w:w="1611" w:type="dxa"/>
            <w:tcBorders>
              <w:top w:val="single" w:color="auto" w:sz="4" w:space="0"/>
              <w:left w:val="single" w:color="auto" w:sz="4" w:space="0"/>
              <w:bottom w:val="single" w:color="auto" w:sz="4" w:space="0"/>
              <w:right w:val="single" w:color="auto" w:sz="4" w:space="0"/>
            </w:tcBorders>
            <w:vAlign w:val="center"/>
          </w:tcPr>
          <w:p w14:paraId="5B15B47C">
            <w:pPr>
              <w:spacing w:line="240" w:lineRule="auto"/>
              <w:jc w:val="center"/>
              <w:rPr>
                <w:color w:val="000000"/>
                <w:szCs w:val="21"/>
              </w:rPr>
            </w:pPr>
            <w:r>
              <w:rPr>
                <w:rFonts w:hint="eastAsia"/>
                <w:color w:val="000000"/>
                <w:szCs w:val="21"/>
              </w:rPr>
              <w:t>生活污水</w:t>
            </w:r>
          </w:p>
        </w:tc>
        <w:tc>
          <w:tcPr>
            <w:tcW w:w="1566" w:type="dxa"/>
            <w:tcBorders>
              <w:top w:val="single" w:color="auto" w:sz="4" w:space="0"/>
              <w:left w:val="single" w:color="auto" w:sz="4" w:space="0"/>
              <w:bottom w:val="single" w:color="auto" w:sz="4" w:space="0"/>
              <w:right w:val="single" w:color="auto" w:sz="4" w:space="0"/>
            </w:tcBorders>
            <w:vAlign w:val="center"/>
          </w:tcPr>
          <w:p w14:paraId="6B8494BC">
            <w:pPr>
              <w:spacing w:line="240" w:lineRule="auto"/>
              <w:rPr>
                <w:color w:val="000000"/>
                <w:szCs w:val="21"/>
              </w:rPr>
            </w:pPr>
            <w:r>
              <w:rPr>
                <w:color w:val="000000"/>
                <w:szCs w:val="21"/>
              </w:rPr>
              <w:t>COD</w:t>
            </w:r>
            <w:r>
              <w:rPr>
                <w:color w:val="000000"/>
                <w:szCs w:val="21"/>
                <w:vertAlign w:val="subscript"/>
              </w:rPr>
              <w:t>cr</w:t>
            </w:r>
            <w:r>
              <w:rPr>
                <w:rFonts w:hint="eastAsia"/>
                <w:color w:val="000000"/>
                <w:szCs w:val="21"/>
              </w:rPr>
              <w:t>、</w:t>
            </w:r>
            <w:r>
              <w:rPr>
                <w:color w:val="000000"/>
                <w:szCs w:val="21"/>
              </w:rPr>
              <w:t>BOD</w:t>
            </w:r>
            <w:r>
              <w:rPr>
                <w:color w:val="000000"/>
                <w:szCs w:val="21"/>
                <w:vertAlign w:val="subscript"/>
              </w:rPr>
              <w:t>5</w:t>
            </w:r>
            <w:r>
              <w:rPr>
                <w:rFonts w:hint="eastAsia"/>
                <w:color w:val="000000"/>
                <w:szCs w:val="21"/>
              </w:rPr>
              <w:t>、</w:t>
            </w:r>
            <w:r>
              <w:rPr>
                <w:color w:val="000000"/>
                <w:szCs w:val="21"/>
              </w:rPr>
              <w:t>SS</w:t>
            </w:r>
            <w:r>
              <w:rPr>
                <w:rFonts w:hint="eastAsia"/>
                <w:color w:val="000000"/>
                <w:szCs w:val="21"/>
              </w:rPr>
              <w:t>、</w:t>
            </w:r>
            <w:r>
              <w:rPr>
                <w:color w:val="000000"/>
                <w:szCs w:val="21"/>
              </w:rPr>
              <w:t>NH</w:t>
            </w:r>
            <w:r>
              <w:rPr>
                <w:color w:val="000000"/>
                <w:szCs w:val="21"/>
                <w:vertAlign w:val="subscript"/>
              </w:rPr>
              <w:t>3</w:t>
            </w:r>
            <w:r>
              <w:rPr>
                <w:color w:val="000000"/>
                <w:szCs w:val="21"/>
              </w:rPr>
              <w:t>-N</w:t>
            </w:r>
            <w:r>
              <w:rPr>
                <w:rFonts w:hint="eastAsia"/>
                <w:color w:val="000000"/>
                <w:szCs w:val="21"/>
              </w:rPr>
              <w:t>等</w:t>
            </w:r>
          </w:p>
        </w:tc>
        <w:tc>
          <w:tcPr>
            <w:tcW w:w="2390" w:type="dxa"/>
            <w:tcBorders>
              <w:top w:val="single" w:color="auto" w:sz="4" w:space="0"/>
              <w:left w:val="single" w:color="auto" w:sz="4" w:space="0"/>
              <w:bottom w:val="single" w:color="auto" w:sz="4" w:space="0"/>
              <w:right w:val="single" w:color="auto" w:sz="4" w:space="0"/>
            </w:tcBorders>
            <w:vAlign w:val="center"/>
          </w:tcPr>
          <w:p w14:paraId="76F8DBA0">
            <w:pPr>
              <w:spacing w:line="240" w:lineRule="auto"/>
              <w:rPr>
                <w:color w:val="000000"/>
                <w:szCs w:val="21"/>
              </w:rPr>
            </w:pPr>
            <w:r>
              <w:rPr>
                <w:rFonts w:hint="eastAsia"/>
                <w:color w:val="000000"/>
                <w:szCs w:val="21"/>
              </w:rPr>
              <w:t>厕所污水经化粪池、食堂污水经隔油池预处理，再送站内地埋式污水处理装置处理达标后回用于站区绿化</w:t>
            </w:r>
          </w:p>
        </w:tc>
        <w:tc>
          <w:tcPr>
            <w:tcW w:w="2065" w:type="dxa"/>
            <w:tcBorders>
              <w:top w:val="single" w:color="auto" w:sz="4" w:space="0"/>
              <w:left w:val="single" w:color="auto" w:sz="4" w:space="0"/>
              <w:bottom w:val="single" w:color="auto" w:sz="4" w:space="0"/>
              <w:right w:val="single" w:color="auto" w:sz="4" w:space="0"/>
            </w:tcBorders>
            <w:vAlign w:val="center"/>
          </w:tcPr>
          <w:p w14:paraId="031C88A1">
            <w:pPr>
              <w:spacing w:line="240" w:lineRule="auto"/>
              <w:rPr>
                <w:color w:val="000000"/>
                <w:szCs w:val="21"/>
              </w:rPr>
            </w:pPr>
            <w:r>
              <w:rPr>
                <w:rFonts w:hint="eastAsia"/>
                <w:color w:val="000000"/>
                <w:szCs w:val="21"/>
              </w:rPr>
              <w:t>生活污水得到妥善处置，不外排</w:t>
            </w:r>
          </w:p>
        </w:tc>
      </w:tr>
      <w:tr w14:paraId="60F269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20" w:type="dxa"/>
            <w:vMerge w:val="restart"/>
            <w:tcBorders>
              <w:top w:val="single" w:color="auto" w:sz="4" w:space="0"/>
              <w:left w:val="single" w:color="auto" w:sz="4" w:space="0"/>
              <w:bottom w:val="single" w:color="auto" w:sz="4" w:space="0"/>
              <w:right w:val="single" w:color="auto" w:sz="4" w:space="0"/>
            </w:tcBorders>
            <w:vAlign w:val="center"/>
          </w:tcPr>
          <w:p w14:paraId="6F2CB287">
            <w:pPr>
              <w:spacing w:line="400" w:lineRule="exact"/>
              <w:jc w:val="center"/>
              <w:rPr>
                <w:color w:val="000000"/>
                <w:kern w:val="0"/>
                <w:sz w:val="28"/>
                <w:szCs w:val="28"/>
              </w:rPr>
            </w:pPr>
            <w:r>
              <w:rPr>
                <w:rFonts w:hint="eastAsia"/>
                <w:color w:val="000000"/>
                <w:kern w:val="0"/>
                <w:sz w:val="28"/>
                <w:szCs w:val="28"/>
              </w:rPr>
              <w:t>固</w:t>
            </w:r>
          </w:p>
          <w:p w14:paraId="1CD45110">
            <w:pPr>
              <w:spacing w:line="400" w:lineRule="exact"/>
              <w:jc w:val="center"/>
              <w:rPr>
                <w:color w:val="000000"/>
                <w:kern w:val="0"/>
                <w:sz w:val="28"/>
                <w:szCs w:val="28"/>
              </w:rPr>
            </w:pPr>
            <w:r>
              <w:rPr>
                <w:rFonts w:hint="eastAsia"/>
                <w:color w:val="000000"/>
                <w:kern w:val="0"/>
                <w:sz w:val="28"/>
                <w:szCs w:val="28"/>
              </w:rPr>
              <w:t>体</w:t>
            </w:r>
          </w:p>
          <w:p w14:paraId="7F74D569">
            <w:pPr>
              <w:spacing w:line="400" w:lineRule="exact"/>
              <w:jc w:val="center"/>
              <w:rPr>
                <w:color w:val="000000"/>
                <w:kern w:val="0"/>
                <w:sz w:val="28"/>
                <w:szCs w:val="28"/>
              </w:rPr>
            </w:pPr>
            <w:r>
              <w:rPr>
                <w:rFonts w:hint="eastAsia"/>
                <w:color w:val="000000"/>
                <w:kern w:val="0"/>
                <w:sz w:val="28"/>
                <w:szCs w:val="28"/>
              </w:rPr>
              <w:t>废</w:t>
            </w:r>
          </w:p>
          <w:p w14:paraId="4313E75C">
            <w:pPr>
              <w:spacing w:line="400" w:lineRule="exact"/>
              <w:jc w:val="center"/>
              <w:rPr>
                <w:color w:val="000000"/>
                <w:kern w:val="0"/>
                <w:sz w:val="28"/>
                <w:szCs w:val="28"/>
              </w:rPr>
            </w:pPr>
            <w:r>
              <w:rPr>
                <w:rFonts w:hint="eastAsia"/>
                <w:color w:val="000000"/>
                <w:kern w:val="0"/>
                <w:sz w:val="28"/>
                <w:szCs w:val="28"/>
              </w:rPr>
              <w:t>物</w:t>
            </w:r>
          </w:p>
        </w:tc>
        <w:tc>
          <w:tcPr>
            <w:tcW w:w="720" w:type="dxa"/>
            <w:tcBorders>
              <w:top w:val="single" w:color="auto" w:sz="4" w:space="0"/>
              <w:left w:val="single" w:color="auto" w:sz="4" w:space="0"/>
              <w:bottom w:val="single" w:color="auto" w:sz="4" w:space="0"/>
              <w:right w:val="single" w:color="auto" w:sz="4" w:space="0"/>
            </w:tcBorders>
            <w:vAlign w:val="center"/>
          </w:tcPr>
          <w:p w14:paraId="41A7469E">
            <w:pPr>
              <w:spacing w:line="240" w:lineRule="auto"/>
              <w:jc w:val="center"/>
              <w:rPr>
                <w:color w:val="000000"/>
                <w:szCs w:val="21"/>
              </w:rPr>
            </w:pPr>
            <w:r>
              <w:rPr>
                <w:rFonts w:hint="eastAsia"/>
                <w:color w:val="000000"/>
                <w:szCs w:val="21"/>
              </w:rPr>
              <w:t>施</w:t>
            </w:r>
          </w:p>
          <w:p w14:paraId="49D03439">
            <w:pPr>
              <w:spacing w:line="240" w:lineRule="auto"/>
              <w:jc w:val="center"/>
              <w:rPr>
                <w:color w:val="000000"/>
                <w:szCs w:val="21"/>
              </w:rPr>
            </w:pPr>
            <w:r>
              <w:rPr>
                <w:rFonts w:hint="eastAsia"/>
                <w:color w:val="000000"/>
                <w:szCs w:val="21"/>
              </w:rPr>
              <w:t>工</w:t>
            </w:r>
          </w:p>
          <w:p w14:paraId="0C39E5BE">
            <w:pPr>
              <w:spacing w:line="240" w:lineRule="auto"/>
              <w:jc w:val="center"/>
              <w:rPr>
                <w:color w:val="000000"/>
                <w:szCs w:val="21"/>
              </w:rPr>
            </w:pPr>
            <w:r>
              <w:rPr>
                <w:rFonts w:hint="eastAsia"/>
                <w:color w:val="000000"/>
                <w:szCs w:val="21"/>
              </w:rPr>
              <w:t>期</w:t>
            </w:r>
          </w:p>
        </w:tc>
        <w:tc>
          <w:tcPr>
            <w:tcW w:w="1611" w:type="dxa"/>
            <w:tcBorders>
              <w:top w:val="single" w:color="auto" w:sz="4" w:space="0"/>
              <w:left w:val="single" w:color="auto" w:sz="4" w:space="0"/>
              <w:bottom w:val="single" w:color="auto" w:sz="4" w:space="0"/>
              <w:right w:val="single" w:color="auto" w:sz="4" w:space="0"/>
            </w:tcBorders>
            <w:vAlign w:val="center"/>
          </w:tcPr>
          <w:p w14:paraId="33358F6C">
            <w:pPr>
              <w:spacing w:line="240" w:lineRule="auto"/>
              <w:jc w:val="center"/>
              <w:rPr>
                <w:color w:val="000000"/>
                <w:szCs w:val="21"/>
              </w:rPr>
            </w:pPr>
            <w:r>
              <w:rPr>
                <w:rFonts w:hint="eastAsia"/>
                <w:szCs w:val="21"/>
              </w:rPr>
              <w:t>施工</w:t>
            </w:r>
          </w:p>
        </w:tc>
        <w:tc>
          <w:tcPr>
            <w:tcW w:w="1566" w:type="dxa"/>
            <w:tcBorders>
              <w:top w:val="single" w:color="auto" w:sz="4" w:space="0"/>
              <w:left w:val="single" w:color="auto" w:sz="4" w:space="0"/>
              <w:bottom w:val="single" w:color="auto" w:sz="4" w:space="0"/>
              <w:right w:val="single" w:color="auto" w:sz="4" w:space="0"/>
            </w:tcBorders>
            <w:vAlign w:val="center"/>
          </w:tcPr>
          <w:p w14:paraId="3521D392">
            <w:pPr>
              <w:spacing w:line="240" w:lineRule="auto"/>
              <w:jc w:val="center"/>
              <w:rPr>
                <w:color w:val="000000"/>
                <w:kern w:val="0"/>
              </w:rPr>
            </w:pPr>
            <w:r>
              <w:rPr>
                <w:rFonts w:hint="eastAsia"/>
                <w:color w:val="000000"/>
                <w:szCs w:val="21"/>
              </w:rPr>
              <w:t>生活垃圾</w:t>
            </w:r>
          </w:p>
        </w:tc>
        <w:tc>
          <w:tcPr>
            <w:tcW w:w="2390" w:type="dxa"/>
            <w:tcBorders>
              <w:top w:val="single" w:color="auto" w:sz="4" w:space="0"/>
              <w:left w:val="single" w:color="auto" w:sz="4" w:space="0"/>
              <w:bottom w:val="single" w:color="auto" w:sz="4" w:space="0"/>
              <w:right w:val="single" w:color="auto" w:sz="4" w:space="0"/>
            </w:tcBorders>
            <w:vAlign w:val="center"/>
          </w:tcPr>
          <w:p w14:paraId="7C698A06">
            <w:pPr>
              <w:spacing w:line="240" w:lineRule="auto"/>
              <w:rPr>
                <w:color w:val="000000"/>
                <w:kern w:val="0"/>
              </w:rPr>
            </w:pPr>
            <w:r>
              <w:rPr>
                <w:rFonts w:hint="eastAsia"/>
                <w:color w:val="000000"/>
                <w:szCs w:val="21"/>
              </w:rPr>
              <w:t>由当地环卫部门定时清运</w:t>
            </w:r>
          </w:p>
        </w:tc>
        <w:tc>
          <w:tcPr>
            <w:tcW w:w="2065" w:type="dxa"/>
            <w:vMerge w:val="restart"/>
            <w:tcBorders>
              <w:top w:val="single" w:color="auto" w:sz="4" w:space="0"/>
              <w:left w:val="single" w:color="auto" w:sz="4" w:space="0"/>
              <w:bottom w:val="single" w:color="auto" w:sz="4" w:space="0"/>
              <w:right w:val="single" w:color="auto" w:sz="4" w:space="0"/>
            </w:tcBorders>
            <w:vAlign w:val="center"/>
          </w:tcPr>
          <w:p w14:paraId="1A4568DD">
            <w:pPr>
              <w:spacing w:line="240" w:lineRule="auto"/>
              <w:rPr>
                <w:color w:val="000000"/>
                <w:kern w:val="0"/>
              </w:rPr>
            </w:pPr>
            <w:r>
              <w:rPr>
                <w:rFonts w:hint="eastAsia"/>
              </w:rPr>
              <w:t>全部</w:t>
            </w:r>
            <w:r>
              <w:rPr>
                <w:rFonts w:hint="eastAsia"/>
                <w:color w:val="000000"/>
                <w:szCs w:val="21"/>
              </w:rPr>
              <w:t>得到</w:t>
            </w:r>
            <w:r>
              <w:rPr>
                <w:rFonts w:hint="eastAsia"/>
              </w:rPr>
              <w:t>妥善处置，</w:t>
            </w:r>
            <w:r>
              <w:rPr>
                <w:rFonts w:hint="eastAsia"/>
                <w:color w:val="000000"/>
                <w:szCs w:val="21"/>
              </w:rPr>
              <w:t>不外排</w:t>
            </w:r>
          </w:p>
        </w:tc>
      </w:tr>
      <w:tr w14:paraId="6F04B6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9072" w:type="dxa"/>
            <w:vMerge w:val="continue"/>
            <w:tcBorders>
              <w:top w:val="single" w:color="auto" w:sz="4" w:space="0"/>
              <w:left w:val="single" w:color="auto" w:sz="4" w:space="0"/>
              <w:bottom w:val="single" w:color="auto" w:sz="4" w:space="0"/>
              <w:right w:val="single" w:color="auto" w:sz="4" w:space="0"/>
            </w:tcBorders>
            <w:vAlign w:val="center"/>
          </w:tcPr>
          <w:p w14:paraId="185502BA">
            <w:pPr>
              <w:widowControl/>
              <w:spacing w:line="240" w:lineRule="auto"/>
              <w:jc w:val="left"/>
              <w:rPr>
                <w:color w:val="000000"/>
                <w:kern w:val="0"/>
                <w:sz w:val="28"/>
                <w:szCs w:val="28"/>
              </w:rPr>
            </w:pPr>
          </w:p>
        </w:tc>
        <w:tc>
          <w:tcPr>
            <w:tcW w:w="720" w:type="dxa"/>
            <w:vMerge w:val="restart"/>
            <w:tcBorders>
              <w:top w:val="single" w:color="auto" w:sz="4" w:space="0"/>
              <w:left w:val="single" w:color="auto" w:sz="4" w:space="0"/>
              <w:bottom w:val="single" w:color="auto" w:sz="4" w:space="0"/>
              <w:right w:val="single" w:color="auto" w:sz="4" w:space="0"/>
            </w:tcBorders>
            <w:vAlign w:val="center"/>
          </w:tcPr>
          <w:p w14:paraId="1630B880">
            <w:pPr>
              <w:spacing w:line="240" w:lineRule="auto"/>
              <w:jc w:val="center"/>
              <w:rPr>
                <w:color w:val="000000"/>
                <w:szCs w:val="21"/>
              </w:rPr>
            </w:pPr>
            <w:r>
              <w:rPr>
                <w:rFonts w:hint="eastAsia"/>
                <w:color w:val="000000"/>
                <w:szCs w:val="21"/>
              </w:rPr>
              <w:t>运</w:t>
            </w:r>
          </w:p>
          <w:p w14:paraId="1BE4CF8F">
            <w:pPr>
              <w:spacing w:line="240" w:lineRule="auto"/>
              <w:jc w:val="center"/>
              <w:rPr>
                <w:color w:val="000000"/>
                <w:szCs w:val="21"/>
              </w:rPr>
            </w:pPr>
            <w:r>
              <w:rPr>
                <w:rFonts w:hint="eastAsia"/>
                <w:color w:val="000000"/>
                <w:szCs w:val="21"/>
              </w:rPr>
              <w:t>行</w:t>
            </w:r>
          </w:p>
          <w:p w14:paraId="3D246BA5">
            <w:pPr>
              <w:spacing w:line="240" w:lineRule="auto"/>
              <w:jc w:val="center"/>
              <w:rPr>
                <w:color w:val="000000"/>
                <w:kern w:val="0"/>
              </w:rPr>
            </w:pPr>
            <w:r>
              <w:rPr>
                <w:rFonts w:hint="eastAsia"/>
                <w:color w:val="000000"/>
                <w:szCs w:val="21"/>
              </w:rPr>
              <w:t>期</w:t>
            </w:r>
          </w:p>
        </w:tc>
        <w:tc>
          <w:tcPr>
            <w:tcW w:w="1611" w:type="dxa"/>
            <w:tcBorders>
              <w:top w:val="single" w:color="auto" w:sz="4" w:space="0"/>
              <w:left w:val="single" w:color="auto" w:sz="4" w:space="0"/>
              <w:bottom w:val="single" w:color="auto" w:sz="4" w:space="0"/>
              <w:right w:val="single" w:color="auto" w:sz="4" w:space="0"/>
            </w:tcBorders>
            <w:vAlign w:val="center"/>
          </w:tcPr>
          <w:p w14:paraId="57367610">
            <w:pPr>
              <w:spacing w:line="240" w:lineRule="auto"/>
              <w:jc w:val="center"/>
              <w:rPr>
                <w:color w:val="000000"/>
                <w:szCs w:val="21"/>
              </w:rPr>
            </w:pPr>
            <w:r>
              <w:rPr>
                <w:rFonts w:hint="eastAsia"/>
                <w:kern w:val="0"/>
                <w:szCs w:val="21"/>
              </w:rPr>
              <w:t>运行管理人员</w:t>
            </w:r>
          </w:p>
        </w:tc>
        <w:tc>
          <w:tcPr>
            <w:tcW w:w="1566" w:type="dxa"/>
            <w:tcBorders>
              <w:top w:val="single" w:color="auto" w:sz="4" w:space="0"/>
              <w:left w:val="single" w:color="auto" w:sz="4" w:space="0"/>
              <w:bottom w:val="single" w:color="auto" w:sz="4" w:space="0"/>
              <w:right w:val="single" w:color="auto" w:sz="4" w:space="0"/>
            </w:tcBorders>
            <w:vAlign w:val="center"/>
          </w:tcPr>
          <w:p w14:paraId="2B691688">
            <w:pPr>
              <w:spacing w:line="240" w:lineRule="auto"/>
              <w:jc w:val="center"/>
              <w:rPr>
                <w:color w:val="000000"/>
                <w:szCs w:val="21"/>
              </w:rPr>
            </w:pPr>
            <w:r>
              <w:rPr>
                <w:rFonts w:hint="eastAsia"/>
                <w:color w:val="000000"/>
                <w:szCs w:val="21"/>
              </w:rPr>
              <w:t>生活垃圾</w:t>
            </w:r>
          </w:p>
        </w:tc>
        <w:tc>
          <w:tcPr>
            <w:tcW w:w="2390" w:type="dxa"/>
            <w:vMerge w:val="restart"/>
            <w:tcBorders>
              <w:top w:val="single" w:color="auto" w:sz="4" w:space="0"/>
              <w:left w:val="single" w:color="auto" w:sz="4" w:space="0"/>
              <w:bottom w:val="single" w:color="auto" w:sz="4" w:space="0"/>
              <w:right w:val="single" w:color="auto" w:sz="4" w:space="0"/>
            </w:tcBorders>
            <w:vAlign w:val="center"/>
          </w:tcPr>
          <w:p w14:paraId="5906E57A">
            <w:pPr>
              <w:spacing w:line="240" w:lineRule="auto"/>
              <w:rPr>
                <w:color w:val="000000"/>
                <w:kern w:val="0"/>
              </w:rPr>
            </w:pPr>
            <w:r>
              <w:rPr>
                <w:rFonts w:hint="eastAsia"/>
                <w:color w:val="000000"/>
                <w:szCs w:val="21"/>
              </w:rPr>
              <w:t>由当地环卫部门定时清运</w:t>
            </w:r>
          </w:p>
        </w:tc>
        <w:tc>
          <w:tcPr>
            <w:tcW w:w="2065" w:type="dxa"/>
            <w:vMerge w:val="continue"/>
            <w:tcBorders>
              <w:top w:val="single" w:color="auto" w:sz="4" w:space="0"/>
              <w:left w:val="single" w:color="auto" w:sz="4" w:space="0"/>
              <w:bottom w:val="single" w:color="auto" w:sz="4" w:space="0"/>
              <w:right w:val="single" w:color="auto" w:sz="4" w:space="0"/>
            </w:tcBorders>
            <w:vAlign w:val="center"/>
          </w:tcPr>
          <w:p w14:paraId="603FEB28">
            <w:pPr>
              <w:widowControl/>
              <w:spacing w:line="240" w:lineRule="auto"/>
              <w:jc w:val="left"/>
              <w:rPr>
                <w:color w:val="000000"/>
                <w:kern w:val="0"/>
              </w:rPr>
            </w:pPr>
          </w:p>
        </w:tc>
      </w:tr>
      <w:tr w14:paraId="4A92BF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9072" w:type="dxa"/>
            <w:vMerge w:val="continue"/>
            <w:tcBorders>
              <w:top w:val="single" w:color="auto" w:sz="4" w:space="0"/>
              <w:left w:val="single" w:color="auto" w:sz="4" w:space="0"/>
              <w:bottom w:val="single" w:color="auto" w:sz="4" w:space="0"/>
              <w:right w:val="single" w:color="auto" w:sz="4" w:space="0"/>
            </w:tcBorders>
            <w:vAlign w:val="center"/>
          </w:tcPr>
          <w:p w14:paraId="317C49B5">
            <w:pPr>
              <w:widowControl/>
              <w:spacing w:line="240" w:lineRule="auto"/>
              <w:jc w:val="left"/>
              <w:rPr>
                <w:color w:val="000000"/>
                <w:kern w:val="0"/>
                <w:sz w:val="28"/>
                <w:szCs w:val="28"/>
              </w:rPr>
            </w:pPr>
          </w:p>
        </w:tc>
        <w:tc>
          <w:tcPr>
            <w:tcW w:w="720" w:type="dxa"/>
            <w:vMerge w:val="continue"/>
            <w:tcBorders>
              <w:top w:val="single" w:color="auto" w:sz="4" w:space="0"/>
              <w:left w:val="single" w:color="auto" w:sz="4" w:space="0"/>
              <w:bottom w:val="single" w:color="auto" w:sz="4" w:space="0"/>
              <w:right w:val="single" w:color="auto" w:sz="4" w:space="0"/>
            </w:tcBorders>
            <w:vAlign w:val="center"/>
          </w:tcPr>
          <w:p w14:paraId="21E3F6A0">
            <w:pPr>
              <w:widowControl/>
              <w:spacing w:line="240" w:lineRule="auto"/>
              <w:jc w:val="left"/>
              <w:rPr>
                <w:color w:val="000000"/>
                <w:kern w:val="0"/>
              </w:rPr>
            </w:pPr>
          </w:p>
        </w:tc>
        <w:tc>
          <w:tcPr>
            <w:tcW w:w="1611" w:type="dxa"/>
            <w:tcBorders>
              <w:top w:val="single" w:color="auto" w:sz="4" w:space="0"/>
              <w:left w:val="single" w:color="auto" w:sz="4" w:space="0"/>
              <w:bottom w:val="single" w:color="auto" w:sz="4" w:space="0"/>
              <w:right w:val="single" w:color="auto" w:sz="4" w:space="0"/>
            </w:tcBorders>
            <w:vAlign w:val="center"/>
          </w:tcPr>
          <w:p w14:paraId="58EAFD51">
            <w:pPr>
              <w:spacing w:line="240" w:lineRule="auto"/>
              <w:jc w:val="center"/>
              <w:rPr>
                <w:kern w:val="0"/>
                <w:szCs w:val="21"/>
              </w:rPr>
            </w:pPr>
            <w:r>
              <w:rPr>
                <w:rFonts w:hint="eastAsia"/>
                <w:kern w:val="0"/>
                <w:szCs w:val="21"/>
              </w:rPr>
              <w:t>污水处理站</w:t>
            </w:r>
          </w:p>
        </w:tc>
        <w:tc>
          <w:tcPr>
            <w:tcW w:w="1566" w:type="dxa"/>
            <w:tcBorders>
              <w:top w:val="single" w:color="auto" w:sz="4" w:space="0"/>
              <w:left w:val="single" w:color="auto" w:sz="4" w:space="0"/>
              <w:bottom w:val="single" w:color="auto" w:sz="4" w:space="0"/>
              <w:right w:val="single" w:color="auto" w:sz="4" w:space="0"/>
            </w:tcBorders>
            <w:vAlign w:val="center"/>
          </w:tcPr>
          <w:p w14:paraId="1967F4FF">
            <w:pPr>
              <w:spacing w:line="240" w:lineRule="auto"/>
              <w:jc w:val="center"/>
              <w:rPr>
                <w:color w:val="000000"/>
                <w:szCs w:val="21"/>
              </w:rPr>
            </w:pPr>
            <w:r>
              <w:rPr>
                <w:rFonts w:hint="eastAsia"/>
                <w:color w:val="000000"/>
                <w:szCs w:val="21"/>
              </w:rPr>
              <w:t>污泥</w:t>
            </w:r>
          </w:p>
        </w:tc>
        <w:tc>
          <w:tcPr>
            <w:tcW w:w="2390" w:type="dxa"/>
            <w:vMerge w:val="continue"/>
            <w:tcBorders>
              <w:top w:val="single" w:color="auto" w:sz="4" w:space="0"/>
              <w:left w:val="single" w:color="auto" w:sz="4" w:space="0"/>
              <w:bottom w:val="single" w:color="auto" w:sz="4" w:space="0"/>
              <w:right w:val="single" w:color="auto" w:sz="4" w:space="0"/>
            </w:tcBorders>
            <w:vAlign w:val="center"/>
          </w:tcPr>
          <w:p w14:paraId="0D2671CE">
            <w:pPr>
              <w:widowControl/>
              <w:spacing w:line="240" w:lineRule="auto"/>
              <w:jc w:val="left"/>
              <w:rPr>
                <w:color w:val="000000"/>
                <w:kern w:val="0"/>
              </w:rPr>
            </w:pPr>
          </w:p>
        </w:tc>
        <w:tc>
          <w:tcPr>
            <w:tcW w:w="2065" w:type="dxa"/>
            <w:vMerge w:val="continue"/>
            <w:tcBorders>
              <w:top w:val="single" w:color="auto" w:sz="4" w:space="0"/>
              <w:left w:val="single" w:color="auto" w:sz="4" w:space="0"/>
              <w:bottom w:val="single" w:color="auto" w:sz="4" w:space="0"/>
              <w:right w:val="single" w:color="auto" w:sz="4" w:space="0"/>
            </w:tcBorders>
            <w:vAlign w:val="center"/>
          </w:tcPr>
          <w:p w14:paraId="57414EED">
            <w:pPr>
              <w:widowControl/>
              <w:spacing w:line="240" w:lineRule="auto"/>
              <w:jc w:val="left"/>
              <w:rPr>
                <w:color w:val="000000"/>
                <w:kern w:val="0"/>
              </w:rPr>
            </w:pPr>
          </w:p>
        </w:tc>
      </w:tr>
      <w:tr w14:paraId="02E20F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9072" w:type="dxa"/>
            <w:vMerge w:val="continue"/>
            <w:tcBorders>
              <w:top w:val="single" w:color="auto" w:sz="4" w:space="0"/>
              <w:left w:val="single" w:color="auto" w:sz="4" w:space="0"/>
              <w:bottom w:val="single" w:color="auto" w:sz="4" w:space="0"/>
              <w:right w:val="single" w:color="auto" w:sz="4" w:space="0"/>
            </w:tcBorders>
            <w:vAlign w:val="center"/>
          </w:tcPr>
          <w:p w14:paraId="0FAE69B0">
            <w:pPr>
              <w:widowControl/>
              <w:spacing w:line="240" w:lineRule="auto"/>
              <w:jc w:val="left"/>
              <w:rPr>
                <w:color w:val="000000"/>
                <w:kern w:val="0"/>
                <w:sz w:val="28"/>
                <w:szCs w:val="28"/>
              </w:rPr>
            </w:pPr>
          </w:p>
        </w:tc>
        <w:tc>
          <w:tcPr>
            <w:tcW w:w="720" w:type="dxa"/>
            <w:vMerge w:val="continue"/>
            <w:tcBorders>
              <w:top w:val="single" w:color="auto" w:sz="4" w:space="0"/>
              <w:left w:val="single" w:color="auto" w:sz="4" w:space="0"/>
              <w:bottom w:val="single" w:color="auto" w:sz="4" w:space="0"/>
              <w:right w:val="single" w:color="auto" w:sz="4" w:space="0"/>
            </w:tcBorders>
            <w:vAlign w:val="center"/>
          </w:tcPr>
          <w:p w14:paraId="5C3A8242">
            <w:pPr>
              <w:widowControl/>
              <w:spacing w:line="240" w:lineRule="auto"/>
              <w:jc w:val="left"/>
              <w:rPr>
                <w:color w:val="000000"/>
                <w:kern w:val="0"/>
              </w:rPr>
            </w:pPr>
          </w:p>
        </w:tc>
        <w:tc>
          <w:tcPr>
            <w:tcW w:w="1611" w:type="dxa"/>
            <w:tcBorders>
              <w:top w:val="single" w:color="auto" w:sz="4" w:space="0"/>
              <w:left w:val="single" w:color="auto" w:sz="4" w:space="0"/>
              <w:bottom w:val="single" w:color="auto" w:sz="4" w:space="0"/>
              <w:right w:val="single" w:color="auto" w:sz="4" w:space="0"/>
            </w:tcBorders>
            <w:vAlign w:val="center"/>
          </w:tcPr>
          <w:p w14:paraId="35949B5C">
            <w:pPr>
              <w:spacing w:line="240" w:lineRule="auto"/>
              <w:ind w:left="-105" w:leftChars="-50" w:right="-105" w:rightChars="-50"/>
              <w:jc w:val="center"/>
              <w:rPr>
                <w:kern w:val="0"/>
                <w:szCs w:val="21"/>
              </w:rPr>
            </w:pPr>
            <w:r>
              <w:rPr>
                <w:rFonts w:hint="eastAsia"/>
                <w:kern w:val="0"/>
                <w:szCs w:val="21"/>
              </w:rPr>
              <w:t>风电场日常检修</w:t>
            </w:r>
          </w:p>
        </w:tc>
        <w:tc>
          <w:tcPr>
            <w:tcW w:w="1566" w:type="dxa"/>
            <w:tcBorders>
              <w:top w:val="single" w:color="auto" w:sz="4" w:space="0"/>
              <w:left w:val="single" w:color="auto" w:sz="4" w:space="0"/>
              <w:bottom w:val="single" w:color="auto" w:sz="4" w:space="0"/>
              <w:right w:val="single" w:color="auto" w:sz="4" w:space="0"/>
            </w:tcBorders>
            <w:vAlign w:val="center"/>
          </w:tcPr>
          <w:p w14:paraId="24AAFE59">
            <w:pPr>
              <w:spacing w:line="240" w:lineRule="auto"/>
              <w:jc w:val="center"/>
              <w:rPr>
                <w:color w:val="FF0000"/>
                <w:kern w:val="0"/>
                <w:szCs w:val="21"/>
              </w:rPr>
            </w:pPr>
            <w:r>
              <w:rPr>
                <w:rFonts w:hint="eastAsia"/>
                <w:color w:val="FF0000"/>
                <w:kern w:val="0"/>
                <w:szCs w:val="21"/>
              </w:rPr>
              <w:t>维修垃圾</w:t>
            </w:r>
          </w:p>
        </w:tc>
        <w:tc>
          <w:tcPr>
            <w:tcW w:w="2390" w:type="dxa"/>
            <w:tcBorders>
              <w:top w:val="single" w:color="auto" w:sz="4" w:space="0"/>
              <w:left w:val="single" w:color="auto" w:sz="4" w:space="0"/>
              <w:bottom w:val="single" w:color="auto" w:sz="4" w:space="0"/>
              <w:right w:val="single" w:color="auto" w:sz="4" w:space="0"/>
            </w:tcBorders>
            <w:vAlign w:val="center"/>
          </w:tcPr>
          <w:p w14:paraId="0FC9E715">
            <w:pPr>
              <w:spacing w:line="240" w:lineRule="auto"/>
              <w:rPr>
                <w:color w:val="000000"/>
                <w:szCs w:val="21"/>
              </w:rPr>
            </w:pPr>
            <w:r>
              <w:rPr>
                <w:rFonts w:hint="eastAsia"/>
                <w:color w:val="000000"/>
                <w:szCs w:val="21"/>
              </w:rPr>
              <w:t>经专门容器收集后暂时贮存于场内危险废物暂存间，委托有处理该危险废物资质的单位及时处置</w:t>
            </w:r>
          </w:p>
        </w:tc>
        <w:tc>
          <w:tcPr>
            <w:tcW w:w="2065" w:type="dxa"/>
            <w:vMerge w:val="continue"/>
            <w:tcBorders>
              <w:top w:val="single" w:color="auto" w:sz="4" w:space="0"/>
              <w:left w:val="single" w:color="auto" w:sz="4" w:space="0"/>
              <w:bottom w:val="single" w:color="auto" w:sz="4" w:space="0"/>
              <w:right w:val="single" w:color="auto" w:sz="4" w:space="0"/>
            </w:tcBorders>
            <w:vAlign w:val="center"/>
          </w:tcPr>
          <w:p w14:paraId="7DF0CC02">
            <w:pPr>
              <w:widowControl/>
              <w:spacing w:line="240" w:lineRule="auto"/>
              <w:jc w:val="left"/>
              <w:rPr>
                <w:color w:val="000000"/>
                <w:kern w:val="0"/>
              </w:rPr>
            </w:pPr>
          </w:p>
        </w:tc>
      </w:tr>
      <w:tr w14:paraId="040F59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9072" w:type="dxa"/>
            <w:vMerge w:val="continue"/>
            <w:tcBorders>
              <w:top w:val="single" w:color="auto" w:sz="4" w:space="0"/>
              <w:left w:val="single" w:color="auto" w:sz="4" w:space="0"/>
              <w:bottom w:val="single" w:color="auto" w:sz="4" w:space="0"/>
              <w:right w:val="single" w:color="auto" w:sz="4" w:space="0"/>
            </w:tcBorders>
            <w:vAlign w:val="center"/>
          </w:tcPr>
          <w:p w14:paraId="5B108EE9">
            <w:pPr>
              <w:widowControl/>
              <w:spacing w:line="240" w:lineRule="auto"/>
              <w:jc w:val="left"/>
              <w:rPr>
                <w:color w:val="000000"/>
                <w:kern w:val="0"/>
                <w:sz w:val="28"/>
                <w:szCs w:val="28"/>
              </w:rPr>
            </w:pPr>
          </w:p>
        </w:tc>
        <w:tc>
          <w:tcPr>
            <w:tcW w:w="720" w:type="dxa"/>
            <w:vMerge w:val="continue"/>
            <w:tcBorders>
              <w:top w:val="single" w:color="auto" w:sz="4" w:space="0"/>
              <w:left w:val="single" w:color="auto" w:sz="4" w:space="0"/>
              <w:bottom w:val="single" w:color="auto" w:sz="4" w:space="0"/>
              <w:right w:val="single" w:color="auto" w:sz="4" w:space="0"/>
            </w:tcBorders>
            <w:vAlign w:val="center"/>
          </w:tcPr>
          <w:p w14:paraId="78ACAA41">
            <w:pPr>
              <w:widowControl/>
              <w:spacing w:line="240" w:lineRule="auto"/>
              <w:jc w:val="left"/>
              <w:rPr>
                <w:color w:val="000000"/>
                <w:kern w:val="0"/>
              </w:rPr>
            </w:pPr>
          </w:p>
        </w:tc>
        <w:tc>
          <w:tcPr>
            <w:tcW w:w="1611" w:type="dxa"/>
            <w:tcBorders>
              <w:top w:val="single" w:color="auto" w:sz="4" w:space="0"/>
              <w:left w:val="single" w:color="auto" w:sz="4" w:space="0"/>
              <w:bottom w:val="single" w:color="auto" w:sz="4" w:space="0"/>
              <w:right w:val="single" w:color="auto" w:sz="4" w:space="0"/>
            </w:tcBorders>
            <w:vAlign w:val="center"/>
          </w:tcPr>
          <w:p w14:paraId="5F0A5544">
            <w:pPr>
              <w:spacing w:line="240" w:lineRule="auto"/>
              <w:jc w:val="center"/>
              <w:rPr>
                <w:kern w:val="0"/>
                <w:szCs w:val="21"/>
              </w:rPr>
            </w:pPr>
            <w:r>
              <w:rPr>
                <w:rFonts w:hint="eastAsia"/>
                <w:kern w:val="0"/>
                <w:szCs w:val="21"/>
              </w:rPr>
              <w:t>蓄电池室</w:t>
            </w:r>
          </w:p>
        </w:tc>
        <w:tc>
          <w:tcPr>
            <w:tcW w:w="1566" w:type="dxa"/>
            <w:tcBorders>
              <w:top w:val="single" w:color="auto" w:sz="4" w:space="0"/>
              <w:left w:val="single" w:color="auto" w:sz="4" w:space="0"/>
              <w:bottom w:val="single" w:color="auto" w:sz="4" w:space="0"/>
              <w:right w:val="single" w:color="auto" w:sz="4" w:space="0"/>
            </w:tcBorders>
            <w:vAlign w:val="center"/>
          </w:tcPr>
          <w:p w14:paraId="5865B6A1">
            <w:pPr>
              <w:spacing w:line="240" w:lineRule="auto"/>
              <w:jc w:val="center"/>
              <w:rPr>
                <w:kern w:val="0"/>
                <w:szCs w:val="21"/>
              </w:rPr>
            </w:pPr>
            <w:r>
              <w:rPr>
                <w:rFonts w:hint="eastAsia"/>
                <w:kern w:val="0"/>
                <w:szCs w:val="21"/>
              </w:rPr>
              <w:t>废蓄电池</w:t>
            </w:r>
          </w:p>
        </w:tc>
        <w:tc>
          <w:tcPr>
            <w:tcW w:w="2390" w:type="dxa"/>
            <w:tcBorders>
              <w:top w:val="single" w:color="auto" w:sz="4" w:space="0"/>
              <w:left w:val="single" w:color="auto" w:sz="4" w:space="0"/>
              <w:bottom w:val="single" w:color="auto" w:sz="4" w:space="0"/>
              <w:right w:val="single" w:color="auto" w:sz="4" w:space="0"/>
            </w:tcBorders>
            <w:vAlign w:val="center"/>
          </w:tcPr>
          <w:p w14:paraId="39AF6CD2">
            <w:pPr>
              <w:spacing w:line="240" w:lineRule="auto"/>
              <w:rPr>
                <w:color w:val="000000"/>
                <w:szCs w:val="21"/>
              </w:rPr>
            </w:pPr>
            <w:r>
              <w:rPr>
                <w:rFonts w:hint="eastAsia"/>
                <w:color w:val="000000"/>
                <w:szCs w:val="21"/>
              </w:rPr>
              <w:t>由蓄电池提供单位回收处置</w:t>
            </w:r>
          </w:p>
        </w:tc>
        <w:tc>
          <w:tcPr>
            <w:tcW w:w="2065" w:type="dxa"/>
            <w:vMerge w:val="continue"/>
            <w:tcBorders>
              <w:top w:val="single" w:color="auto" w:sz="4" w:space="0"/>
              <w:left w:val="single" w:color="auto" w:sz="4" w:space="0"/>
              <w:bottom w:val="single" w:color="auto" w:sz="4" w:space="0"/>
              <w:right w:val="single" w:color="auto" w:sz="4" w:space="0"/>
            </w:tcBorders>
            <w:vAlign w:val="center"/>
          </w:tcPr>
          <w:p w14:paraId="5D3AE05F">
            <w:pPr>
              <w:widowControl/>
              <w:spacing w:line="240" w:lineRule="auto"/>
              <w:jc w:val="left"/>
              <w:rPr>
                <w:color w:val="000000"/>
                <w:kern w:val="0"/>
              </w:rPr>
            </w:pPr>
          </w:p>
        </w:tc>
      </w:tr>
      <w:tr w14:paraId="2A8FA4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720" w:type="dxa"/>
            <w:vMerge w:val="restart"/>
            <w:tcBorders>
              <w:top w:val="single" w:color="auto" w:sz="4" w:space="0"/>
              <w:left w:val="single" w:color="auto" w:sz="4" w:space="0"/>
              <w:bottom w:val="single" w:color="auto" w:sz="4" w:space="0"/>
              <w:right w:val="single" w:color="auto" w:sz="4" w:space="0"/>
            </w:tcBorders>
            <w:vAlign w:val="center"/>
          </w:tcPr>
          <w:p w14:paraId="3593DEB5">
            <w:pPr>
              <w:spacing w:line="400" w:lineRule="exact"/>
              <w:jc w:val="center"/>
              <w:rPr>
                <w:color w:val="000000"/>
                <w:sz w:val="28"/>
                <w:szCs w:val="28"/>
              </w:rPr>
            </w:pPr>
            <w:r>
              <w:rPr>
                <w:rFonts w:hint="eastAsia"/>
                <w:color w:val="000000"/>
                <w:sz w:val="28"/>
                <w:szCs w:val="28"/>
              </w:rPr>
              <w:t>噪</w:t>
            </w:r>
          </w:p>
          <w:p w14:paraId="53103CCF">
            <w:pPr>
              <w:spacing w:line="240" w:lineRule="auto"/>
              <w:jc w:val="center"/>
              <w:rPr>
                <w:color w:val="000000"/>
                <w:kern w:val="0"/>
              </w:rPr>
            </w:pPr>
            <w:r>
              <w:rPr>
                <w:rFonts w:hint="eastAsia"/>
                <w:color w:val="000000"/>
                <w:sz w:val="28"/>
                <w:szCs w:val="28"/>
              </w:rPr>
              <w:t>声</w:t>
            </w:r>
          </w:p>
        </w:tc>
        <w:tc>
          <w:tcPr>
            <w:tcW w:w="720" w:type="dxa"/>
            <w:tcBorders>
              <w:top w:val="single" w:color="auto" w:sz="4" w:space="0"/>
              <w:left w:val="single" w:color="auto" w:sz="4" w:space="0"/>
              <w:bottom w:val="single" w:color="auto" w:sz="4" w:space="0"/>
              <w:right w:val="single" w:color="auto" w:sz="4" w:space="0"/>
            </w:tcBorders>
            <w:vAlign w:val="center"/>
          </w:tcPr>
          <w:p w14:paraId="1DEAA87C">
            <w:pPr>
              <w:spacing w:line="240" w:lineRule="auto"/>
              <w:jc w:val="center"/>
              <w:rPr>
                <w:color w:val="000000"/>
                <w:szCs w:val="21"/>
              </w:rPr>
            </w:pPr>
            <w:r>
              <w:rPr>
                <w:rFonts w:hint="eastAsia"/>
                <w:color w:val="000000"/>
                <w:szCs w:val="21"/>
              </w:rPr>
              <w:t>施</w:t>
            </w:r>
          </w:p>
          <w:p w14:paraId="36B4389E">
            <w:pPr>
              <w:spacing w:line="240" w:lineRule="auto"/>
              <w:jc w:val="center"/>
              <w:rPr>
                <w:color w:val="000000"/>
                <w:szCs w:val="21"/>
              </w:rPr>
            </w:pPr>
            <w:r>
              <w:rPr>
                <w:rFonts w:hint="eastAsia"/>
                <w:color w:val="000000"/>
                <w:szCs w:val="21"/>
              </w:rPr>
              <w:t>工</w:t>
            </w:r>
          </w:p>
          <w:p w14:paraId="30E467F6">
            <w:pPr>
              <w:spacing w:line="240" w:lineRule="auto"/>
              <w:jc w:val="center"/>
              <w:rPr>
                <w:color w:val="000000"/>
                <w:kern w:val="0"/>
              </w:rPr>
            </w:pPr>
            <w:r>
              <w:rPr>
                <w:rFonts w:hint="eastAsia"/>
                <w:color w:val="000000"/>
                <w:szCs w:val="21"/>
              </w:rPr>
              <w:t>期</w:t>
            </w:r>
          </w:p>
        </w:tc>
        <w:tc>
          <w:tcPr>
            <w:tcW w:w="1611" w:type="dxa"/>
            <w:tcBorders>
              <w:top w:val="single" w:color="auto" w:sz="4" w:space="0"/>
              <w:left w:val="single" w:color="auto" w:sz="4" w:space="0"/>
              <w:bottom w:val="single" w:color="auto" w:sz="4" w:space="0"/>
              <w:right w:val="single" w:color="auto" w:sz="4" w:space="0"/>
            </w:tcBorders>
            <w:vAlign w:val="center"/>
          </w:tcPr>
          <w:p w14:paraId="01D7465A">
            <w:pPr>
              <w:spacing w:line="240" w:lineRule="auto"/>
              <w:rPr>
                <w:color w:val="000000"/>
                <w:szCs w:val="21"/>
              </w:rPr>
            </w:pPr>
            <w:r>
              <w:rPr>
                <w:rFonts w:hint="eastAsia"/>
                <w:szCs w:val="21"/>
              </w:rPr>
              <w:t>施工机械、运输车辆</w:t>
            </w:r>
          </w:p>
        </w:tc>
        <w:tc>
          <w:tcPr>
            <w:tcW w:w="1566" w:type="dxa"/>
            <w:vMerge w:val="restart"/>
            <w:tcBorders>
              <w:top w:val="single" w:color="auto" w:sz="4" w:space="0"/>
              <w:left w:val="single" w:color="auto" w:sz="4" w:space="0"/>
              <w:bottom w:val="single" w:color="auto" w:sz="4" w:space="0"/>
              <w:right w:val="single" w:color="auto" w:sz="4" w:space="0"/>
            </w:tcBorders>
            <w:vAlign w:val="center"/>
          </w:tcPr>
          <w:p w14:paraId="77940D39">
            <w:pPr>
              <w:spacing w:line="240" w:lineRule="auto"/>
              <w:jc w:val="center"/>
              <w:rPr>
                <w:color w:val="000000"/>
                <w:szCs w:val="21"/>
              </w:rPr>
            </w:pPr>
            <w:r>
              <w:rPr>
                <w:color w:val="000000"/>
                <w:szCs w:val="21"/>
              </w:rPr>
              <w:t>L</w:t>
            </w:r>
            <w:r>
              <w:rPr>
                <w:color w:val="000000"/>
                <w:szCs w:val="21"/>
                <w:vertAlign w:val="subscript"/>
              </w:rPr>
              <w:t>eq</w:t>
            </w:r>
          </w:p>
        </w:tc>
        <w:tc>
          <w:tcPr>
            <w:tcW w:w="2390" w:type="dxa"/>
            <w:tcBorders>
              <w:top w:val="single" w:color="auto" w:sz="4" w:space="0"/>
              <w:left w:val="single" w:color="auto" w:sz="4" w:space="0"/>
              <w:bottom w:val="single" w:color="auto" w:sz="4" w:space="0"/>
              <w:right w:val="single" w:color="auto" w:sz="4" w:space="0"/>
            </w:tcBorders>
            <w:vAlign w:val="center"/>
          </w:tcPr>
          <w:p w14:paraId="31780AE8">
            <w:pPr>
              <w:spacing w:line="240" w:lineRule="auto"/>
              <w:rPr>
                <w:color w:val="000000"/>
                <w:szCs w:val="21"/>
              </w:rPr>
            </w:pPr>
            <w:r>
              <w:rPr>
                <w:rFonts w:hint="eastAsia"/>
                <w:bCs/>
                <w:snapToGrid w:val="0"/>
                <w:kern w:val="24"/>
                <w:szCs w:val="21"/>
              </w:rPr>
              <w:t>①科学安排工作时间，制定施工计划，尽可能避免大量高噪声设备同时施工，</w:t>
            </w:r>
            <w:r>
              <w:rPr>
                <w:rFonts w:hint="eastAsia"/>
                <w:color w:val="000000"/>
                <w:szCs w:val="21"/>
              </w:rPr>
              <w:t>禁止夜间施工</w:t>
            </w:r>
          </w:p>
          <w:p w14:paraId="44A9FFE3">
            <w:pPr>
              <w:spacing w:line="240" w:lineRule="auto"/>
              <w:rPr>
                <w:color w:val="000000"/>
                <w:szCs w:val="21"/>
              </w:rPr>
            </w:pPr>
            <w:r>
              <w:rPr>
                <w:rFonts w:hint="eastAsia"/>
                <w:color w:val="000000"/>
                <w:szCs w:val="21"/>
              </w:rPr>
              <w:t>②合理布置施工现场</w:t>
            </w:r>
          </w:p>
          <w:p w14:paraId="0F8089CD">
            <w:pPr>
              <w:spacing w:line="240" w:lineRule="auto"/>
              <w:rPr>
                <w:color w:val="000000"/>
                <w:szCs w:val="21"/>
              </w:rPr>
            </w:pPr>
            <w:r>
              <w:rPr>
                <w:rFonts w:hint="eastAsia"/>
                <w:color w:val="000000"/>
                <w:szCs w:val="21"/>
              </w:rPr>
              <w:t>③加强车辆保养，合理规划施工运输路线，尽可能避免途径居民区</w:t>
            </w:r>
          </w:p>
          <w:p w14:paraId="2F089B38">
            <w:pPr>
              <w:spacing w:line="240" w:lineRule="auto"/>
              <w:rPr>
                <w:bCs/>
                <w:snapToGrid w:val="0"/>
                <w:kern w:val="24"/>
                <w:szCs w:val="21"/>
              </w:rPr>
            </w:pPr>
            <w:r>
              <w:rPr>
                <w:rFonts w:hint="eastAsia"/>
                <w:color w:val="000000"/>
                <w:szCs w:val="21"/>
              </w:rPr>
              <w:t>④施工运输车辆应安排在昼间，必须途径居民区时，应减速慢行，并禁止鸣笛</w:t>
            </w:r>
          </w:p>
        </w:tc>
        <w:tc>
          <w:tcPr>
            <w:tcW w:w="2065" w:type="dxa"/>
            <w:tcBorders>
              <w:top w:val="single" w:color="auto" w:sz="4" w:space="0"/>
              <w:left w:val="single" w:color="auto" w:sz="4" w:space="0"/>
              <w:bottom w:val="single" w:color="auto" w:sz="4" w:space="0"/>
              <w:right w:val="single" w:color="auto" w:sz="4" w:space="0"/>
            </w:tcBorders>
            <w:vAlign w:val="center"/>
          </w:tcPr>
          <w:p w14:paraId="31400CAE">
            <w:pPr>
              <w:pStyle w:val="111"/>
              <w:spacing w:line="240" w:lineRule="auto"/>
              <w:ind w:left="-105" w:leftChars="-50" w:right="-105" w:rightChars="-50" w:firstLine="0" w:firstLineChars="0"/>
              <w:rPr>
                <w:bCs/>
                <w:snapToGrid w:val="0"/>
                <w:kern w:val="24"/>
                <w:sz w:val="21"/>
                <w:szCs w:val="21"/>
              </w:rPr>
            </w:pPr>
            <w:r>
              <w:rPr>
                <w:rFonts w:hint="eastAsia"/>
                <w:bCs/>
                <w:snapToGrid w:val="0"/>
                <w:kern w:val="24"/>
                <w:sz w:val="21"/>
                <w:szCs w:val="21"/>
              </w:rPr>
              <w:t>场界满足《建筑施工场界环境噪声排放限值》（</w:t>
            </w:r>
            <w:r>
              <w:rPr>
                <w:bCs/>
                <w:snapToGrid w:val="0"/>
                <w:kern w:val="24"/>
                <w:sz w:val="21"/>
                <w:szCs w:val="21"/>
              </w:rPr>
              <w:t>GB12523-2011</w:t>
            </w:r>
            <w:r>
              <w:rPr>
                <w:rFonts w:hint="eastAsia"/>
                <w:bCs/>
                <w:snapToGrid w:val="0"/>
                <w:kern w:val="24"/>
                <w:sz w:val="21"/>
                <w:szCs w:val="21"/>
              </w:rPr>
              <w:t>）要求</w:t>
            </w:r>
          </w:p>
        </w:tc>
      </w:tr>
      <w:tr w14:paraId="721563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9072" w:type="dxa"/>
            <w:vMerge w:val="continue"/>
            <w:tcBorders>
              <w:top w:val="single" w:color="auto" w:sz="4" w:space="0"/>
              <w:left w:val="single" w:color="auto" w:sz="4" w:space="0"/>
              <w:bottom w:val="single" w:color="auto" w:sz="4" w:space="0"/>
              <w:right w:val="single" w:color="auto" w:sz="4" w:space="0"/>
            </w:tcBorders>
            <w:vAlign w:val="center"/>
          </w:tcPr>
          <w:p w14:paraId="4AC6E041">
            <w:pPr>
              <w:widowControl/>
              <w:spacing w:line="240" w:lineRule="auto"/>
              <w:jc w:val="left"/>
              <w:rPr>
                <w:color w:val="000000"/>
                <w:kern w:val="0"/>
              </w:rPr>
            </w:pPr>
          </w:p>
        </w:tc>
        <w:tc>
          <w:tcPr>
            <w:tcW w:w="720" w:type="dxa"/>
            <w:vMerge w:val="restart"/>
            <w:tcBorders>
              <w:top w:val="single" w:color="auto" w:sz="4" w:space="0"/>
              <w:left w:val="single" w:color="auto" w:sz="4" w:space="0"/>
              <w:bottom w:val="single" w:color="auto" w:sz="4" w:space="0"/>
              <w:right w:val="single" w:color="auto" w:sz="4" w:space="0"/>
            </w:tcBorders>
            <w:vAlign w:val="center"/>
          </w:tcPr>
          <w:p w14:paraId="2E0B8D73">
            <w:pPr>
              <w:spacing w:line="240" w:lineRule="auto"/>
              <w:jc w:val="center"/>
              <w:rPr>
                <w:color w:val="000000"/>
                <w:szCs w:val="21"/>
              </w:rPr>
            </w:pPr>
            <w:r>
              <w:rPr>
                <w:rFonts w:hint="eastAsia"/>
                <w:color w:val="000000"/>
                <w:szCs w:val="21"/>
              </w:rPr>
              <w:t>运</w:t>
            </w:r>
          </w:p>
          <w:p w14:paraId="03726C77">
            <w:pPr>
              <w:spacing w:line="240" w:lineRule="auto"/>
              <w:jc w:val="center"/>
              <w:rPr>
                <w:color w:val="000000"/>
                <w:szCs w:val="21"/>
              </w:rPr>
            </w:pPr>
            <w:r>
              <w:rPr>
                <w:rFonts w:hint="eastAsia"/>
                <w:color w:val="000000"/>
                <w:szCs w:val="21"/>
              </w:rPr>
              <w:t>行</w:t>
            </w:r>
          </w:p>
          <w:p w14:paraId="401300A1">
            <w:pPr>
              <w:spacing w:line="240" w:lineRule="auto"/>
              <w:jc w:val="center"/>
              <w:rPr>
                <w:color w:val="000000"/>
                <w:kern w:val="0"/>
              </w:rPr>
            </w:pPr>
            <w:r>
              <w:rPr>
                <w:rFonts w:hint="eastAsia"/>
                <w:color w:val="000000"/>
                <w:szCs w:val="21"/>
              </w:rPr>
              <w:t>期</w:t>
            </w:r>
          </w:p>
        </w:tc>
        <w:tc>
          <w:tcPr>
            <w:tcW w:w="1611" w:type="dxa"/>
            <w:tcBorders>
              <w:top w:val="single" w:color="auto" w:sz="4" w:space="0"/>
              <w:left w:val="single" w:color="auto" w:sz="4" w:space="0"/>
              <w:bottom w:val="single" w:color="auto" w:sz="4" w:space="0"/>
              <w:right w:val="single" w:color="auto" w:sz="4" w:space="0"/>
            </w:tcBorders>
            <w:vAlign w:val="center"/>
          </w:tcPr>
          <w:p w14:paraId="1E10CB76">
            <w:pPr>
              <w:spacing w:line="240" w:lineRule="auto"/>
              <w:jc w:val="center"/>
              <w:rPr>
                <w:color w:val="000000"/>
                <w:szCs w:val="21"/>
              </w:rPr>
            </w:pPr>
            <w:r>
              <w:rPr>
                <w:rFonts w:hint="eastAsia"/>
                <w:szCs w:val="21"/>
              </w:rPr>
              <w:t>风电机组</w:t>
            </w:r>
          </w:p>
        </w:tc>
        <w:tc>
          <w:tcPr>
            <w:tcW w:w="1566" w:type="dxa"/>
            <w:vMerge w:val="continue"/>
            <w:tcBorders>
              <w:top w:val="single" w:color="auto" w:sz="4" w:space="0"/>
              <w:left w:val="single" w:color="auto" w:sz="4" w:space="0"/>
              <w:bottom w:val="single" w:color="auto" w:sz="4" w:space="0"/>
              <w:right w:val="single" w:color="auto" w:sz="4" w:space="0"/>
            </w:tcBorders>
            <w:vAlign w:val="center"/>
          </w:tcPr>
          <w:p w14:paraId="06938A39">
            <w:pPr>
              <w:widowControl/>
              <w:spacing w:line="240" w:lineRule="auto"/>
              <w:jc w:val="left"/>
              <w:rPr>
                <w:color w:val="000000"/>
                <w:szCs w:val="21"/>
              </w:rPr>
            </w:pPr>
          </w:p>
        </w:tc>
        <w:tc>
          <w:tcPr>
            <w:tcW w:w="2390" w:type="dxa"/>
            <w:tcBorders>
              <w:top w:val="single" w:color="auto" w:sz="4" w:space="0"/>
              <w:left w:val="single" w:color="auto" w:sz="4" w:space="0"/>
              <w:bottom w:val="single" w:color="auto" w:sz="4" w:space="0"/>
              <w:right w:val="single" w:color="auto" w:sz="4" w:space="0"/>
            </w:tcBorders>
            <w:vAlign w:val="center"/>
          </w:tcPr>
          <w:p w14:paraId="21A34585">
            <w:pPr>
              <w:pStyle w:val="111"/>
              <w:spacing w:line="240" w:lineRule="auto"/>
              <w:ind w:left="-105" w:leftChars="-50" w:right="-105" w:rightChars="-50" w:firstLine="0" w:firstLineChars="0"/>
              <w:rPr>
                <w:bCs/>
                <w:snapToGrid w:val="0"/>
                <w:kern w:val="24"/>
                <w:sz w:val="21"/>
                <w:szCs w:val="21"/>
              </w:rPr>
            </w:pPr>
            <w:r>
              <w:rPr>
                <w:rFonts w:hint="eastAsia"/>
                <w:bCs/>
                <w:snapToGrid w:val="0"/>
                <w:kern w:val="24"/>
                <w:sz w:val="21"/>
                <w:szCs w:val="21"/>
              </w:rPr>
              <w:t>①风机采购时应注意风机的选型，选用低噪声风机</w:t>
            </w:r>
          </w:p>
          <w:p w14:paraId="11AFA597">
            <w:pPr>
              <w:pStyle w:val="111"/>
              <w:spacing w:line="240" w:lineRule="auto"/>
              <w:ind w:left="-105" w:leftChars="-50" w:right="-105" w:rightChars="-50" w:firstLine="0" w:firstLineChars="0"/>
              <w:rPr>
                <w:bCs/>
                <w:snapToGrid w:val="0"/>
                <w:kern w:val="24"/>
                <w:sz w:val="21"/>
                <w:szCs w:val="21"/>
              </w:rPr>
            </w:pPr>
            <w:r>
              <w:rPr>
                <w:rFonts w:hint="eastAsia"/>
                <w:bCs/>
                <w:snapToGrid w:val="0"/>
                <w:kern w:val="24"/>
                <w:sz w:val="21"/>
                <w:szCs w:val="21"/>
              </w:rPr>
              <w:t>②加强风机的日常维护，定期检查风机机械系统</w:t>
            </w:r>
          </w:p>
          <w:p w14:paraId="797F2C19">
            <w:pPr>
              <w:pStyle w:val="111"/>
              <w:spacing w:line="240" w:lineRule="auto"/>
              <w:ind w:left="-105" w:leftChars="-50" w:right="-105" w:rightChars="-50" w:firstLine="0" w:firstLineChars="0"/>
              <w:rPr>
                <w:bCs/>
                <w:snapToGrid w:val="0"/>
                <w:kern w:val="24"/>
                <w:sz w:val="21"/>
                <w:szCs w:val="21"/>
              </w:rPr>
            </w:pPr>
            <w:r>
              <w:rPr>
                <w:rFonts w:hint="eastAsia"/>
                <w:bCs/>
                <w:snapToGrid w:val="0"/>
                <w:kern w:val="24"/>
                <w:sz w:val="21"/>
                <w:szCs w:val="21"/>
              </w:rPr>
              <w:t>③做好风机基础的隔振</w:t>
            </w:r>
          </w:p>
        </w:tc>
        <w:tc>
          <w:tcPr>
            <w:tcW w:w="2065" w:type="dxa"/>
            <w:tcBorders>
              <w:top w:val="single" w:color="auto" w:sz="4" w:space="0"/>
              <w:left w:val="single" w:color="auto" w:sz="4" w:space="0"/>
              <w:bottom w:val="single" w:color="auto" w:sz="4" w:space="0"/>
              <w:right w:val="single" w:color="auto" w:sz="4" w:space="0"/>
            </w:tcBorders>
            <w:vAlign w:val="center"/>
          </w:tcPr>
          <w:p w14:paraId="00753D41">
            <w:pPr>
              <w:pStyle w:val="111"/>
              <w:spacing w:line="240" w:lineRule="auto"/>
              <w:ind w:left="-105" w:leftChars="-50" w:right="-105" w:rightChars="-50" w:firstLine="0" w:firstLineChars="0"/>
              <w:rPr>
                <w:bCs/>
                <w:snapToGrid w:val="0"/>
                <w:kern w:val="24"/>
                <w:sz w:val="21"/>
                <w:szCs w:val="21"/>
              </w:rPr>
            </w:pPr>
            <w:r>
              <w:rPr>
                <w:rFonts w:hint="eastAsia"/>
                <w:bCs/>
                <w:snapToGrid w:val="0"/>
                <w:kern w:val="24"/>
                <w:sz w:val="21"/>
                <w:szCs w:val="21"/>
              </w:rPr>
              <w:t>敏感点声环境满足《声环境质量标准》（</w:t>
            </w:r>
            <w:r>
              <w:rPr>
                <w:bCs/>
                <w:snapToGrid w:val="0"/>
                <w:kern w:val="24"/>
                <w:sz w:val="21"/>
                <w:szCs w:val="21"/>
              </w:rPr>
              <w:t>GB3096-2008</w:t>
            </w:r>
            <w:r>
              <w:rPr>
                <w:rFonts w:hint="eastAsia"/>
                <w:bCs/>
                <w:snapToGrid w:val="0"/>
                <w:kern w:val="24"/>
                <w:sz w:val="21"/>
                <w:szCs w:val="21"/>
              </w:rPr>
              <w:t>）中的</w:t>
            </w:r>
            <w:r>
              <w:rPr>
                <w:bCs/>
                <w:snapToGrid w:val="0"/>
                <w:kern w:val="24"/>
                <w:sz w:val="21"/>
                <w:szCs w:val="21"/>
              </w:rPr>
              <w:t>1</w:t>
            </w:r>
            <w:r>
              <w:rPr>
                <w:rFonts w:hint="eastAsia"/>
                <w:bCs/>
                <w:snapToGrid w:val="0"/>
                <w:kern w:val="24"/>
                <w:sz w:val="21"/>
                <w:szCs w:val="21"/>
              </w:rPr>
              <w:t>类标准</w:t>
            </w:r>
          </w:p>
        </w:tc>
      </w:tr>
      <w:tr w14:paraId="3C49C9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9072" w:type="dxa"/>
            <w:vMerge w:val="continue"/>
            <w:tcBorders>
              <w:top w:val="single" w:color="auto" w:sz="4" w:space="0"/>
              <w:left w:val="single" w:color="auto" w:sz="4" w:space="0"/>
              <w:bottom w:val="single" w:color="auto" w:sz="4" w:space="0"/>
              <w:right w:val="single" w:color="auto" w:sz="4" w:space="0"/>
            </w:tcBorders>
            <w:vAlign w:val="center"/>
          </w:tcPr>
          <w:p w14:paraId="20B8075E">
            <w:pPr>
              <w:widowControl/>
              <w:spacing w:line="240" w:lineRule="auto"/>
              <w:jc w:val="left"/>
              <w:rPr>
                <w:color w:val="000000"/>
                <w:kern w:val="0"/>
              </w:rPr>
            </w:pPr>
          </w:p>
        </w:tc>
        <w:tc>
          <w:tcPr>
            <w:tcW w:w="720" w:type="dxa"/>
            <w:vMerge w:val="continue"/>
            <w:tcBorders>
              <w:top w:val="single" w:color="auto" w:sz="4" w:space="0"/>
              <w:left w:val="single" w:color="auto" w:sz="4" w:space="0"/>
              <w:bottom w:val="single" w:color="auto" w:sz="4" w:space="0"/>
              <w:right w:val="single" w:color="auto" w:sz="4" w:space="0"/>
            </w:tcBorders>
            <w:vAlign w:val="center"/>
          </w:tcPr>
          <w:p w14:paraId="7A5A1489">
            <w:pPr>
              <w:widowControl/>
              <w:spacing w:line="240" w:lineRule="auto"/>
              <w:jc w:val="left"/>
              <w:rPr>
                <w:color w:val="000000"/>
                <w:kern w:val="0"/>
              </w:rPr>
            </w:pPr>
          </w:p>
        </w:tc>
        <w:tc>
          <w:tcPr>
            <w:tcW w:w="1611" w:type="dxa"/>
            <w:tcBorders>
              <w:top w:val="single" w:color="auto" w:sz="4" w:space="0"/>
              <w:left w:val="single" w:color="auto" w:sz="4" w:space="0"/>
              <w:bottom w:val="single" w:color="auto" w:sz="4" w:space="0"/>
              <w:right w:val="single" w:color="auto" w:sz="4" w:space="0"/>
            </w:tcBorders>
            <w:vAlign w:val="center"/>
          </w:tcPr>
          <w:p w14:paraId="1CBA735A">
            <w:pPr>
              <w:spacing w:line="240" w:lineRule="auto"/>
              <w:jc w:val="center"/>
              <w:rPr>
                <w:color w:val="000000"/>
                <w:szCs w:val="21"/>
              </w:rPr>
            </w:pPr>
            <w:r>
              <w:rPr>
                <w:rFonts w:hint="eastAsia"/>
              </w:rPr>
              <w:t>变压器</w:t>
            </w:r>
          </w:p>
        </w:tc>
        <w:tc>
          <w:tcPr>
            <w:tcW w:w="1566" w:type="dxa"/>
            <w:vMerge w:val="continue"/>
            <w:tcBorders>
              <w:top w:val="single" w:color="auto" w:sz="4" w:space="0"/>
              <w:left w:val="single" w:color="auto" w:sz="4" w:space="0"/>
              <w:bottom w:val="single" w:color="auto" w:sz="4" w:space="0"/>
              <w:right w:val="single" w:color="auto" w:sz="4" w:space="0"/>
            </w:tcBorders>
            <w:vAlign w:val="center"/>
          </w:tcPr>
          <w:p w14:paraId="401F9C59">
            <w:pPr>
              <w:widowControl/>
              <w:spacing w:line="240" w:lineRule="auto"/>
              <w:jc w:val="left"/>
              <w:rPr>
                <w:color w:val="000000"/>
                <w:szCs w:val="21"/>
              </w:rPr>
            </w:pPr>
          </w:p>
        </w:tc>
        <w:tc>
          <w:tcPr>
            <w:tcW w:w="2390" w:type="dxa"/>
            <w:tcBorders>
              <w:top w:val="single" w:color="auto" w:sz="4" w:space="0"/>
              <w:left w:val="single" w:color="auto" w:sz="4" w:space="0"/>
              <w:bottom w:val="single" w:color="auto" w:sz="4" w:space="0"/>
              <w:right w:val="single" w:color="auto" w:sz="4" w:space="0"/>
            </w:tcBorders>
            <w:vAlign w:val="center"/>
          </w:tcPr>
          <w:p w14:paraId="5875C906">
            <w:pPr>
              <w:pStyle w:val="111"/>
              <w:spacing w:line="240" w:lineRule="auto"/>
              <w:ind w:left="-105" w:leftChars="-50" w:right="-105" w:rightChars="-50" w:firstLine="0" w:firstLineChars="0"/>
              <w:rPr>
                <w:bCs/>
                <w:snapToGrid w:val="0"/>
                <w:kern w:val="24"/>
                <w:sz w:val="21"/>
                <w:szCs w:val="21"/>
              </w:rPr>
            </w:pPr>
            <w:r>
              <w:rPr>
                <w:rFonts w:hint="eastAsia"/>
                <w:bCs/>
                <w:snapToGrid w:val="0"/>
                <w:kern w:val="24"/>
                <w:sz w:val="21"/>
                <w:szCs w:val="21"/>
              </w:rPr>
              <w:t>①合理布局升压站，主变布置在场地中间</w:t>
            </w:r>
          </w:p>
          <w:p w14:paraId="0637D2A1">
            <w:pPr>
              <w:pStyle w:val="111"/>
              <w:spacing w:line="240" w:lineRule="auto"/>
              <w:ind w:left="-105" w:leftChars="-50" w:right="-105" w:rightChars="-50" w:firstLine="0" w:firstLineChars="0"/>
              <w:rPr>
                <w:bCs/>
                <w:snapToGrid w:val="0"/>
                <w:kern w:val="24"/>
                <w:sz w:val="21"/>
                <w:szCs w:val="21"/>
              </w:rPr>
            </w:pPr>
            <w:r>
              <w:rPr>
                <w:rFonts w:hint="eastAsia"/>
                <w:bCs/>
                <w:snapToGrid w:val="0"/>
                <w:kern w:val="24"/>
                <w:sz w:val="21"/>
                <w:szCs w:val="21"/>
              </w:rPr>
              <w:t>②选用低噪声变压器等，并加强维护管理</w:t>
            </w:r>
          </w:p>
          <w:p w14:paraId="79A311EE">
            <w:pPr>
              <w:pStyle w:val="111"/>
              <w:spacing w:line="240" w:lineRule="auto"/>
              <w:ind w:left="-105" w:leftChars="-50" w:right="-105" w:rightChars="-50" w:firstLine="0" w:firstLineChars="0"/>
              <w:rPr>
                <w:bCs/>
                <w:snapToGrid w:val="0"/>
                <w:kern w:val="24"/>
                <w:sz w:val="21"/>
                <w:szCs w:val="21"/>
              </w:rPr>
            </w:pPr>
            <w:r>
              <w:rPr>
                <w:rFonts w:hint="eastAsia"/>
                <w:bCs/>
                <w:snapToGrid w:val="0"/>
                <w:kern w:val="24"/>
                <w:sz w:val="21"/>
                <w:szCs w:val="21"/>
              </w:rPr>
              <w:t>③做好变压器基础的隔振</w:t>
            </w:r>
          </w:p>
        </w:tc>
        <w:tc>
          <w:tcPr>
            <w:tcW w:w="2065" w:type="dxa"/>
            <w:tcBorders>
              <w:top w:val="single" w:color="auto" w:sz="4" w:space="0"/>
              <w:left w:val="single" w:color="auto" w:sz="4" w:space="0"/>
              <w:bottom w:val="single" w:color="auto" w:sz="4" w:space="0"/>
              <w:right w:val="single" w:color="auto" w:sz="4" w:space="0"/>
            </w:tcBorders>
            <w:vAlign w:val="center"/>
          </w:tcPr>
          <w:p w14:paraId="66DA196B">
            <w:pPr>
              <w:pStyle w:val="111"/>
              <w:spacing w:line="240" w:lineRule="auto"/>
              <w:ind w:left="-105" w:leftChars="-50" w:right="-105" w:rightChars="-50" w:firstLine="0" w:firstLineChars="0"/>
              <w:rPr>
                <w:bCs/>
                <w:snapToGrid w:val="0"/>
                <w:kern w:val="24"/>
                <w:sz w:val="21"/>
                <w:szCs w:val="21"/>
              </w:rPr>
            </w:pPr>
            <w:r>
              <w:rPr>
                <w:rFonts w:hint="eastAsia"/>
                <w:bCs/>
                <w:snapToGrid w:val="0"/>
                <w:kern w:val="24"/>
                <w:sz w:val="21"/>
                <w:szCs w:val="21"/>
              </w:rPr>
              <w:t>升压站场界噪声满足《工业企业厂界环境噪声排放标准》（</w:t>
            </w:r>
            <w:r>
              <w:rPr>
                <w:bCs/>
                <w:snapToGrid w:val="0"/>
                <w:kern w:val="24"/>
                <w:sz w:val="21"/>
                <w:szCs w:val="21"/>
              </w:rPr>
              <w:t>GB12348-2008</w:t>
            </w:r>
            <w:r>
              <w:rPr>
                <w:rFonts w:hint="eastAsia"/>
                <w:bCs/>
                <w:snapToGrid w:val="0"/>
                <w:kern w:val="24"/>
                <w:sz w:val="21"/>
                <w:szCs w:val="21"/>
              </w:rPr>
              <w:t>）中的</w:t>
            </w:r>
            <w:r>
              <w:rPr>
                <w:bCs/>
                <w:snapToGrid w:val="0"/>
                <w:kern w:val="24"/>
                <w:sz w:val="21"/>
                <w:szCs w:val="21"/>
              </w:rPr>
              <w:t>1</w:t>
            </w:r>
            <w:r>
              <w:rPr>
                <w:rFonts w:hint="eastAsia"/>
                <w:bCs/>
                <w:snapToGrid w:val="0"/>
                <w:kern w:val="24"/>
                <w:sz w:val="21"/>
                <w:szCs w:val="21"/>
              </w:rPr>
              <w:t>类标准</w:t>
            </w:r>
          </w:p>
        </w:tc>
      </w:tr>
      <w:tr w14:paraId="1022CA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1440" w:type="dxa"/>
            <w:gridSpan w:val="2"/>
            <w:tcBorders>
              <w:top w:val="single" w:color="auto" w:sz="4" w:space="0"/>
              <w:left w:val="single" w:color="auto" w:sz="4" w:space="0"/>
              <w:bottom w:val="single" w:color="auto" w:sz="4" w:space="0"/>
              <w:right w:val="single" w:color="auto" w:sz="4" w:space="0"/>
            </w:tcBorders>
            <w:vAlign w:val="center"/>
          </w:tcPr>
          <w:p w14:paraId="26D34006">
            <w:pPr>
              <w:spacing w:line="400" w:lineRule="exact"/>
              <w:jc w:val="center"/>
              <w:rPr>
                <w:color w:val="000000"/>
                <w:sz w:val="28"/>
                <w:szCs w:val="28"/>
              </w:rPr>
            </w:pPr>
            <w:r>
              <w:rPr>
                <w:rFonts w:hint="eastAsia"/>
                <w:color w:val="000000"/>
                <w:sz w:val="28"/>
                <w:szCs w:val="28"/>
              </w:rPr>
              <w:t>其</w:t>
            </w:r>
          </w:p>
          <w:p w14:paraId="25F80414">
            <w:pPr>
              <w:spacing w:line="400" w:lineRule="exact"/>
              <w:jc w:val="center"/>
              <w:rPr>
                <w:color w:val="000000"/>
                <w:kern w:val="0"/>
              </w:rPr>
            </w:pPr>
            <w:r>
              <w:rPr>
                <w:rFonts w:hint="eastAsia"/>
                <w:color w:val="000000"/>
                <w:sz w:val="28"/>
                <w:szCs w:val="28"/>
              </w:rPr>
              <w:t>他</w:t>
            </w:r>
          </w:p>
        </w:tc>
        <w:tc>
          <w:tcPr>
            <w:tcW w:w="7632" w:type="dxa"/>
            <w:gridSpan w:val="4"/>
            <w:tcBorders>
              <w:top w:val="single" w:color="auto" w:sz="4" w:space="0"/>
              <w:left w:val="single" w:color="auto" w:sz="4" w:space="0"/>
              <w:bottom w:val="single" w:color="auto" w:sz="4" w:space="0"/>
              <w:right w:val="single" w:color="auto" w:sz="4" w:space="0"/>
            </w:tcBorders>
            <w:vAlign w:val="center"/>
          </w:tcPr>
          <w:p w14:paraId="1C73AB39">
            <w:pPr>
              <w:spacing w:line="240" w:lineRule="auto"/>
              <w:jc w:val="center"/>
              <w:rPr>
                <w:color w:val="000000"/>
                <w:kern w:val="0"/>
              </w:rPr>
            </w:pPr>
            <w:r>
              <w:rPr>
                <w:rFonts w:hint="eastAsia"/>
                <w:color w:val="000000"/>
                <w:kern w:val="0"/>
              </w:rPr>
              <w:t>无</w:t>
            </w:r>
          </w:p>
        </w:tc>
      </w:tr>
      <w:tr w14:paraId="3788DD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9072" w:type="dxa"/>
            <w:gridSpan w:val="6"/>
            <w:tcBorders>
              <w:top w:val="single" w:color="auto" w:sz="4" w:space="0"/>
              <w:left w:val="single" w:color="auto" w:sz="4" w:space="0"/>
              <w:bottom w:val="single" w:color="auto" w:sz="4" w:space="0"/>
              <w:right w:val="single" w:color="auto" w:sz="4" w:space="0"/>
            </w:tcBorders>
            <w:vAlign w:val="center"/>
          </w:tcPr>
          <w:p w14:paraId="7C80EDC7">
            <w:pPr>
              <w:spacing w:line="240" w:lineRule="auto"/>
              <w:rPr>
                <w:b/>
                <w:color w:val="000000"/>
                <w:kern w:val="0"/>
                <w:sz w:val="28"/>
                <w:szCs w:val="28"/>
              </w:rPr>
            </w:pPr>
            <w:r>
              <w:rPr>
                <w:rFonts w:hint="eastAsia"/>
                <w:b/>
                <w:color w:val="000000"/>
                <w:kern w:val="0"/>
                <w:sz w:val="28"/>
                <w:szCs w:val="28"/>
              </w:rPr>
              <w:t>生态保护措施及预期效果</w:t>
            </w:r>
          </w:p>
          <w:p w14:paraId="31FCB05A">
            <w:pPr>
              <w:spacing w:line="240" w:lineRule="auto"/>
              <w:ind w:firstLine="420" w:firstLineChars="200"/>
              <w:rPr>
                <w:color w:val="000000"/>
              </w:rPr>
            </w:pPr>
            <w:r>
              <w:rPr>
                <w:rFonts w:hint="eastAsia"/>
                <w:color w:val="000000"/>
              </w:rPr>
              <w:t>（</w:t>
            </w:r>
            <w:r>
              <w:rPr>
                <w:color w:val="000000"/>
              </w:rPr>
              <w:t>1</w:t>
            </w:r>
            <w:r>
              <w:rPr>
                <w:rFonts w:hint="eastAsia"/>
                <w:color w:val="000000"/>
              </w:rPr>
              <w:t>）升压站防治区</w:t>
            </w:r>
          </w:p>
          <w:p w14:paraId="60A99BD2">
            <w:pPr>
              <w:spacing w:line="240" w:lineRule="auto"/>
              <w:ind w:firstLine="420" w:firstLineChars="200"/>
              <w:rPr>
                <w:color w:val="000000"/>
              </w:rPr>
            </w:pPr>
            <w:r>
              <w:rPr>
                <w:rFonts w:hint="eastAsia" w:hAnsi="宋体"/>
                <w:szCs w:val="21"/>
              </w:rPr>
              <w:t>施工期对表土进行剥离，表土量</w:t>
            </w:r>
            <w:r>
              <w:rPr>
                <w:rFonts w:hAnsi="宋体"/>
                <w:szCs w:val="21"/>
              </w:rPr>
              <w:t>5158m</w:t>
            </w:r>
            <w:r>
              <w:rPr>
                <w:rFonts w:hAnsi="宋体"/>
                <w:szCs w:val="21"/>
                <w:vertAlign w:val="superscript"/>
              </w:rPr>
              <w:t>3</w:t>
            </w:r>
            <w:r>
              <w:rPr>
                <w:rFonts w:hint="eastAsia" w:hAnsi="宋体"/>
                <w:szCs w:val="21"/>
              </w:rPr>
              <w:t>，集中堆放在升压站施工场地临时堆土场，用于后期覆土后植被恢复；升压站建设完成后，利用堆存表土回填覆土，并进行场地平整，平整面积</w:t>
            </w:r>
            <w:r>
              <w:rPr>
                <w:rFonts w:hAnsi="宋体"/>
                <w:szCs w:val="21"/>
              </w:rPr>
              <w:t>1.7192hm</w:t>
            </w:r>
            <w:r>
              <w:rPr>
                <w:rFonts w:hAnsi="宋体"/>
                <w:szCs w:val="21"/>
                <w:vertAlign w:val="superscript"/>
              </w:rPr>
              <w:t>2</w:t>
            </w:r>
            <w:r>
              <w:rPr>
                <w:rFonts w:hint="eastAsia" w:hAnsi="宋体"/>
                <w:szCs w:val="21"/>
              </w:rPr>
              <w:t>；</w:t>
            </w:r>
            <w:r>
              <w:rPr>
                <w:rFonts w:hint="eastAsia"/>
              </w:rPr>
              <w:t>表土回填平整后，采取播撒草种的措施进行植被恢复，恢复面积</w:t>
            </w:r>
            <w:r>
              <w:t>0.3438hm</w:t>
            </w:r>
            <w:r>
              <w:rPr>
                <w:vertAlign w:val="superscript"/>
              </w:rPr>
              <w:t>2</w:t>
            </w:r>
            <w:r>
              <w:rPr>
                <w:rFonts w:hint="eastAsia"/>
              </w:rPr>
              <w:t>。</w:t>
            </w:r>
          </w:p>
          <w:p w14:paraId="7B2A527E">
            <w:pPr>
              <w:spacing w:line="240" w:lineRule="auto"/>
              <w:ind w:firstLine="420" w:firstLineChars="200"/>
              <w:rPr>
                <w:color w:val="000000"/>
              </w:rPr>
            </w:pPr>
            <w:r>
              <w:rPr>
                <w:rFonts w:hint="eastAsia"/>
                <w:color w:val="000000"/>
              </w:rPr>
              <w:t>（</w:t>
            </w:r>
            <w:r>
              <w:rPr>
                <w:color w:val="000000"/>
              </w:rPr>
              <w:t>2</w:t>
            </w:r>
            <w:r>
              <w:rPr>
                <w:rFonts w:hint="eastAsia"/>
                <w:color w:val="000000"/>
              </w:rPr>
              <w:t>）</w:t>
            </w:r>
            <w:r>
              <w:rPr>
                <w:rFonts w:hint="eastAsia" w:hAnsi="宋体"/>
                <w:szCs w:val="21"/>
              </w:rPr>
              <w:t>风机发电机及箱变防治区</w:t>
            </w:r>
          </w:p>
          <w:p w14:paraId="559A2CF5">
            <w:pPr>
              <w:spacing w:line="240" w:lineRule="auto"/>
              <w:ind w:firstLine="420" w:firstLineChars="200"/>
            </w:pPr>
            <w:r>
              <w:rPr>
                <w:rFonts w:hint="eastAsia" w:hAnsi="宋体"/>
                <w:szCs w:val="21"/>
              </w:rPr>
              <w:t>施工期对表土进行剥离，表土量</w:t>
            </w:r>
            <w:r>
              <w:rPr>
                <w:rFonts w:hAnsi="宋体"/>
                <w:szCs w:val="21"/>
              </w:rPr>
              <w:t>13120m</w:t>
            </w:r>
            <w:r>
              <w:rPr>
                <w:rFonts w:hAnsi="宋体"/>
                <w:szCs w:val="21"/>
                <w:vertAlign w:val="superscript"/>
              </w:rPr>
              <w:t>3</w:t>
            </w:r>
            <w:r>
              <w:rPr>
                <w:rFonts w:hint="eastAsia" w:hAnsi="宋体"/>
                <w:szCs w:val="21"/>
              </w:rPr>
              <w:t>，集中堆放在风机基坑一侧，用于后期覆土后植被恢复；单个风机吊装完成后，利用堆存表土回填到施工场地内，并进行场地平整，平整面积</w:t>
            </w:r>
            <w:r>
              <w:rPr>
                <w:rFonts w:hAnsi="宋体"/>
                <w:szCs w:val="21"/>
              </w:rPr>
              <w:t>4.8305hm</w:t>
            </w:r>
            <w:r>
              <w:rPr>
                <w:rFonts w:hAnsi="宋体"/>
                <w:szCs w:val="21"/>
                <w:vertAlign w:val="superscript"/>
              </w:rPr>
              <w:t>2</w:t>
            </w:r>
            <w:r>
              <w:rPr>
                <w:rFonts w:hint="eastAsia" w:hAnsi="宋体"/>
                <w:szCs w:val="21"/>
              </w:rPr>
              <w:t>；</w:t>
            </w:r>
            <w:r>
              <w:rPr>
                <w:rFonts w:hint="eastAsia"/>
              </w:rPr>
              <w:t>表土回填平整后，采取播撒草种的措施进行植被恢复，恢复面积</w:t>
            </w:r>
            <w:r>
              <w:rPr>
                <w:rFonts w:hAnsi="宋体"/>
                <w:szCs w:val="21"/>
              </w:rPr>
              <w:t>4.8305</w:t>
            </w:r>
            <w:r>
              <w:t>hm</w:t>
            </w:r>
            <w:r>
              <w:rPr>
                <w:vertAlign w:val="superscript"/>
              </w:rPr>
              <w:t>2</w:t>
            </w:r>
            <w:r>
              <w:rPr>
                <w:rFonts w:hint="eastAsia"/>
              </w:rPr>
              <w:t>。</w:t>
            </w:r>
          </w:p>
          <w:p w14:paraId="34C3A1B1">
            <w:pPr>
              <w:spacing w:line="240" w:lineRule="auto"/>
              <w:ind w:firstLine="420" w:firstLineChars="200"/>
              <w:rPr>
                <w:color w:val="000000"/>
              </w:rPr>
            </w:pPr>
            <w:r>
              <w:rPr>
                <w:rFonts w:hint="eastAsia"/>
                <w:color w:val="000000"/>
              </w:rPr>
              <w:t>（</w:t>
            </w:r>
            <w:r>
              <w:rPr>
                <w:color w:val="000000"/>
              </w:rPr>
              <w:t>3</w:t>
            </w:r>
            <w:r>
              <w:rPr>
                <w:rFonts w:hint="eastAsia"/>
                <w:color w:val="000000"/>
              </w:rPr>
              <w:t>）</w:t>
            </w:r>
            <w:r>
              <w:rPr>
                <w:rFonts w:hint="eastAsia" w:hAnsi="宋体"/>
                <w:szCs w:val="21"/>
              </w:rPr>
              <w:t>架空集电线路防治区</w:t>
            </w:r>
          </w:p>
          <w:p w14:paraId="15770D82">
            <w:pPr>
              <w:spacing w:line="240" w:lineRule="auto"/>
              <w:ind w:firstLine="420" w:firstLineChars="200"/>
              <w:rPr>
                <w:color w:val="000000"/>
              </w:rPr>
            </w:pPr>
            <w:r>
              <w:rPr>
                <w:rFonts w:hint="eastAsia" w:hAnsi="宋体"/>
                <w:szCs w:val="21"/>
              </w:rPr>
              <w:t>施工期对表土进行剥离，表土量</w:t>
            </w:r>
            <w:r>
              <w:rPr>
                <w:rFonts w:hAnsi="宋体"/>
                <w:szCs w:val="21"/>
              </w:rPr>
              <w:t>10363m</w:t>
            </w:r>
            <w:r>
              <w:rPr>
                <w:rFonts w:hAnsi="宋体"/>
                <w:szCs w:val="21"/>
                <w:vertAlign w:val="superscript"/>
              </w:rPr>
              <w:t>3</w:t>
            </w:r>
            <w:r>
              <w:rPr>
                <w:rFonts w:hint="eastAsia" w:hAnsi="宋体"/>
                <w:szCs w:val="21"/>
              </w:rPr>
              <w:t>，集中堆放在</w:t>
            </w:r>
            <w:r>
              <w:rPr>
                <w:rFonts w:hint="eastAsia"/>
              </w:rPr>
              <w:t>施工场地空地</w:t>
            </w:r>
            <w:r>
              <w:rPr>
                <w:rFonts w:hint="eastAsia" w:hAnsi="宋体"/>
                <w:szCs w:val="21"/>
              </w:rPr>
              <w:t>，用于后期覆土后植被恢复；</w:t>
            </w:r>
            <w:r>
              <w:rPr>
                <w:rFonts w:hint="eastAsia"/>
              </w:rPr>
              <w:t>集电线路塔架基础施工结束后对施工场地进行平整，平整面积</w:t>
            </w:r>
            <w:r>
              <w:rPr>
                <w:color w:val="000000"/>
                <w:szCs w:val="21"/>
              </w:rPr>
              <w:t>2.5543</w:t>
            </w:r>
            <w:r>
              <w:t>hm</w:t>
            </w:r>
            <w:r>
              <w:rPr>
                <w:vertAlign w:val="superscript"/>
              </w:rPr>
              <w:t>2</w:t>
            </w:r>
            <w:r>
              <w:rPr>
                <w:rFonts w:hint="eastAsia"/>
              </w:rPr>
              <w:t>；</w:t>
            </w:r>
            <w:r>
              <w:rPr>
                <w:rFonts w:hint="eastAsia" w:hAnsi="宋体"/>
                <w:szCs w:val="21"/>
              </w:rPr>
              <w:t>场地平整后，采取播撒草种的措施进行植被恢复，恢复面积</w:t>
            </w:r>
            <w:r>
              <w:rPr>
                <w:color w:val="000000"/>
                <w:szCs w:val="21"/>
              </w:rPr>
              <w:t>2.5543</w:t>
            </w:r>
            <w:r>
              <w:rPr>
                <w:rFonts w:hAnsi="宋体"/>
                <w:szCs w:val="21"/>
              </w:rPr>
              <w:t>hm</w:t>
            </w:r>
            <w:r>
              <w:rPr>
                <w:rFonts w:hAnsi="宋体"/>
                <w:szCs w:val="21"/>
                <w:vertAlign w:val="superscript"/>
              </w:rPr>
              <w:t>2</w:t>
            </w:r>
            <w:r>
              <w:rPr>
                <w:rFonts w:hint="eastAsia" w:hAnsi="宋体"/>
                <w:szCs w:val="21"/>
              </w:rPr>
              <w:t>。</w:t>
            </w:r>
          </w:p>
          <w:p w14:paraId="305D8BE2">
            <w:pPr>
              <w:spacing w:line="240" w:lineRule="auto"/>
              <w:ind w:firstLine="420" w:firstLineChars="200"/>
              <w:rPr>
                <w:color w:val="000000"/>
              </w:rPr>
            </w:pPr>
            <w:r>
              <w:rPr>
                <w:rFonts w:hint="eastAsia"/>
                <w:color w:val="000000"/>
              </w:rPr>
              <w:t>（</w:t>
            </w:r>
            <w:r>
              <w:rPr>
                <w:color w:val="000000"/>
              </w:rPr>
              <w:t>4</w:t>
            </w:r>
            <w:r>
              <w:rPr>
                <w:rFonts w:hint="eastAsia"/>
                <w:color w:val="000000"/>
              </w:rPr>
              <w:t>）</w:t>
            </w:r>
            <w:r>
              <w:rPr>
                <w:rFonts w:hint="eastAsia" w:hAnsi="宋体"/>
                <w:szCs w:val="21"/>
              </w:rPr>
              <w:t>施工及检修道路防治区</w:t>
            </w:r>
          </w:p>
          <w:p w14:paraId="11A870A9">
            <w:pPr>
              <w:spacing w:line="240" w:lineRule="auto"/>
              <w:ind w:firstLine="420" w:firstLineChars="200"/>
              <w:rPr>
                <w:color w:val="000000"/>
              </w:rPr>
            </w:pPr>
            <w:r>
              <w:rPr>
                <w:rFonts w:hint="eastAsia"/>
              </w:rPr>
              <w:t>施工期结束</w:t>
            </w:r>
            <w:r>
              <w:rPr>
                <w:rFonts w:hint="eastAsia" w:hAnsi="宋体"/>
                <w:szCs w:val="21"/>
              </w:rPr>
              <w:t>后，</w:t>
            </w:r>
            <w:r>
              <w:rPr>
                <w:rFonts w:hAnsi="宋体"/>
                <w:szCs w:val="21"/>
              </w:rPr>
              <w:t>9.0m</w:t>
            </w:r>
            <w:r>
              <w:rPr>
                <w:rFonts w:hint="eastAsia" w:hAnsi="宋体"/>
                <w:szCs w:val="21"/>
              </w:rPr>
              <w:t>宽的施工道路留中间</w:t>
            </w:r>
            <w:r>
              <w:rPr>
                <w:rFonts w:hAnsi="宋体"/>
                <w:szCs w:val="21"/>
              </w:rPr>
              <w:t xml:space="preserve">4.5m </w:t>
            </w:r>
            <w:r>
              <w:rPr>
                <w:rFonts w:hint="eastAsia" w:hAnsi="宋体"/>
                <w:szCs w:val="21"/>
              </w:rPr>
              <w:t>宽填筑为永久检修道路，两侧各</w:t>
            </w:r>
            <w:r>
              <w:rPr>
                <w:rFonts w:hAnsi="宋体"/>
                <w:szCs w:val="21"/>
              </w:rPr>
              <w:t xml:space="preserve">2.25m </w:t>
            </w:r>
            <w:r>
              <w:rPr>
                <w:rFonts w:hint="eastAsia" w:hAnsi="宋体"/>
                <w:szCs w:val="21"/>
              </w:rPr>
              <w:t>宽碾压扰动区采取播撒草种的措施进行植被恢复，恢复面积</w:t>
            </w:r>
            <w:r>
              <w:rPr>
                <w:bCs/>
                <w:kern w:val="0"/>
                <w:szCs w:val="21"/>
              </w:rPr>
              <w:t>49.1612</w:t>
            </w:r>
            <w:r>
              <w:rPr>
                <w:rFonts w:hAnsi="宋体"/>
                <w:szCs w:val="21"/>
              </w:rPr>
              <w:t>hm</w:t>
            </w:r>
            <w:r>
              <w:rPr>
                <w:rFonts w:hAnsi="宋体"/>
                <w:szCs w:val="21"/>
                <w:vertAlign w:val="superscript"/>
              </w:rPr>
              <w:t>2</w:t>
            </w:r>
            <w:r>
              <w:rPr>
                <w:rFonts w:hint="eastAsia" w:hAnsi="宋体"/>
                <w:szCs w:val="21"/>
              </w:rPr>
              <w:t>。</w:t>
            </w:r>
          </w:p>
          <w:p w14:paraId="3AEEBA93">
            <w:pPr>
              <w:spacing w:line="240" w:lineRule="auto"/>
              <w:ind w:firstLine="420" w:firstLineChars="200"/>
              <w:rPr>
                <w:color w:val="000000"/>
              </w:rPr>
            </w:pPr>
            <w:r>
              <w:rPr>
                <w:rFonts w:hint="eastAsia"/>
                <w:color w:val="000000"/>
              </w:rPr>
              <w:t>（</w:t>
            </w:r>
            <w:r>
              <w:rPr>
                <w:color w:val="000000"/>
              </w:rPr>
              <w:t>5</w:t>
            </w:r>
            <w:r>
              <w:rPr>
                <w:rFonts w:hint="eastAsia"/>
                <w:color w:val="000000"/>
              </w:rPr>
              <w:t>）</w:t>
            </w:r>
            <w:r>
              <w:rPr>
                <w:rFonts w:hint="eastAsia" w:hAnsi="宋体"/>
                <w:szCs w:val="21"/>
              </w:rPr>
              <w:t>施工生产生活防治区</w:t>
            </w:r>
          </w:p>
          <w:p w14:paraId="42F76049">
            <w:pPr>
              <w:spacing w:line="240" w:lineRule="auto"/>
              <w:ind w:firstLine="420" w:firstLineChars="200"/>
              <w:rPr>
                <w:color w:val="000000"/>
              </w:rPr>
            </w:pPr>
            <w:r>
              <w:rPr>
                <w:rFonts w:hint="eastAsia" w:hAnsi="宋体"/>
                <w:szCs w:val="21"/>
              </w:rPr>
              <w:t>施工期对表土进行剥离，表土量</w:t>
            </w:r>
            <w:r>
              <w:rPr>
                <w:rFonts w:hAnsi="宋体"/>
                <w:szCs w:val="21"/>
              </w:rPr>
              <w:t>7200m</w:t>
            </w:r>
            <w:r>
              <w:rPr>
                <w:rFonts w:hAnsi="宋体"/>
                <w:szCs w:val="21"/>
                <w:vertAlign w:val="superscript"/>
              </w:rPr>
              <w:t>3</w:t>
            </w:r>
            <w:r>
              <w:rPr>
                <w:rFonts w:hint="eastAsia" w:hAnsi="宋体"/>
                <w:szCs w:val="21"/>
              </w:rPr>
              <w:t>，集中堆放在</w:t>
            </w:r>
            <w:r>
              <w:rPr>
                <w:rFonts w:hint="eastAsia"/>
              </w:rPr>
              <w:t>施工场地空地</w:t>
            </w:r>
            <w:r>
              <w:rPr>
                <w:rFonts w:hint="eastAsia" w:hAnsi="宋体"/>
                <w:szCs w:val="21"/>
              </w:rPr>
              <w:t>，用于后期覆土后植被恢复；施工期结束后对施工生产生活扰动区进行平整，平整面积</w:t>
            </w:r>
            <w:r>
              <w:rPr>
                <w:bCs/>
                <w:kern w:val="0"/>
                <w:szCs w:val="21"/>
              </w:rPr>
              <w:t>2.4000</w:t>
            </w:r>
            <w:r>
              <w:rPr>
                <w:rFonts w:hAnsi="宋体"/>
                <w:szCs w:val="21"/>
              </w:rPr>
              <w:t>hm</w:t>
            </w:r>
            <w:r>
              <w:rPr>
                <w:rFonts w:hAnsi="宋体"/>
                <w:szCs w:val="21"/>
                <w:vertAlign w:val="superscript"/>
              </w:rPr>
              <w:t>2</w:t>
            </w:r>
            <w:r>
              <w:rPr>
                <w:rFonts w:hint="eastAsia" w:hAnsi="宋体"/>
                <w:szCs w:val="21"/>
              </w:rPr>
              <w:t>；场地平整后，采取播撒草种的措施进行植被恢复，恢复面积</w:t>
            </w:r>
            <w:r>
              <w:rPr>
                <w:bCs/>
                <w:kern w:val="0"/>
                <w:szCs w:val="21"/>
              </w:rPr>
              <w:t>2.4000</w:t>
            </w:r>
            <w:r>
              <w:rPr>
                <w:rFonts w:hAnsi="宋体"/>
                <w:szCs w:val="21"/>
              </w:rPr>
              <w:t>hm</w:t>
            </w:r>
            <w:r>
              <w:rPr>
                <w:rFonts w:hAnsi="宋体"/>
                <w:szCs w:val="21"/>
                <w:vertAlign w:val="superscript"/>
              </w:rPr>
              <w:t>2</w:t>
            </w:r>
            <w:r>
              <w:rPr>
                <w:rFonts w:hint="eastAsia" w:hAnsi="宋体"/>
                <w:szCs w:val="21"/>
              </w:rPr>
              <w:t>。</w:t>
            </w:r>
          </w:p>
          <w:p w14:paraId="797B908B">
            <w:pPr>
              <w:spacing w:line="240" w:lineRule="auto"/>
              <w:ind w:firstLine="420" w:firstLineChars="200"/>
              <w:rPr>
                <w:color w:val="000000"/>
              </w:rPr>
            </w:pPr>
            <w:r>
              <w:rPr>
                <w:rFonts w:hint="eastAsia"/>
                <w:color w:val="000000"/>
              </w:rPr>
              <w:t>（</w:t>
            </w:r>
            <w:r>
              <w:rPr>
                <w:color w:val="000000"/>
              </w:rPr>
              <w:t>6</w:t>
            </w:r>
            <w:r>
              <w:rPr>
                <w:rFonts w:hint="eastAsia"/>
                <w:color w:val="000000"/>
              </w:rPr>
              <w:t>）</w:t>
            </w:r>
            <w:r>
              <w:rPr>
                <w:rFonts w:hint="eastAsia" w:hAnsi="宋体"/>
                <w:szCs w:val="21"/>
              </w:rPr>
              <w:t>进站道路防治区</w:t>
            </w:r>
          </w:p>
          <w:p w14:paraId="23337B5F">
            <w:pPr>
              <w:spacing w:line="240" w:lineRule="auto"/>
              <w:ind w:firstLine="420" w:firstLineChars="200"/>
              <w:rPr>
                <w:color w:val="000000"/>
              </w:rPr>
            </w:pPr>
            <w:r>
              <w:rPr>
                <w:rFonts w:hint="eastAsia" w:hAnsi="宋体"/>
                <w:szCs w:val="21"/>
              </w:rPr>
              <w:t>升压站建设完成后，</w:t>
            </w:r>
            <w:r>
              <w:rPr>
                <w:rFonts w:hint="eastAsia"/>
              </w:rPr>
              <w:t>进站道路两侧各</w:t>
            </w:r>
            <w:r>
              <w:t>2.0m</w:t>
            </w:r>
            <w:r>
              <w:rPr>
                <w:rFonts w:hint="eastAsia"/>
              </w:rPr>
              <w:t>宽施工区进行</w:t>
            </w:r>
            <w:r>
              <w:rPr>
                <w:rFonts w:hint="eastAsia" w:hAnsi="宋体"/>
                <w:szCs w:val="21"/>
              </w:rPr>
              <w:t>植被恢复，恢复面积</w:t>
            </w:r>
            <w:r>
              <w:rPr>
                <w:rFonts w:hAnsi="宋体"/>
                <w:szCs w:val="21"/>
              </w:rPr>
              <w:t>0.4908hm</w:t>
            </w:r>
            <w:r>
              <w:rPr>
                <w:rFonts w:hAnsi="宋体"/>
                <w:szCs w:val="21"/>
                <w:vertAlign w:val="superscript"/>
              </w:rPr>
              <w:t>2</w:t>
            </w:r>
            <w:r>
              <w:rPr>
                <w:rFonts w:hint="eastAsia" w:hAnsi="宋体"/>
                <w:szCs w:val="21"/>
              </w:rPr>
              <w:t>。</w:t>
            </w:r>
          </w:p>
          <w:p w14:paraId="00E3C110">
            <w:pPr>
              <w:spacing w:line="240" w:lineRule="auto"/>
              <w:ind w:firstLine="420" w:firstLineChars="200"/>
              <w:rPr>
                <w:color w:val="000000"/>
              </w:rPr>
            </w:pPr>
          </w:p>
          <w:p w14:paraId="678E90A0">
            <w:pPr>
              <w:spacing w:line="240" w:lineRule="auto"/>
              <w:ind w:firstLine="420" w:firstLineChars="200"/>
              <w:rPr>
                <w:color w:val="000000"/>
              </w:rPr>
            </w:pPr>
          </w:p>
          <w:p w14:paraId="3F529780">
            <w:pPr>
              <w:spacing w:line="240" w:lineRule="auto"/>
              <w:ind w:firstLine="420" w:firstLineChars="200"/>
              <w:rPr>
                <w:color w:val="000000"/>
              </w:rPr>
            </w:pPr>
          </w:p>
          <w:p w14:paraId="0B2B95AC">
            <w:pPr>
              <w:spacing w:line="240" w:lineRule="auto"/>
              <w:ind w:firstLine="420" w:firstLineChars="200"/>
              <w:rPr>
                <w:color w:val="000000"/>
              </w:rPr>
            </w:pPr>
          </w:p>
          <w:p w14:paraId="5619244B">
            <w:pPr>
              <w:spacing w:line="240" w:lineRule="auto"/>
              <w:ind w:firstLine="420" w:firstLineChars="200"/>
              <w:rPr>
                <w:color w:val="000000"/>
              </w:rPr>
            </w:pPr>
          </w:p>
          <w:p w14:paraId="56CA9B5A">
            <w:pPr>
              <w:spacing w:line="240" w:lineRule="auto"/>
              <w:ind w:firstLine="420" w:firstLineChars="200"/>
              <w:rPr>
                <w:color w:val="000000"/>
              </w:rPr>
            </w:pPr>
          </w:p>
          <w:p w14:paraId="4F107F9D">
            <w:pPr>
              <w:spacing w:line="240" w:lineRule="auto"/>
              <w:ind w:firstLine="420" w:firstLineChars="200"/>
              <w:rPr>
                <w:color w:val="000000"/>
              </w:rPr>
            </w:pPr>
          </w:p>
          <w:p w14:paraId="472B78C8">
            <w:pPr>
              <w:spacing w:line="240" w:lineRule="auto"/>
              <w:ind w:firstLine="420" w:firstLineChars="200"/>
              <w:rPr>
                <w:color w:val="000000"/>
              </w:rPr>
            </w:pPr>
          </w:p>
          <w:p w14:paraId="41D476ED">
            <w:pPr>
              <w:spacing w:line="240" w:lineRule="auto"/>
              <w:ind w:firstLine="420" w:firstLineChars="200"/>
              <w:rPr>
                <w:color w:val="000000"/>
              </w:rPr>
            </w:pPr>
          </w:p>
          <w:p w14:paraId="49810B2D">
            <w:pPr>
              <w:spacing w:line="240" w:lineRule="auto"/>
              <w:ind w:firstLine="420" w:firstLineChars="200"/>
              <w:rPr>
                <w:color w:val="000000"/>
              </w:rPr>
            </w:pPr>
          </w:p>
          <w:p w14:paraId="7E19F4CB">
            <w:pPr>
              <w:spacing w:line="240" w:lineRule="auto"/>
              <w:ind w:firstLine="420" w:firstLineChars="200"/>
              <w:rPr>
                <w:color w:val="000000"/>
              </w:rPr>
            </w:pPr>
          </w:p>
          <w:p w14:paraId="472E30C1">
            <w:pPr>
              <w:spacing w:line="240" w:lineRule="auto"/>
              <w:ind w:firstLine="420" w:firstLineChars="200"/>
              <w:rPr>
                <w:color w:val="000000"/>
              </w:rPr>
            </w:pPr>
          </w:p>
          <w:p w14:paraId="6495527D">
            <w:pPr>
              <w:spacing w:line="240" w:lineRule="auto"/>
              <w:ind w:firstLine="420" w:firstLineChars="200"/>
              <w:rPr>
                <w:color w:val="000000"/>
              </w:rPr>
            </w:pPr>
          </w:p>
          <w:p w14:paraId="58CFFE4C">
            <w:pPr>
              <w:spacing w:line="240" w:lineRule="auto"/>
              <w:ind w:firstLine="420" w:firstLineChars="200"/>
              <w:rPr>
                <w:color w:val="000000"/>
              </w:rPr>
            </w:pPr>
          </w:p>
          <w:p w14:paraId="328467E6">
            <w:pPr>
              <w:spacing w:line="240" w:lineRule="auto"/>
              <w:ind w:firstLine="420" w:firstLineChars="200"/>
              <w:rPr>
                <w:color w:val="000000"/>
              </w:rPr>
            </w:pPr>
          </w:p>
          <w:p w14:paraId="23AB876C">
            <w:pPr>
              <w:spacing w:line="240" w:lineRule="auto"/>
              <w:ind w:firstLine="420" w:firstLineChars="200"/>
              <w:rPr>
                <w:color w:val="000000"/>
              </w:rPr>
            </w:pPr>
          </w:p>
          <w:p w14:paraId="0B28B508">
            <w:pPr>
              <w:spacing w:line="240" w:lineRule="auto"/>
              <w:ind w:firstLine="420" w:firstLineChars="200"/>
              <w:rPr>
                <w:color w:val="000000"/>
              </w:rPr>
            </w:pPr>
          </w:p>
          <w:p w14:paraId="1619EA51">
            <w:pPr>
              <w:spacing w:line="240" w:lineRule="auto"/>
              <w:ind w:firstLine="420" w:firstLineChars="200"/>
              <w:rPr>
                <w:color w:val="000000"/>
              </w:rPr>
            </w:pPr>
          </w:p>
          <w:p w14:paraId="1CDDAE2B">
            <w:pPr>
              <w:spacing w:line="240" w:lineRule="auto"/>
              <w:ind w:firstLine="420" w:firstLineChars="200"/>
              <w:rPr>
                <w:color w:val="000000"/>
              </w:rPr>
            </w:pPr>
          </w:p>
          <w:p w14:paraId="5DF02103">
            <w:pPr>
              <w:spacing w:line="240" w:lineRule="auto"/>
              <w:ind w:firstLine="420" w:firstLineChars="200"/>
              <w:rPr>
                <w:color w:val="000000"/>
              </w:rPr>
            </w:pPr>
          </w:p>
          <w:p w14:paraId="2E34BCF6">
            <w:pPr>
              <w:spacing w:line="240" w:lineRule="auto"/>
              <w:ind w:firstLine="420" w:firstLineChars="200"/>
              <w:rPr>
                <w:color w:val="000000"/>
              </w:rPr>
            </w:pPr>
          </w:p>
          <w:p w14:paraId="215C6B85">
            <w:pPr>
              <w:spacing w:line="240" w:lineRule="auto"/>
              <w:ind w:firstLine="420" w:firstLineChars="200"/>
              <w:rPr>
                <w:color w:val="000000"/>
              </w:rPr>
            </w:pPr>
          </w:p>
          <w:p w14:paraId="50D9C28D">
            <w:pPr>
              <w:spacing w:line="240" w:lineRule="auto"/>
              <w:ind w:firstLine="420" w:firstLineChars="200"/>
              <w:rPr>
                <w:color w:val="000000"/>
              </w:rPr>
            </w:pPr>
          </w:p>
          <w:p w14:paraId="69BF2CF9">
            <w:pPr>
              <w:spacing w:line="240" w:lineRule="auto"/>
              <w:ind w:firstLine="420" w:firstLineChars="200"/>
              <w:rPr>
                <w:color w:val="000000"/>
              </w:rPr>
            </w:pPr>
          </w:p>
          <w:p w14:paraId="53CC3B85">
            <w:pPr>
              <w:spacing w:line="240" w:lineRule="auto"/>
              <w:ind w:firstLine="420" w:firstLineChars="200"/>
              <w:rPr>
                <w:color w:val="000000"/>
              </w:rPr>
            </w:pPr>
          </w:p>
          <w:p w14:paraId="3929BA59">
            <w:pPr>
              <w:spacing w:line="240" w:lineRule="auto"/>
              <w:ind w:firstLine="420" w:firstLineChars="200"/>
              <w:rPr>
                <w:color w:val="000000"/>
              </w:rPr>
            </w:pPr>
          </w:p>
          <w:p w14:paraId="7F70B05F">
            <w:pPr>
              <w:spacing w:line="240" w:lineRule="auto"/>
              <w:ind w:firstLine="420" w:firstLineChars="200"/>
              <w:rPr>
                <w:color w:val="000000"/>
              </w:rPr>
            </w:pPr>
          </w:p>
          <w:p w14:paraId="0F6F5CF7">
            <w:pPr>
              <w:spacing w:line="240" w:lineRule="auto"/>
              <w:ind w:firstLine="420" w:firstLineChars="200"/>
              <w:rPr>
                <w:color w:val="000000"/>
              </w:rPr>
            </w:pPr>
          </w:p>
        </w:tc>
      </w:tr>
    </w:tbl>
    <w:p w14:paraId="24136BA3">
      <w:pPr>
        <w:rPr>
          <w:b/>
          <w:color w:val="000000"/>
          <w:sz w:val="28"/>
          <w:szCs w:val="28"/>
        </w:rPr>
      </w:pPr>
      <w:r>
        <w:rPr>
          <w:rFonts w:hint="eastAsia"/>
          <w:b/>
          <w:color w:val="000000"/>
          <w:sz w:val="28"/>
          <w:szCs w:val="28"/>
        </w:rPr>
        <w:t>结论与建议</w:t>
      </w:r>
    </w:p>
    <w:tbl>
      <w:tblPr>
        <w:tblStyle w:val="2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72"/>
      </w:tblGrid>
      <w:tr w14:paraId="30133B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3" w:hRule="atLeast"/>
        </w:trPr>
        <w:tc>
          <w:tcPr>
            <w:tcW w:w="9072" w:type="dxa"/>
            <w:tcBorders>
              <w:top w:val="single" w:color="auto" w:sz="4" w:space="0"/>
              <w:left w:val="single" w:color="auto" w:sz="4" w:space="0"/>
              <w:bottom w:val="single" w:color="auto" w:sz="4" w:space="0"/>
              <w:right w:val="single" w:color="auto" w:sz="4" w:space="0"/>
            </w:tcBorders>
          </w:tcPr>
          <w:p w14:paraId="1D00C6EE">
            <w:pPr>
              <w:pStyle w:val="14"/>
              <w:spacing w:after="0" w:line="360" w:lineRule="auto"/>
              <w:ind w:left="0" w:leftChars="0" w:firstLine="482" w:firstLineChars="200"/>
              <w:rPr>
                <w:rFonts w:ascii="黑体" w:hAnsi="黑体" w:eastAsia="黑体"/>
                <w:b/>
                <w:color w:val="000000"/>
                <w:sz w:val="24"/>
              </w:rPr>
            </w:pPr>
            <w:r>
              <w:rPr>
                <w:rFonts w:hint="eastAsia" w:ascii="黑体" w:hAnsi="黑体" w:eastAsia="黑体"/>
                <w:b/>
                <w:color w:val="000000"/>
                <w:sz w:val="24"/>
              </w:rPr>
              <w:t>一、结论</w:t>
            </w:r>
          </w:p>
          <w:p w14:paraId="5D5D685F">
            <w:pPr>
              <w:ind w:firstLine="480" w:firstLineChars="200"/>
              <w:rPr>
                <w:color w:val="000000"/>
                <w:sz w:val="24"/>
              </w:rPr>
            </w:pPr>
            <w:r>
              <w:rPr>
                <w:color w:val="000000"/>
                <w:sz w:val="24"/>
              </w:rPr>
              <w:t>1</w:t>
            </w:r>
            <w:r>
              <w:rPr>
                <w:rFonts w:hint="eastAsia"/>
                <w:color w:val="000000"/>
                <w:sz w:val="24"/>
              </w:rPr>
              <w:t>、建设项目情况</w:t>
            </w:r>
          </w:p>
          <w:p w14:paraId="627156CF">
            <w:pPr>
              <w:ind w:firstLine="480" w:firstLineChars="200"/>
              <w:rPr>
                <w:color w:val="000000"/>
                <w:sz w:val="24"/>
              </w:rPr>
            </w:pPr>
            <w:r>
              <w:rPr>
                <w:rFonts w:hint="eastAsia"/>
                <w:color w:val="000000"/>
                <w:sz w:val="24"/>
              </w:rPr>
              <w:t>（</w:t>
            </w:r>
            <w:r>
              <w:rPr>
                <w:color w:val="000000"/>
                <w:sz w:val="24"/>
              </w:rPr>
              <w:t>1</w:t>
            </w:r>
            <w:r>
              <w:rPr>
                <w:rFonts w:hint="eastAsia"/>
                <w:color w:val="000000"/>
                <w:sz w:val="24"/>
              </w:rPr>
              <w:t>）项目概况</w:t>
            </w:r>
          </w:p>
          <w:p w14:paraId="6461295B">
            <w:pPr>
              <w:ind w:firstLine="480" w:firstLineChars="200"/>
              <w:rPr>
                <w:color w:val="000000"/>
                <w:sz w:val="24"/>
              </w:rPr>
            </w:pPr>
            <w:r>
              <w:rPr>
                <w:rFonts w:hint="eastAsia"/>
                <w:color w:val="000000"/>
                <w:sz w:val="24"/>
              </w:rPr>
              <w:t>项目名称：</w:t>
            </w:r>
            <w:r>
              <w:rPr>
                <w:rFonts w:hint="eastAsia"/>
                <w:sz w:val="24"/>
              </w:rPr>
              <w:t>苏尼特左旗风鼎特高压外送</w:t>
            </w:r>
            <w:r>
              <w:rPr>
                <w:sz w:val="24"/>
              </w:rPr>
              <w:t>300MW</w:t>
            </w:r>
            <w:r>
              <w:rPr>
                <w:rFonts w:hint="eastAsia"/>
                <w:sz w:val="24"/>
              </w:rPr>
              <w:t>风电项目</w:t>
            </w:r>
          </w:p>
          <w:p w14:paraId="3E3FD80C">
            <w:pPr>
              <w:ind w:firstLine="480" w:firstLineChars="200"/>
              <w:rPr>
                <w:color w:val="000000"/>
                <w:sz w:val="24"/>
              </w:rPr>
            </w:pPr>
            <w:r>
              <w:rPr>
                <w:rFonts w:hint="eastAsia"/>
                <w:color w:val="000000"/>
                <w:sz w:val="24"/>
              </w:rPr>
              <w:t>建设性质：新建</w:t>
            </w:r>
          </w:p>
          <w:p w14:paraId="2376B25B">
            <w:pPr>
              <w:ind w:firstLine="480" w:firstLineChars="200"/>
              <w:rPr>
                <w:color w:val="000000"/>
                <w:sz w:val="24"/>
              </w:rPr>
            </w:pPr>
            <w:r>
              <w:rPr>
                <w:rFonts w:hint="eastAsia"/>
                <w:color w:val="000000"/>
                <w:sz w:val="24"/>
              </w:rPr>
              <w:t>项目建设规模：</w:t>
            </w:r>
            <w:r>
              <w:rPr>
                <w:rFonts w:hint="eastAsia"/>
                <w:sz w:val="24"/>
              </w:rPr>
              <w:t>共安装</w:t>
            </w:r>
            <w:r>
              <w:rPr>
                <w:sz w:val="24"/>
              </w:rPr>
              <w:t>120</w:t>
            </w:r>
            <w:r>
              <w:rPr>
                <w:rFonts w:hint="eastAsia"/>
                <w:sz w:val="24"/>
              </w:rPr>
              <w:t>台单机容量为</w:t>
            </w:r>
            <w:r>
              <w:rPr>
                <w:sz w:val="24"/>
              </w:rPr>
              <w:t>2.5MW</w:t>
            </w:r>
            <w:r>
              <w:rPr>
                <w:rFonts w:hint="eastAsia"/>
                <w:sz w:val="24"/>
              </w:rPr>
              <w:t>风力发电机组，总容量为</w:t>
            </w:r>
            <w:r>
              <w:rPr>
                <w:sz w:val="24"/>
              </w:rPr>
              <w:t>300MW</w:t>
            </w:r>
            <w:r>
              <w:rPr>
                <w:rFonts w:hint="eastAsia"/>
                <w:sz w:val="24"/>
              </w:rPr>
              <w:t>，建设</w:t>
            </w:r>
            <w:r>
              <w:rPr>
                <w:sz w:val="24"/>
              </w:rPr>
              <w:t>1</w:t>
            </w:r>
            <w:r>
              <w:rPr>
                <w:rFonts w:hint="eastAsia"/>
                <w:sz w:val="24"/>
              </w:rPr>
              <w:t>座</w:t>
            </w:r>
            <w:r>
              <w:rPr>
                <w:sz w:val="24"/>
              </w:rPr>
              <w:t>220kV</w:t>
            </w:r>
            <w:r>
              <w:rPr>
                <w:rFonts w:hint="eastAsia"/>
                <w:sz w:val="24"/>
              </w:rPr>
              <w:t>升压站，年上网电量为</w:t>
            </w:r>
            <w:r>
              <w:rPr>
                <w:sz w:val="24"/>
              </w:rPr>
              <w:t>92730</w:t>
            </w:r>
            <w:r>
              <w:rPr>
                <w:rFonts w:hint="eastAsia"/>
                <w:sz w:val="24"/>
              </w:rPr>
              <w:t>万</w:t>
            </w:r>
            <w:r>
              <w:rPr>
                <w:sz w:val="24"/>
              </w:rPr>
              <w:t>kW</w:t>
            </w:r>
            <w:r>
              <w:rPr>
                <w:color w:val="000000"/>
                <w:sz w:val="24"/>
              </w:rPr>
              <w:t>·</w:t>
            </w:r>
            <w:r>
              <w:rPr>
                <w:sz w:val="24"/>
              </w:rPr>
              <w:t>h</w:t>
            </w:r>
            <w:r>
              <w:rPr>
                <w:rFonts w:hint="eastAsia"/>
                <w:sz w:val="24"/>
              </w:rPr>
              <w:t>，年等效满负荷利用小时数为</w:t>
            </w:r>
            <w:r>
              <w:rPr>
                <w:sz w:val="24"/>
              </w:rPr>
              <w:t>3091h</w:t>
            </w:r>
          </w:p>
          <w:p w14:paraId="63886E6D">
            <w:pPr>
              <w:ind w:firstLine="480" w:firstLineChars="200"/>
              <w:rPr>
                <w:color w:val="000000"/>
                <w:sz w:val="24"/>
              </w:rPr>
            </w:pPr>
            <w:r>
              <w:rPr>
                <w:rFonts w:hint="eastAsia"/>
                <w:color w:val="000000"/>
                <w:sz w:val="24"/>
              </w:rPr>
              <w:t>建设期：项目建设期为</w:t>
            </w:r>
            <w:r>
              <w:rPr>
                <w:color w:val="000000"/>
                <w:sz w:val="24"/>
              </w:rPr>
              <w:t>18</w:t>
            </w:r>
            <w:r>
              <w:rPr>
                <w:rFonts w:hint="eastAsia"/>
                <w:color w:val="000000"/>
                <w:sz w:val="24"/>
              </w:rPr>
              <w:t>个月，预计</w:t>
            </w:r>
            <w:r>
              <w:rPr>
                <w:color w:val="000000"/>
                <w:sz w:val="24"/>
              </w:rPr>
              <w:t>2019</w:t>
            </w:r>
            <w:r>
              <w:rPr>
                <w:rFonts w:hint="eastAsia"/>
                <w:color w:val="000000"/>
                <w:sz w:val="24"/>
              </w:rPr>
              <w:t>年</w:t>
            </w:r>
            <w:r>
              <w:rPr>
                <w:color w:val="000000"/>
                <w:sz w:val="24"/>
              </w:rPr>
              <w:t>9</w:t>
            </w:r>
            <w:r>
              <w:rPr>
                <w:rFonts w:hint="eastAsia"/>
                <w:color w:val="000000"/>
                <w:sz w:val="24"/>
              </w:rPr>
              <w:t>月投入运行</w:t>
            </w:r>
          </w:p>
          <w:p w14:paraId="4D5493B3">
            <w:pPr>
              <w:ind w:firstLine="480" w:firstLineChars="200"/>
              <w:rPr>
                <w:sz w:val="24"/>
              </w:rPr>
            </w:pPr>
            <w:r>
              <w:rPr>
                <w:rFonts w:hint="eastAsia"/>
                <w:sz w:val="24"/>
              </w:rPr>
              <w:t>工程投资和环保投资：项目总投资</w:t>
            </w:r>
            <w:r>
              <w:rPr>
                <w:color w:val="000000"/>
                <w:sz w:val="24"/>
              </w:rPr>
              <w:t>197457.18</w:t>
            </w:r>
            <w:r>
              <w:rPr>
                <w:rFonts w:hint="eastAsia"/>
                <w:sz w:val="24"/>
              </w:rPr>
              <w:t>万元，其中环保投资</w:t>
            </w:r>
            <w:r>
              <w:rPr>
                <w:sz w:val="24"/>
              </w:rPr>
              <w:t>688.01</w:t>
            </w:r>
            <w:r>
              <w:rPr>
                <w:rFonts w:hint="eastAsia"/>
                <w:sz w:val="24"/>
              </w:rPr>
              <w:t>万元，占总投资的</w:t>
            </w:r>
            <w:r>
              <w:rPr>
                <w:sz w:val="24"/>
              </w:rPr>
              <w:t>0.35%</w:t>
            </w:r>
          </w:p>
          <w:p w14:paraId="668E2EA9">
            <w:pPr>
              <w:ind w:firstLine="480" w:firstLineChars="200"/>
              <w:rPr>
                <w:color w:val="000000"/>
                <w:sz w:val="24"/>
              </w:rPr>
            </w:pPr>
            <w:r>
              <w:rPr>
                <w:rFonts w:hint="eastAsia"/>
                <w:color w:val="000000"/>
                <w:sz w:val="24"/>
              </w:rPr>
              <w:t>占地面积：项目占地面积为</w:t>
            </w:r>
            <w:r>
              <w:rPr>
                <w:color w:val="000000"/>
                <w:sz w:val="24"/>
              </w:rPr>
              <w:t>1361240m</w:t>
            </w:r>
            <w:r>
              <w:rPr>
                <w:color w:val="000000"/>
                <w:sz w:val="24"/>
                <w:vertAlign w:val="superscript"/>
              </w:rPr>
              <w:t>2</w:t>
            </w:r>
            <w:r>
              <w:rPr>
                <w:rFonts w:hint="eastAsia"/>
                <w:color w:val="000000"/>
                <w:sz w:val="24"/>
              </w:rPr>
              <w:t>，植被恢复面积为</w:t>
            </w:r>
            <w:r>
              <w:rPr>
                <w:color w:val="000000"/>
                <w:sz w:val="24"/>
              </w:rPr>
              <w:t>597806m</w:t>
            </w:r>
            <w:r>
              <w:rPr>
                <w:color w:val="000000"/>
                <w:sz w:val="24"/>
                <w:vertAlign w:val="superscript"/>
              </w:rPr>
              <w:t>2</w:t>
            </w:r>
            <w:r>
              <w:rPr>
                <w:rFonts w:hint="eastAsia"/>
                <w:color w:val="000000"/>
                <w:sz w:val="24"/>
              </w:rPr>
              <w:t>，植被恢复率为</w:t>
            </w:r>
            <w:r>
              <w:rPr>
                <w:color w:val="000000"/>
                <w:sz w:val="24"/>
              </w:rPr>
              <w:t>43.92%</w:t>
            </w:r>
          </w:p>
          <w:p w14:paraId="24387538">
            <w:pPr>
              <w:ind w:firstLine="480" w:firstLineChars="200"/>
              <w:rPr>
                <w:sz w:val="24"/>
              </w:rPr>
            </w:pPr>
            <w:r>
              <w:rPr>
                <w:rFonts w:hint="eastAsia"/>
                <w:color w:val="000000"/>
                <w:sz w:val="24"/>
              </w:rPr>
              <w:t>劳动定员和工作制度：</w:t>
            </w:r>
            <w:r>
              <w:rPr>
                <w:rFonts w:hint="eastAsia"/>
                <w:sz w:val="24"/>
                <w:szCs w:val="22"/>
              </w:rPr>
              <w:t>劳动定员</w:t>
            </w:r>
            <w:r>
              <w:rPr>
                <w:sz w:val="24"/>
                <w:szCs w:val="22"/>
              </w:rPr>
              <w:t>30</w:t>
            </w:r>
            <w:r>
              <w:rPr>
                <w:rFonts w:hint="eastAsia"/>
                <w:sz w:val="24"/>
                <w:szCs w:val="22"/>
              </w:rPr>
              <w:t>人，年工作</w:t>
            </w:r>
            <w:r>
              <w:rPr>
                <w:sz w:val="24"/>
                <w:szCs w:val="22"/>
              </w:rPr>
              <w:t>365</w:t>
            </w:r>
            <w:r>
              <w:rPr>
                <w:rFonts w:hint="eastAsia"/>
                <w:sz w:val="24"/>
                <w:szCs w:val="22"/>
              </w:rPr>
              <w:t>天，营运期升压站</w:t>
            </w:r>
            <w:r>
              <w:rPr>
                <w:rFonts w:hint="eastAsia"/>
                <w:sz w:val="24"/>
              </w:rPr>
              <w:t>实行四班三运转制，每班</w:t>
            </w:r>
            <w:r>
              <w:rPr>
                <w:sz w:val="24"/>
              </w:rPr>
              <w:t>8</w:t>
            </w:r>
            <w:r>
              <w:rPr>
                <w:rFonts w:hint="eastAsia"/>
                <w:sz w:val="24"/>
              </w:rPr>
              <w:t>小时</w:t>
            </w:r>
          </w:p>
          <w:p w14:paraId="35366177">
            <w:pPr>
              <w:ind w:firstLine="480" w:firstLineChars="200"/>
              <w:rPr>
                <w:color w:val="000000"/>
                <w:sz w:val="24"/>
              </w:rPr>
            </w:pPr>
            <w:r>
              <w:rPr>
                <w:rFonts w:hint="eastAsia"/>
                <w:color w:val="000000"/>
                <w:sz w:val="24"/>
              </w:rPr>
              <w:t>（</w:t>
            </w:r>
            <w:r>
              <w:rPr>
                <w:color w:val="000000"/>
                <w:sz w:val="24"/>
              </w:rPr>
              <w:t>2</w:t>
            </w:r>
            <w:r>
              <w:rPr>
                <w:rFonts w:hint="eastAsia"/>
                <w:color w:val="000000"/>
                <w:sz w:val="24"/>
              </w:rPr>
              <w:t>）项目选址</w:t>
            </w:r>
          </w:p>
          <w:p w14:paraId="40031100">
            <w:pPr>
              <w:ind w:firstLine="480" w:firstLineChars="200"/>
              <w:rPr>
                <w:color w:val="000000"/>
                <w:sz w:val="24"/>
              </w:rPr>
            </w:pPr>
            <w:r>
              <w:rPr>
                <w:rFonts w:hint="eastAsia"/>
                <w:sz w:val="24"/>
              </w:rPr>
              <w:t>风电场场址位于内蒙古自</w:t>
            </w:r>
            <w:r>
              <w:rPr>
                <w:rFonts w:hint="eastAsia"/>
                <w:sz w:val="24"/>
                <w:lang w:eastAsia="zh-CN"/>
              </w:rPr>
              <w:t>治</w:t>
            </w:r>
            <w:r>
              <w:rPr>
                <w:rFonts w:hint="eastAsia"/>
                <w:sz w:val="24"/>
              </w:rPr>
              <w:t>区锡林郭勒盟苏尼特左旗满都拉图镇东北</w:t>
            </w:r>
            <w:r>
              <w:rPr>
                <w:sz w:val="24"/>
              </w:rPr>
              <w:t>26km</w:t>
            </w:r>
            <w:r>
              <w:rPr>
                <w:rFonts w:hint="eastAsia"/>
                <w:sz w:val="24"/>
              </w:rPr>
              <w:t>处，</w:t>
            </w:r>
            <w:r>
              <w:rPr>
                <w:rFonts w:hint="eastAsia"/>
                <w:sz w:val="24"/>
                <w:szCs w:val="22"/>
              </w:rPr>
              <w:t>风电场中心坐标</w:t>
            </w:r>
            <w:r>
              <w:rPr>
                <w:sz w:val="24"/>
                <w:szCs w:val="22"/>
              </w:rPr>
              <w:t>N</w:t>
            </w:r>
            <w:r>
              <w:rPr>
                <w:rFonts w:hint="eastAsia"/>
                <w:sz w:val="24"/>
                <w:szCs w:val="22"/>
              </w:rPr>
              <w:t>：</w:t>
            </w:r>
            <w:r>
              <w:rPr>
                <w:sz w:val="24"/>
                <w:szCs w:val="22"/>
              </w:rPr>
              <w:t>44°02'16.53"</w:t>
            </w:r>
            <w:r>
              <w:rPr>
                <w:rFonts w:hint="eastAsia"/>
                <w:sz w:val="24"/>
                <w:szCs w:val="22"/>
              </w:rPr>
              <w:t>，</w:t>
            </w:r>
            <w:r>
              <w:rPr>
                <w:sz w:val="24"/>
                <w:szCs w:val="22"/>
              </w:rPr>
              <w:t>E</w:t>
            </w:r>
            <w:r>
              <w:rPr>
                <w:rFonts w:hint="eastAsia"/>
                <w:sz w:val="24"/>
                <w:szCs w:val="22"/>
              </w:rPr>
              <w:t>：</w:t>
            </w:r>
            <w:r>
              <w:rPr>
                <w:sz w:val="24"/>
                <w:szCs w:val="22"/>
              </w:rPr>
              <w:t>114°02'13.38"</w:t>
            </w:r>
            <w:r>
              <w:rPr>
                <w:rFonts w:hint="eastAsia"/>
                <w:sz w:val="24"/>
                <w:szCs w:val="22"/>
              </w:rPr>
              <w:t>。</w:t>
            </w:r>
          </w:p>
          <w:p w14:paraId="473CE7E9">
            <w:pPr>
              <w:ind w:firstLine="480" w:firstLineChars="200"/>
              <w:rPr>
                <w:color w:val="000000"/>
                <w:sz w:val="24"/>
              </w:rPr>
            </w:pPr>
            <w:r>
              <w:rPr>
                <w:rFonts w:hint="eastAsia"/>
                <w:color w:val="000000"/>
                <w:sz w:val="24"/>
              </w:rPr>
              <w:t>（</w:t>
            </w:r>
            <w:r>
              <w:rPr>
                <w:color w:val="000000"/>
                <w:sz w:val="24"/>
              </w:rPr>
              <w:t>3</w:t>
            </w:r>
            <w:r>
              <w:rPr>
                <w:rFonts w:hint="eastAsia"/>
                <w:color w:val="000000"/>
                <w:sz w:val="24"/>
              </w:rPr>
              <w:t>）建设内容</w:t>
            </w:r>
          </w:p>
          <w:p w14:paraId="5C18B5CB">
            <w:pPr>
              <w:ind w:firstLine="480" w:firstLineChars="200"/>
              <w:rPr>
                <w:color w:val="000000"/>
                <w:sz w:val="24"/>
              </w:rPr>
            </w:pPr>
            <w:r>
              <w:rPr>
                <w:rFonts w:hint="eastAsia"/>
                <w:color w:val="000000"/>
                <w:sz w:val="24"/>
              </w:rPr>
              <w:t>本工程建设分为</w:t>
            </w:r>
            <w:r>
              <w:rPr>
                <w:rFonts w:hint="eastAsia"/>
                <w:sz w:val="24"/>
              </w:rPr>
              <w:t>主体工程、配套工程、公用工程、临时工程以及环保工程</w:t>
            </w:r>
            <w:r>
              <w:rPr>
                <w:rFonts w:hint="eastAsia"/>
                <w:color w:val="000000"/>
                <w:sz w:val="24"/>
              </w:rPr>
              <w:t>。</w:t>
            </w:r>
            <w:r>
              <w:rPr>
                <w:rFonts w:hint="eastAsia"/>
                <w:sz w:val="24"/>
              </w:rPr>
              <w:t>建设内容主要有发电机组、升压站、集输电线路、给排水、事故油池、危废暂存间等。</w:t>
            </w:r>
          </w:p>
          <w:p w14:paraId="515D5586">
            <w:pPr>
              <w:ind w:firstLine="480" w:firstLineChars="200"/>
              <w:rPr>
                <w:color w:val="000000"/>
                <w:sz w:val="24"/>
              </w:rPr>
            </w:pPr>
            <w:r>
              <w:rPr>
                <w:rFonts w:hint="eastAsia"/>
                <w:color w:val="000000"/>
                <w:sz w:val="24"/>
              </w:rPr>
              <w:t>本项目为</w:t>
            </w:r>
            <w:r>
              <w:rPr>
                <w:rFonts w:hint="eastAsia"/>
                <w:sz w:val="24"/>
              </w:rPr>
              <w:t>风力发电</w:t>
            </w:r>
            <w:r>
              <w:rPr>
                <w:rFonts w:hint="eastAsia"/>
                <w:color w:val="000000"/>
                <w:sz w:val="24"/>
              </w:rPr>
              <w:t>项目，根据《产业结构调整指导目录（</w:t>
            </w:r>
            <w:r>
              <w:rPr>
                <w:color w:val="000000"/>
                <w:sz w:val="24"/>
              </w:rPr>
              <w:t>2011</w:t>
            </w:r>
            <w:r>
              <w:rPr>
                <w:rFonts w:hint="eastAsia"/>
                <w:color w:val="000000"/>
                <w:sz w:val="24"/>
              </w:rPr>
              <w:t>年本）》（</w:t>
            </w:r>
            <w:r>
              <w:rPr>
                <w:color w:val="000000"/>
                <w:sz w:val="24"/>
              </w:rPr>
              <w:t>2013</w:t>
            </w:r>
            <w:r>
              <w:rPr>
                <w:rFonts w:hint="eastAsia"/>
                <w:color w:val="000000"/>
                <w:sz w:val="24"/>
              </w:rPr>
              <w:t>年修正），本项目不属于限制类和淘汰类产业，属于允许类。</w:t>
            </w:r>
          </w:p>
          <w:p w14:paraId="0CBDB2FC">
            <w:pPr>
              <w:ind w:firstLine="480" w:firstLineChars="200"/>
              <w:rPr>
                <w:color w:val="000000"/>
                <w:sz w:val="24"/>
              </w:rPr>
            </w:pPr>
            <w:r>
              <w:rPr>
                <w:color w:val="000000"/>
                <w:sz w:val="24"/>
              </w:rPr>
              <w:t>2</w:t>
            </w:r>
            <w:r>
              <w:rPr>
                <w:rFonts w:hint="eastAsia"/>
                <w:color w:val="000000"/>
                <w:sz w:val="24"/>
              </w:rPr>
              <w:t>、环境质量现状和区域主要环境问题</w:t>
            </w:r>
          </w:p>
          <w:p w14:paraId="770DB1A5">
            <w:pPr>
              <w:ind w:firstLine="480" w:firstLineChars="200"/>
              <w:rPr>
                <w:color w:val="000000"/>
                <w:sz w:val="24"/>
              </w:rPr>
            </w:pPr>
            <w:r>
              <w:rPr>
                <w:rFonts w:hint="eastAsia"/>
                <w:color w:val="000000"/>
                <w:sz w:val="24"/>
              </w:rPr>
              <w:t>（</w:t>
            </w:r>
            <w:r>
              <w:rPr>
                <w:color w:val="000000"/>
                <w:sz w:val="24"/>
              </w:rPr>
              <w:t>1</w:t>
            </w:r>
            <w:r>
              <w:rPr>
                <w:rFonts w:hint="eastAsia"/>
                <w:color w:val="000000"/>
                <w:sz w:val="24"/>
              </w:rPr>
              <w:t>）环境质量现状</w:t>
            </w:r>
          </w:p>
          <w:p w14:paraId="21011C88">
            <w:pPr>
              <w:ind w:firstLine="480" w:firstLineChars="200"/>
              <w:rPr>
                <w:color w:val="000000"/>
                <w:sz w:val="24"/>
              </w:rPr>
            </w:pPr>
            <w:r>
              <w:rPr>
                <w:rFonts w:hint="eastAsia"/>
                <w:sz w:val="24"/>
              </w:rPr>
              <w:t>场地较为空旷，地势较平坦，空气扩散能力较强，项目周围无工业污染源，污染因子</w:t>
            </w:r>
            <w:r>
              <w:rPr>
                <w:sz w:val="24"/>
              </w:rPr>
              <w:t>TSP</w:t>
            </w:r>
            <w:r>
              <w:rPr>
                <w:rFonts w:hint="eastAsia"/>
                <w:sz w:val="24"/>
              </w:rPr>
              <w:t>、</w:t>
            </w:r>
            <w:r>
              <w:rPr>
                <w:sz w:val="24"/>
              </w:rPr>
              <w:t>PM</w:t>
            </w:r>
            <w:r>
              <w:rPr>
                <w:sz w:val="24"/>
                <w:vertAlign w:val="subscript"/>
              </w:rPr>
              <w:t>10</w:t>
            </w:r>
            <w:r>
              <w:rPr>
                <w:rFonts w:hint="eastAsia"/>
                <w:sz w:val="24"/>
              </w:rPr>
              <w:t>、</w:t>
            </w:r>
            <w:r>
              <w:rPr>
                <w:sz w:val="24"/>
              </w:rPr>
              <w:t>PM</w:t>
            </w:r>
            <w:r>
              <w:rPr>
                <w:sz w:val="24"/>
                <w:vertAlign w:val="subscript"/>
              </w:rPr>
              <w:t>2.5</w:t>
            </w:r>
            <w:r>
              <w:rPr>
                <w:rFonts w:hint="eastAsia"/>
                <w:sz w:val="24"/>
              </w:rPr>
              <w:t>、</w:t>
            </w:r>
            <w:r>
              <w:rPr>
                <w:sz w:val="24"/>
              </w:rPr>
              <w:t>CO</w:t>
            </w:r>
            <w:r>
              <w:rPr>
                <w:rFonts w:hint="eastAsia"/>
                <w:sz w:val="24"/>
              </w:rPr>
              <w:t>、</w:t>
            </w:r>
            <w:r>
              <w:rPr>
                <w:sz w:val="24"/>
              </w:rPr>
              <w:t>SO</w:t>
            </w:r>
            <w:r>
              <w:rPr>
                <w:sz w:val="24"/>
                <w:vertAlign w:val="subscript"/>
              </w:rPr>
              <w:t>2</w:t>
            </w:r>
            <w:r>
              <w:rPr>
                <w:rFonts w:hint="eastAsia"/>
                <w:sz w:val="24"/>
              </w:rPr>
              <w:t>、</w:t>
            </w:r>
            <w:r>
              <w:rPr>
                <w:sz w:val="24"/>
              </w:rPr>
              <w:t>NO</w:t>
            </w:r>
            <w:r>
              <w:rPr>
                <w:sz w:val="24"/>
                <w:vertAlign w:val="subscript"/>
              </w:rPr>
              <w:t>x</w:t>
            </w:r>
            <w:r>
              <w:rPr>
                <w:rFonts w:hint="eastAsia"/>
                <w:sz w:val="24"/>
              </w:rPr>
              <w:t>等均满足《环境空气质量标准》（</w:t>
            </w:r>
            <w:r>
              <w:rPr>
                <w:sz w:val="24"/>
              </w:rPr>
              <w:t>GB3095-2012</w:t>
            </w:r>
            <w:r>
              <w:rPr>
                <w:rFonts w:hint="eastAsia"/>
                <w:sz w:val="24"/>
              </w:rPr>
              <w:t>）二级标准，区域大气质量较好。</w:t>
            </w:r>
          </w:p>
          <w:p w14:paraId="49A4245D">
            <w:pPr>
              <w:ind w:firstLine="480" w:firstLineChars="200"/>
              <w:rPr>
                <w:color w:val="FF0000"/>
                <w:sz w:val="24"/>
              </w:rPr>
            </w:pPr>
            <w:r>
              <w:rPr>
                <w:rFonts w:hint="eastAsia"/>
                <w:sz w:val="24"/>
              </w:rPr>
              <w:t>根据检测分析可知，阿钦郭勒和拟建升压站噪声监测值昼间为</w:t>
            </w:r>
            <w:r>
              <w:rPr>
                <w:sz w:val="24"/>
              </w:rPr>
              <w:t>47.3</w:t>
            </w:r>
            <w:r>
              <w:rPr>
                <w:rFonts w:hint="eastAsia"/>
                <w:sz w:val="24"/>
              </w:rPr>
              <w:t>～</w:t>
            </w:r>
            <w:r>
              <w:rPr>
                <w:sz w:val="24"/>
              </w:rPr>
              <w:t>51.5dB</w:t>
            </w:r>
            <w:r>
              <w:rPr>
                <w:rFonts w:hint="eastAsia"/>
                <w:sz w:val="24"/>
              </w:rPr>
              <w:t>（</w:t>
            </w:r>
            <w:r>
              <w:rPr>
                <w:sz w:val="24"/>
              </w:rPr>
              <w:t>A</w:t>
            </w:r>
            <w:r>
              <w:rPr>
                <w:rFonts w:hint="eastAsia"/>
                <w:sz w:val="24"/>
              </w:rPr>
              <w:t>），夜间为</w:t>
            </w:r>
            <w:r>
              <w:rPr>
                <w:sz w:val="24"/>
              </w:rPr>
              <w:t>40.0</w:t>
            </w:r>
            <w:r>
              <w:rPr>
                <w:rFonts w:hint="eastAsia"/>
                <w:sz w:val="24"/>
              </w:rPr>
              <w:t>～</w:t>
            </w:r>
            <w:r>
              <w:rPr>
                <w:sz w:val="24"/>
              </w:rPr>
              <w:t>42.7dB</w:t>
            </w:r>
            <w:r>
              <w:rPr>
                <w:rFonts w:hint="eastAsia"/>
                <w:sz w:val="24"/>
              </w:rPr>
              <w:t>（</w:t>
            </w:r>
            <w:r>
              <w:rPr>
                <w:sz w:val="24"/>
              </w:rPr>
              <w:t>A</w:t>
            </w:r>
            <w:r>
              <w:rPr>
                <w:rFonts w:hint="eastAsia"/>
                <w:sz w:val="24"/>
              </w:rPr>
              <w:t>），满足《声环境质量标准》（</w:t>
            </w:r>
            <w:r>
              <w:rPr>
                <w:sz w:val="24"/>
              </w:rPr>
              <w:t>GB3096-2008</w:t>
            </w:r>
            <w:r>
              <w:rPr>
                <w:rFonts w:hint="eastAsia"/>
                <w:sz w:val="24"/>
              </w:rPr>
              <w:t>）</w:t>
            </w:r>
            <w:r>
              <w:rPr>
                <w:sz w:val="24"/>
              </w:rPr>
              <w:t>1</w:t>
            </w:r>
            <w:r>
              <w:rPr>
                <w:rFonts w:hint="eastAsia"/>
                <w:sz w:val="24"/>
              </w:rPr>
              <w:t>类标准要求。</w:t>
            </w:r>
          </w:p>
          <w:p w14:paraId="061B39CB">
            <w:pPr>
              <w:ind w:firstLine="480" w:firstLineChars="200"/>
              <w:rPr>
                <w:color w:val="000000"/>
                <w:sz w:val="24"/>
              </w:rPr>
            </w:pPr>
            <w:r>
              <w:rPr>
                <w:rFonts w:hint="eastAsia"/>
                <w:color w:val="000000"/>
                <w:sz w:val="24"/>
              </w:rPr>
              <w:t>根据现场调查和卫星影像分析，评价区内植被类型主要为典型草原，植被类型以糙隐子草</w:t>
            </w:r>
            <w:r>
              <w:rPr>
                <w:color w:val="000000"/>
                <w:sz w:val="24"/>
              </w:rPr>
              <w:t>+</w:t>
            </w:r>
            <w:r>
              <w:rPr>
                <w:rFonts w:hint="eastAsia"/>
                <w:color w:val="000000"/>
                <w:sz w:val="24"/>
              </w:rPr>
              <w:t>戈壁针茅群落为主，分布面积为</w:t>
            </w:r>
            <w:r>
              <w:rPr>
                <w:color w:val="000000"/>
                <w:sz w:val="24"/>
              </w:rPr>
              <w:t>8133.13hm</w:t>
            </w:r>
            <w:r>
              <w:rPr>
                <w:color w:val="000000"/>
                <w:sz w:val="24"/>
                <w:vertAlign w:val="superscript"/>
              </w:rPr>
              <w:t>2</w:t>
            </w:r>
            <w:r>
              <w:rPr>
                <w:rFonts w:hint="eastAsia"/>
                <w:color w:val="000000"/>
                <w:sz w:val="24"/>
              </w:rPr>
              <w:t>，占评价区总面积的</w:t>
            </w:r>
            <w:r>
              <w:rPr>
                <w:color w:val="000000"/>
                <w:sz w:val="24"/>
              </w:rPr>
              <w:t>52.36%</w:t>
            </w:r>
            <w:r>
              <w:rPr>
                <w:rFonts w:hint="eastAsia"/>
                <w:color w:val="000000"/>
                <w:sz w:val="24"/>
              </w:rPr>
              <w:t>；由于历史上人为扰动较为严重，区域内野生动物的种类不多，数量较少，经过现场勘查，评价区内未发现野生动物集中分布的栖息地和珍稀濒危动物的繁殖地；以遥感影像为信息源，结合地面土地利用和植被调查，评价区内土地利用类型包括草地、工矿仓储用地、住宅用地、交通运输用地、水域与水利设施用地共</w:t>
            </w:r>
            <w:r>
              <w:rPr>
                <w:color w:val="000000"/>
                <w:sz w:val="24"/>
              </w:rPr>
              <w:t>5</w:t>
            </w:r>
            <w:r>
              <w:rPr>
                <w:rFonts w:hint="eastAsia"/>
                <w:color w:val="000000"/>
                <w:sz w:val="24"/>
              </w:rPr>
              <w:t>类，其中以天然牧草地为主，面积为</w:t>
            </w:r>
            <w:r>
              <w:rPr>
                <w:color w:val="000000"/>
                <w:sz w:val="24"/>
              </w:rPr>
              <w:t>14799.17hm</w:t>
            </w:r>
            <w:r>
              <w:rPr>
                <w:color w:val="000000"/>
                <w:sz w:val="24"/>
                <w:vertAlign w:val="superscript"/>
              </w:rPr>
              <w:t>2</w:t>
            </w:r>
            <w:r>
              <w:rPr>
                <w:rFonts w:hint="eastAsia"/>
                <w:color w:val="000000"/>
                <w:sz w:val="24"/>
              </w:rPr>
              <w:t>，占评价区总面积的</w:t>
            </w:r>
            <w:r>
              <w:rPr>
                <w:color w:val="000000"/>
                <w:sz w:val="24"/>
              </w:rPr>
              <w:t>95.28%</w:t>
            </w:r>
            <w:r>
              <w:rPr>
                <w:rFonts w:hint="eastAsia"/>
                <w:color w:val="000000"/>
                <w:sz w:val="24"/>
              </w:rPr>
              <w:t>；根据遥感影像解译结果，评价区内土壤侵蚀类型包括风力侵蚀、水力侵蚀、其他共</w:t>
            </w:r>
            <w:r>
              <w:rPr>
                <w:color w:val="000000"/>
                <w:sz w:val="24"/>
              </w:rPr>
              <w:t>3</w:t>
            </w:r>
            <w:r>
              <w:rPr>
                <w:rFonts w:hint="eastAsia"/>
                <w:color w:val="000000"/>
                <w:sz w:val="24"/>
              </w:rPr>
              <w:t>类，评价区范围内土壤侵蚀以中度风侵为主，面积为</w:t>
            </w:r>
            <w:r>
              <w:rPr>
                <w:color w:val="000000"/>
                <w:sz w:val="24"/>
              </w:rPr>
              <w:t>14799.17hm</w:t>
            </w:r>
            <w:r>
              <w:rPr>
                <w:color w:val="000000"/>
                <w:sz w:val="24"/>
                <w:vertAlign w:val="superscript"/>
              </w:rPr>
              <w:t>2</w:t>
            </w:r>
            <w:r>
              <w:rPr>
                <w:rFonts w:hint="eastAsia"/>
                <w:color w:val="000000"/>
                <w:sz w:val="24"/>
              </w:rPr>
              <w:t>，占评价区总面积的</w:t>
            </w:r>
            <w:r>
              <w:rPr>
                <w:color w:val="000000"/>
                <w:sz w:val="24"/>
              </w:rPr>
              <w:t>95.28%</w:t>
            </w:r>
            <w:r>
              <w:rPr>
                <w:rFonts w:hint="eastAsia"/>
                <w:color w:val="000000"/>
                <w:sz w:val="24"/>
              </w:rPr>
              <w:t>；评价区内景观类型包括典型草原景观、人工建筑景观、干沟景观、低湿地景观共</w:t>
            </w:r>
            <w:r>
              <w:rPr>
                <w:color w:val="000000"/>
                <w:sz w:val="24"/>
              </w:rPr>
              <w:t>4</w:t>
            </w:r>
            <w:r>
              <w:rPr>
                <w:rFonts w:hint="eastAsia"/>
                <w:color w:val="000000"/>
                <w:sz w:val="24"/>
              </w:rPr>
              <w:t>类，以典型草原景观为主，面积为</w:t>
            </w:r>
            <w:r>
              <w:rPr>
                <w:color w:val="000000"/>
                <w:sz w:val="24"/>
              </w:rPr>
              <w:t>14799.17hm</w:t>
            </w:r>
            <w:r>
              <w:rPr>
                <w:color w:val="000000"/>
                <w:sz w:val="24"/>
                <w:vertAlign w:val="superscript"/>
              </w:rPr>
              <w:t>2</w:t>
            </w:r>
            <w:r>
              <w:rPr>
                <w:rFonts w:hint="eastAsia"/>
                <w:color w:val="000000"/>
                <w:sz w:val="24"/>
              </w:rPr>
              <w:t>，占评价区总面积的</w:t>
            </w:r>
            <w:r>
              <w:rPr>
                <w:color w:val="000000"/>
                <w:sz w:val="24"/>
              </w:rPr>
              <w:t>95.28%</w:t>
            </w:r>
            <w:r>
              <w:rPr>
                <w:rFonts w:hint="eastAsia"/>
                <w:color w:val="000000"/>
                <w:sz w:val="24"/>
              </w:rPr>
              <w:t>。</w:t>
            </w:r>
          </w:p>
          <w:p w14:paraId="3CB49176">
            <w:pPr>
              <w:ind w:firstLine="480" w:firstLineChars="200"/>
              <w:rPr>
                <w:color w:val="000000"/>
                <w:sz w:val="24"/>
              </w:rPr>
            </w:pPr>
            <w:r>
              <w:rPr>
                <w:rFonts w:hint="eastAsia"/>
                <w:color w:val="000000"/>
                <w:sz w:val="24"/>
              </w:rPr>
              <w:t>（</w:t>
            </w:r>
            <w:r>
              <w:rPr>
                <w:color w:val="000000"/>
                <w:sz w:val="24"/>
              </w:rPr>
              <w:t>2</w:t>
            </w:r>
            <w:r>
              <w:rPr>
                <w:rFonts w:hint="eastAsia"/>
                <w:color w:val="000000"/>
                <w:sz w:val="24"/>
              </w:rPr>
              <w:t>）区域主要环境问题</w:t>
            </w:r>
          </w:p>
          <w:p w14:paraId="34CDB38A">
            <w:pPr>
              <w:ind w:firstLine="480" w:firstLineChars="200"/>
              <w:rPr>
                <w:color w:val="000000"/>
                <w:sz w:val="24"/>
              </w:rPr>
            </w:pPr>
            <w:r>
              <w:rPr>
                <w:rFonts w:hint="eastAsia"/>
                <w:color w:val="000000"/>
                <w:sz w:val="24"/>
              </w:rPr>
              <w:t>评价区域内没有重点文物、自然保护区、珍稀动植物资源等重点保护目标。根据项目性质及周围环境特征，本次评价将升压站周边</w:t>
            </w:r>
            <w:r>
              <w:rPr>
                <w:color w:val="000000"/>
                <w:sz w:val="24"/>
              </w:rPr>
              <w:t>2.5km</w:t>
            </w:r>
            <w:r>
              <w:rPr>
                <w:rFonts w:hint="eastAsia"/>
                <w:color w:val="000000"/>
                <w:sz w:val="24"/>
              </w:rPr>
              <w:t>范围及检修道路两侧</w:t>
            </w:r>
            <w:r>
              <w:rPr>
                <w:color w:val="000000"/>
                <w:sz w:val="24"/>
              </w:rPr>
              <w:t>200m</w:t>
            </w:r>
            <w:r>
              <w:rPr>
                <w:rFonts w:hint="eastAsia"/>
                <w:color w:val="000000"/>
                <w:sz w:val="24"/>
              </w:rPr>
              <w:t>范围内的居民点作为大气环境保护对象，风力发电机周围</w:t>
            </w:r>
            <w:r>
              <w:rPr>
                <w:color w:val="000000"/>
                <w:sz w:val="24"/>
              </w:rPr>
              <w:t>200m</w:t>
            </w:r>
            <w:r>
              <w:rPr>
                <w:rFonts w:hint="eastAsia"/>
                <w:color w:val="000000"/>
                <w:sz w:val="24"/>
              </w:rPr>
              <w:t>区域、升压站围墙外</w:t>
            </w:r>
            <w:r>
              <w:rPr>
                <w:color w:val="000000"/>
                <w:sz w:val="24"/>
              </w:rPr>
              <w:t>200m</w:t>
            </w:r>
            <w:r>
              <w:rPr>
                <w:rFonts w:hint="eastAsia"/>
                <w:color w:val="000000"/>
                <w:sz w:val="24"/>
              </w:rPr>
              <w:t>以内区域、检修道路及进站道路两侧</w:t>
            </w:r>
            <w:r>
              <w:rPr>
                <w:color w:val="000000"/>
                <w:sz w:val="24"/>
              </w:rPr>
              <w:t>200m</w:t>
            </w:r>
            <w:r>
              <w:rPr>
                <w:rFonts w:hint="eastAsia"/>
                <w:color w:val="000000"/>
                <w:sz w:val="24"/>
              </w:rPr>
              <w:t>以内区域作为声环境保护对象。</w:t>
            </w:r>
          </w:p>
          <w:p w14:paraId="51C4C14E">
            <w:pPr>
              <w:ind w:firstLine="480" w:firstLineChars="200"/>
              <w:rPr>
                <w:color w:val="000000"/>
                <w:sz w:val="24"/>
              </w:rPr>
            </w:pPr>
            <w:r>
              <w:rPr>
                <w:color w:val="000000"/>
                <w:sz w:val="24"/>
              </w:rPr>
              <w:t>3</w:t>
            </w:r>
            <w:r>
              <w:rPr>
                <w:rFonts w:hint="eastAsia"/>
                <w:color w:val="000000"/>
                <w:sz w:val="24"/>
              </w:rPr>
              <w:t>、拟采取环保措施的可行性</w:t>
            </w:r>
          </w:p>
          <w:p w14:paraId="1196385F">
            <w:pPr>
              <w:ind w:firstLine="480" w:firstLineChars="200"/>
              <w:rPr>
                <w:color w:val="000000"/>
                <w:sz w:val="24"/>
              </w:rPr>
            </w:pPr>
            <w:r>
              <w:rPr>
                <w:rFonts w:hint="eastAsia"/>
                <w:color w:val="000000"/>
                <w:sz w:val="24"/>
              </w:rPr>
              <w:t>①</w:t>
            </w:r>
            <w:r>
              <w:rPr>
                <w:color w:val="000000"/>
                <w:sz w:val="24"/>
              </w:rPr>
              <w:t xml:space="preserve"> </w:t>
            </w:r>
            <w:r>
              <w:rPr>
                <w:rFonts w:hint="eastAsia"/>
                <w:color w:val="000000"/>
                <w:sz w:val="24"/>
              </w:rPr>
              <w:t>废气治理措施</w:t>
            </w:r>
          </w:p>
          <w:p w14:paraId="7C22139D">
            <w:pPr>
              <w:ind w:firstLine="480" w:firstLineChars="200"/>
              <w:rPr>
                <w:color w:val="000000"/>
                <w:sz w:val="24"/>
              </w:rPr>
            </w:pPr>
            <w:r>
              <w:rPr>
                <w:rFonts w:hint="eastAsia"/>
                <w:color w:val="000000"/>
                <w:sz w:val="24"/>
              </w:rPr>
              <w:t>施工期主要采取大气污染防治措施包括减少露天堆放，确需露天堆放应加以覆盖；开挖土石方应及时回填或运到指定地点；施工工作面及堆场实施洒水降尘；运输车辆途径居民区限制车速和路面洒水；沙土运输车辆须采用封闭运输；加强施工车辆及设备保养、维护等。生活区食堂设</w:t>
            </w:r>
            <w:r>
              <w:rPr>
                <w:color w:val="000000"/>
                <w:sz w:val="24"/>
              </w:rPr>
              <w:t>1</w:t>
            </w:r>
            <w:r>
              <w:rPr>
                <w:rFonts w:hint="eastAsia"/>
                <w:color w:val="000000"/>
                <w:sz w:val="24"/>
              </w:rPr>
              <w:t>台油烟净化器，油烟经油烟净化器处理后引至房顶排放。</w:t>
            </w:r>
          </w:p>
          <w:p w14:paraId="5D6524C7">
            <w:pPr>
              <w:ind w:firstLine="480" w:firstLineChars="200"/>
              <w:rPr>
                <w:color w:val="000000"/>
                <w:sz w:val="24"/>
              </w:rPr>
            </w:pPr>
            <w:r>
              <w:rPr>
                <w:rFonts w:hint="eastAsia"/>
                <w:color w:val="000000"/>
                <w:sz w:val="24"/>
              </w:rPr>
              <w:t>营运期升压站食堂设</w:t>
            </w:r>
            <w:r>
              <w:rPr>
                <w:color w:val="000000"/>
                <w:sz w:val="24"/>
              </w:rPr>
              <w:t>1</w:t>
            </w:r>
            <w:r>
              <w:rPr>
                <w:rFonts w:hint="eastAsia"/>
                <w:color w:val="000000"/>
                <w:sz w:val="24"/>
              </w:rPr>
              <w:t>台油烟净化器，油烟经油烟净化器处理后引至房顶排放。</w:t>
            </w:r>
          </w:p>
          <w:p w14:paraId="6C1B6CED">
            <w:pPr>
              <w:ind w:firstLine="480" w:firstLineChars="200"/>
              <w:rPr>
                <w:color w:val="000000"/>
                <w:sz w:val="24"/>
              </w:rPr>
            </w:pPr>
            <w:r>
              <w:rPr>
                <w:rFonts w:hint="eastAsia"/>
                <w:color w:val="000000"/>
                <w:sz w:val="24"/>
              </w:rPr>
              <w:t>②</w:t>
            </w:r>
            <w:r>
              <w:rPr>
                <w:color w:val="000000"/>
                <w:sz w:val="24"/>
              </w:rPr>
              <w:t xml:space="preserve"> </w:t>
            </w:r>
            <w:r>
              <w:rPr>
                <w:rFonts w:hint="eastAsia"/>
                <w:color w:val="000000"/>
                <w:sz w:val="24"/>
              </w:rPr>
              <w:t>废水治理措施</w:t>
            </w:r>
          </w:p>
          <w:p w14:paraId="52AFAE75">
            <w:pPr>
              <w:ind w:firstLine="480" w:firstLineChars="200"/>
              <w:rPr>
                <w:color w:val="000000"/>
                <w:sz w:val="24"/>
              </w:rPr>
            </w:pPr>
            <w:r>
              <w:rPr>
                <w:rFonts w:hint="eastAsia"/>
                <w:color w:val="000000"/>
                <w:sz w:val="24"/>
              </w:rPr>
              <w:t>施工期生活污水经化粪池处理后委托环卫部门定期清掏处理，不外排；施工废水由简易沉淀池处理后回用于施工生产，不外排；机械冲洗废水经隔油沉淀处理后回用于机械冲洗，不外排。</w:t>
            </w:r>
          </w:p>
          <w:p w14:paraId="643DFF7E">
            <w:pPr>
              <w:ind w:firstLine="480" w:firstLineChars="200"/>
              <w:rPr>
                <w:color w:val="000000"/>
                <w:sz w:val="24"/>
              </w:rPr>
            </w:pPr>
            <w:r>
              <w:rPr>
                <w:rFonts w:hint="eastAsia"/>
                <w:color w:val="000000"/>
                <w:sz w:val="24"/>
              </w:rPr>
              <w:t>营运期厕所污水经化粪池、食堂污水经隔油池预处理，再送站内地埋式污水处理装置处理达标后回用于站区绿化，不外排。</w:t>
            </w:r>
          </w:p>
          <w:p w14:paraId="362CBB0B">
            <w:pPr>
              <w:ind w:firstLine="480" w:firstLineChars="200"/>
              <w:rPr>
                <w:color w:val="000000"/>
                <w:sz w:val="24"/>
              </w:rPr>
            </w:pPr>
            <w:r>
              <w:rPr>
                <w:rFonts w:hint="eastAsia"/>
                <w:color w:val="000000"/>
                <w:sz w:val="24"/>
              </w:rPr>
              <w:t>③</w:t>
            </w:r>
            <w:r>
              <w:rPr>
                <w:color w:val="000000"/>
                <w:sz w:val="24"/>
              </w:rPr>
              <w:t xml:space="preserve"> </w:t>
            </w:r>
            <w:r>
              <w:rPr>
                <w:rFonts w:hint="eastAsia"/>
                <w:color w:val="000000"/>
                <w:sz w:val="24"/>
              </w:rPr>
              <w:t>噪声治理措施</w:t>
            </w:r>
          </w:p>
          <w:p w14:paraId="27B0158A">
            <w:pPr>
              <w:ind w:firstLine="480" w:firstLineChars="200"/>
              <w:rPr>
                <w:color w:val="000000"/>
                <w:sz w:val="24"/>
              </w:rPr>
            </w:pPr>
            <w:r>
              <w:rPr>
                <w:rFonts w:hint="eastAsia"/>
                <w:color w:val="000000"/>
                <w:sz w:val="24"/>
              </w:rPr>
              <w:t>施工期主要采取噪声防治措施包括科学安排工作时间，制定施工计划，尽可能避免大量高噪声设备同时施工，禁止夜间施工；合理布置施工现场；加强车辆保养，合理规划施工运输路线，尽可能避免途径居民区；施工运输车辆应安排在昼间，必须途径居民区时，应减速慢行，并禁止鸣笛等。</w:t>
            </w:r>
          </w:p>
          <w:p w14:paraId="2BCA8F1F">
            <w:pPr>
              <w:ind w:firstLine="480" w:firstLineChars="200"/>
              <w:rPr>
                <w:color w:val="000000"/>
                <w:sz w:val="24"/>
              </w:rPr>
            </w:pPr>
            <w:r>
              <w:rPr>
                <w:rFonts w:hint="eastAsia"/>
                <w:color w:val="000000"/>
                <w:sz w:val="24"/>
              </w:rPr>
              <w:t>营运期主要采取噪声防治措施包括风机采购时应注意风机的选型，选用低噪声风机；加强风机的日常维护，定期检查风机机械系统；做好风机、变压器基础的隔振；合理布局升压站，主变布置在场地中间；选用低噪声变压器等，并加强维护管理等。</w:t>
            </w:r>
          </w:p>
          <w:p w14:paraId="4A751746">
            <w:pPr>
              <w:ind w:firstLine="480" w:firstLineChars="200"/>
              <w:rPr>
                <w:color w:val="000000"/>
                <w:sz w:val="24"/>
              </w:rPr>
            </w:pPr>
            <w:r>
              <w:rPr>
                <w:rFonts w:hint="eastAsia"/>
                <w:color w:val="000000"/>
                <w:sz w:val="24"/>
              </w:rPr>
              <w:t>④</w:t>
            </w:r>
            <w:r>
              <w:rPr>
                <w:color w:val="000000"/>
                <w:sz w:val="24"/>
              </w:rPr>
              <w:t xml:space="preserve"> </w:t>
            </w:r>
            <w:r>
              <w:rPr>
                <w:rFonts w:hint="eastAsia"/>
                <w:color w:val="000000"/>
                <w:sz w:val="24"/>
              </w:rPr>
              <w:t>固体废物治理措施</w:t>
            </w:r>
          </w:p>
          <w:p w14:paraId="5641FB0A">
            <w:pPr>
              <w:ind w:firstLine="480" w:firstLineChars="200"/>
              <w:rPr>
                <w:color w:val="000000"/>
                <w:sz w:val="24"/>
              </w:rPr>
            </w:pPr>
            <w:r>
              <w:rPr>
                <w:rFonts w:hint="eastAsia"/>
                <w:color w:val="000000"/>
                <w:sz w:val="24"/>
              </w:rPr>
              <w:t>施工期生活垃圾全部交由环卫部门统一处理，不外排。</w:t>
            </w:r>
          </w:p>
          <w:p w14:paraId="7672689E">
            <w:pPr>
              <w:ind w:firstLine="480" w:firstLineChars="200"/>
              <w:rPr>
                <w:color w:val="000000"/>
                <w:sz w:val="24"/>
              </w:rPr>
            </w:pPr>
            <w:r>
              <w:rPr>
                <w:rFonts w:hint="eastAsia"/>
                <w:color w:val="000000"/>
                <w:sz w:val="24"/>
              </w:rPr>
              <w:t>营运期生活垃圾和污泥全部交由环卫部门统一处理，不外排。</w:t>
            </w:r>
            <w:r>
              <w:rPr>
                <w:rFonts w:hint="eastAsia"/>
                <w:color w:val="FF0000"/>
                <w:sz w:val="24"/>
              </w:rPr>
              <w:t>维修垃圾</w:t>
            </w:r>
            <w:r>
              <w:rPr>
                <w:rFonts w:hint="eastAsia"/>
                <w:sz w:val="24"/>
              </w:rPr>
              <w:t>经专门容器收集后暂时贮存于场内危险废物暂存间，委托有处理该危险废物资质的单位及时处置。废蓄电池拟由蓄电池提供单位回收处置。变压器事故废油由变压器油提供单位回收综合利用。</w:t>
            </w:r>
          </w:p>
          <w:p w14:paraId="5E441971">
            <w:pPr>
              <w:ind w:firstLine="480" w:firstLineChars="200"/>
              <w:rPr>
                <w:color w:val="000000"/>
                <w:sz w:val="24"/>
              </w:rPr>
            </w:pPr>
            <w:r>
              <w:rPr>
                <w:color w:val="000000"/>
                <w:sz w:val="24"/>
              </w:rPr>
              <w:t>4</w:t>
            </w:r>
            <w:r>
              <w:rPr>
                <w:rFonts w:hint="eastAsia"/>
                <w:color w:val="000000"/>
                <w:sz w:val="24"/>
              </w:rPr>
              <w:t>、项目对环境的影响</w:t>
            </w:r>
          </w:p>
          <w:p w14:paraId="0FE83C39">
            <w:pPr>
              <w:ind w:firstLine="480" w:firstLineChars="200"/>
              <w:rPr>
                <w:color w:val="000000"/>
                <w:sz w:val="24"/>
              </w:rPr>
            </w:pPr>
            <w:r>
              <w:rPr>
                <w:rFonts w:hint="eastAsia"/>
                <w:color w:val="000000"/>
                <w:sz w:val="24"/>
              </w:rPr>
              <w:t>（</w:t>
            </w:r>
            <w:r>
              <w:rPr>
                <w:color w:val="000000"/>
                <w:sz w:val="24"/>
              </w:rPr>
              <w:t>1</w:t>
            </w:r>
            <w:r>
              <w:rPr>
                <w:rFonts w:hint="eastAsia"/>
                <w:color w:val="000000"/>
                <w:sz w:val="24"/>
              </w:rPr>
              <w:t>）环境空气影响分析</w:t>
            </w:r>
          </w:p>
          <w:p w14:paraId="3D9009A6">
            <w:pPr>
              <w:ind w:firstLine="480" w:firstLineChars="200"/>
              <w:rPr>
                <w:color w:val="000000"/>
                <w:sz w:val="24"/>
              </w:rPr>
            </w:pPr>
            <w:r>
              <w:rPr>
                <w:rFonts w:hint="eastAsia"/>
                <w:color w:val="000000"/>
                <w:sz w:val="24"/>
              </w:rPr>
              <w:t>本项目施工期产生的扬尘影响主要为堆场产生的风力扬尘、土石方的开挖扬尘和汽车运输车辆行驶扬尘。经采取环保措施后，可以有效地控制施工期扬尘影响的范围及程度。而且施工扬尘造成的污染是短期的、局部的，施工结束后即会消失。项目区域大而施工较为分散，在易于扩散的气象条件下，对周围环境的影响不大，且随着施工期的结束，该污染物也随即消失故施工期燃油废气对周围大气环境影响较小。</w:t>
            </w:r>
          </w:p>
          <w:p w14:paraId="72673B27">
            <w:pPr>
              <w:ind w:firstLine="480" w:firstLineChars="200"/>
              <w:rPr>
                <w:color w:val="000000"/>
                <w:sz w:val="24"/>
              </w:rPr>
            </w:pPr>
            <w:r>
              <w:rPr>
                <w:rFonts w:hint="eastAsia"/>
                <w:color w:val="000000"/>
                <w:sz w:val="24"/>
              </w:rPr>
              <w:t>营运期产生的大气污染物主要为升压站食堂油烟及检修道路扬尘。项目周围大气流通程度高，扩散条件好，食堂油烟对周围大气环境影响较小。经采取措施后，运营期道路扬尘对环境空气质量影响较小。</w:t>
            </w:r>
          </w:p>
          <w:p w14:paraId="2F1EB8AD">
            <w:pPr>
              <w:ind w:firstLine="480" w:firstLineChars="200"/>
              <w:rPr>
                <w:color w:val="000000"/>
                <w:sz w:val="24"/>
              </w:rPr>
            </w:pPr>
            <w:r>
              <w:rPr>
                <w:rFonts w:hint="eastAsia"/>
                <w:color w:val="000000"/>
                <w:sz w:val="24"/>
              </w:rPr>
              <w:t>因此，本项目对周边环境空气影响较小。</w:t>
            </w:r>
          </w:p>
          <w:p w14:paraId="33ADE827">
            <w:pPr>
              <w:ind w:firstLine="480" w:firstLineChars="200"/>
              <w:rPr>
                <w:color w:val="000000"/>
                <w:sz w:val="24"/>
              </w:rPr>
            </w:pPr>
            <w:r>
              <w:rPr>
                <w:rFonts w:hint="eastAsia"/>
                <w:color w:val="000000"/>
                <w:sz w:val="24"/>
              </w:rPr>
              <w:t>（</w:t>
            </w:r>
            <w:r>
              <w:rPr>
                <w:color w:val="000000"/>
                <w:sz w:val="24"/>
              </w:rPr>
              <w:t>2</w:t>
            </w:r>
            <w:r>
              <w:rPr>
                <w:rFonts w:hint="eastAsia"/>
                <w:color w:val="000000"/>
                <w:sz w:val="24"/>
              </w:rPr>
              <w:t>）水环境影响分析</w:t>
            </w:r>
          </w:p>
          <w:p w14:paraId="39864B71">
            <w:pPr>
              <w:ind w:firstLine="480" w:firstLineChars="200"/>
              <w:rPr>
                <w:color w:val="000000"/>
                <w:sz w:val="24"/>
              </w:rPr>
            </w:pPr>
            <w:r>
              <w:rPr>
                <w:rFonts w:hint="eastAsia"/>
                <w:color w:val="000000"/>
                <w:sz w:val="24"/>
              </w:rPr>
              <w:t>本项目施工期产生废水经相应措施处理后均不外排环，并且本项目所在地无地表水体，不会对地表水环境造成影响。同时在做好化粪池防渗措施的前提下，对地下水影响较小。</w:t>
            </w:r>
          </w:p>
          <w:p w14:paraId="108A79D8">
            <w:pPr>
              <w:ind w:firstLine="480" w:firstLineChars="200"/>
              <w:rPr>
                <w:color w:val="000000"/>
                <w:sz w:val="24"/>
              </w:rPr>
            </w:pPr>
            <w:r>
              <w:rPr>
                <w:rFonts w:hint="eastAsia"/>
                <w:color w:val="000000"/>
                <w:sz w:val="24"/>
              </w:rPr>
              <w:t>营运期产生的废水为升压站产生的生活污水，采用收集后集中处理后夏季直接回用于场区绿化，</w:t>
            </w:r>
            <w:r>
              <w:rPr>
                <w:rFonts w:hint="eastAsia"/>
                <w:sz w:val="24"/>
              </w:rPr>
              <w:t>冬季储存于</w:t>
            </w:r>
            <w:r>
              <w:rPr>
                <w:color w:val="FF0000"/>
                <w:sz w:val="24"/>
              </w:rPr>
              <w:t>72m</w:t>
            </w:r>
            <w:r>
              <w:rPr>
                <w:color w:val="FF0000"/>
                <w:sz w:val="24"/>
                <w:vertAlign w:val="superscript"/>
              </w:rPr>
              <w:t>3</w:t>
            </w:r>
            <w:r>
              <w:rPr>
                <w:rFonts w:hint="eastAsia"/>
                <w:sz w:val="24"/>
              </w:rPr>
              <w:t>的冬储夏灌池内</w:t>
            </w:r>
            <w:r>
              <w:rPr>
                <w:rFonts w:hint="eastAsia"/>
                <w:color w:val="000000"/>
                <w:sz w:val="24"/>
              </w:rPr>
              <w:t>，不外排，对环境影响较小。</w:t>
            </w:r>
          </w:p>
          <w:p w14:paraId="1E8DFC02">
            <w:pPr>
              <w:ind w:firstLine="480" w:firstLineChars="200"/>
              <w:rPr>
                <w:color w:val="000000"/>
                <w:sz w:val="24"/>
              </w:rPr>
            </w:pPr>
            <w:r>
              <w:rPr>
                <w:rFonts w:hint="eastAsia"/>
                <w:color w:val="000000"/>
                <w:sz w:val="24"/>
              </w:rPr>
              <w:t>（</w:t>
            </w:r>
            <w:r>
              <w:rPr>
                <w:color w:val="000000"/>
                <w:sz w:val="24"/>
              </w:rPr>
              <w:t>3</w:t>
            </w:r>
            <w:r>
              <w:rPr>
                <w:rFonts w:hint="eastAsia"/>
                <w:color w:val="000000"/>
                <w:sz w:val="24"/>
              </w:rPr>
              <w:t>）声环境影响分析</w:t>
            </w:r>
          </w:p>
          <w:p w14:paraId="63DE7F3C">
            <w:pPr>
              <w:ind w:firstLine="480" w:firstLineChars="200"/>
              <w:rPr>
                <w:color w:val="000000"/>
                <w:sz w:val="24"/>
              </w:rPr>
            </w:pPr>
            <w:r>
              <w:rPr>
                <w:rFonts w:hint="eastAsia"/>
                <w:color w:val="000000"/>
                <w:sz w:val="24"/>
                <w:lang w:val="pt-BR"/>
              </w:rPr>
              <w:t>本项目施工现场</w:t>
            </w:r>
            <w:r>
              <w:rPr>
                <w:color w:val="000000"/>
                <w:sz w:val="24"/>
                <w:lang w:val="pt-BR"/>
              </w:rPr>
              <w:t>300m</w:t>
            </w:r>
            <w:r>
              <w:rPr>
                <w:rFonts w:hint="eastAsia"/>
                <w:color w:val="000000"/>
                <w:sz w:val="24"/>
                <w:lang w:val="pt-BR"/>
              </w:rPr>
              <w:t>范围内无居民，距离本项目最近的居民点为</w:t>
            </w:r>
            <w:r>
              <w:rPr>
                <w:color w:val="000000"/>
                <w:sz w:val="24"/>
                <w:lang w:val="pt-BR"/>
              </w:rPr>
              <w:t>19</w:t>
            </w:r>
            <w:r>
              <w:rPr>
                <w:rFonts w:hint="eastAsia"/>
                <w:color w:val="000000"/>
                <w:sz w:val="24"/>
                <w:lang w:val="pt-BR"/>
              </w:rPr>
              <w:t>号风电机西南方向</w:t>
            </w:r>
            <w:r>
              <w:rPr>
                <w:color w:val="000000"/>
                <w:sz w:val="24"/>
                <w:lang w:val="pt-BR"/>
              </w:rPr>
              <w:t>532m</w:t>
            </w:r>
            <w:r>
              <w:rPr>
                <w:rFonts w:hint="eastAsia"/>
                <w:color w:val="000000"/>
                <w:sz w:val="24"/>
                <w:lang w:val="pt-BR"/>
              </w:rPr>
              <w:t>的德热木其音敖包，故施工噪声不会对周围居民生活产生不良影响。距离施工运输道路最近为</w:t>
            </w:r>
            <w:r>
              <w:rPr>
                <w:color w:val="000000"/>
                <w:sz w:val="24"/>
                <w:lang w:val="pt-BR"/>
              </w:rPr>
              <w:t>28m</w:t>
            </w:r>
            <w:r>
              <w:rPr>
                <w:rFonts w:hint="eastAsia"/>
                <w:color w:val="000000"/>
                <w:sz w:val="24"/>
                <w:lang w:val="pt-BR"/>
              </w:rPr>
              <w:t>的</w:t>
            </w:r>
            <w:r>
              <w:rPr>
                <w:rFonts w:hint="eastAsia"/>
                <w:color w:val="000000"/>
                <w:sz w:val="24"/>
              </w:rPr>
              <w:t>阿钦郭勒</w:t>
            </w:r>
            <w:r>
              <w:rPr>
                <w:rFonts w:hint="eastAsia"/>
                <w:color w:val="000000"/>
                <w:sz w:val="24"/>
                <w:lang w:val="pt-BR"/>
              </w:rPr>
              <w:t>。施工运输车辆将对沿线居民点产生一定影响，本项目采取了完善的噪声防治措施，最大限度地减小噪声对环境的影响。且施工噪声影响特点为短期性、暂时性，一旦施工活动结束，施工噪声也就随之结束。</w:t>
            </w:r>
          </w:p>
          <w:p w14:paraId="1D289D8F">
            <w:pPr>
              <w:ind w:firstLine="480" w:firstLineChars="200"/>
              <w:rPr>
                <w:color w:val="000000"/>
                <w:sz w:val="24"/>
                <w:lang w:val="pt-BR"/>
              </w:rPr>
            </w:pPr>
            <w:r>
              <w:rPr>
                <w:rFonts w:hint="eastAsia"/>
                <w:color w:val="000000"/>
                <w:sz w:val="24"/>
                <w:lang w:val="pt-BR"/>
              </w:rPr>
              <w:t>本项目距离风力发电机最近的居民点为位于</w:t>
            </w:r>
            <w:r>
              <w:rPr>
                <w:color w:val="000000"/>
                <w:sz w:val="24"/>
                <w:lang w:val="pt-BR"/>
              </w:rPr>
              <w:t>19</w:t>
            </w:r>
            <w:r>
              <w:rPr>
                <w:rFonts w:hint="eastAsia"/>
                <w:color w:val="000000"/>
                <w:sz w:val="24"/>
                <w:lang w:val="pt-BR"/>
              </w:rPr>
              <w:t>号风力发电机西南</w:t>
            </w:r>
            <w:r>
              <w:rPr>
                <w:color w:val="000000"/>
                <w:sz w:val="24"/>
                <w:lang w:val="pt-BR"/>
              </w:rPr>
              <w:t>532m</w:t>
            </w:r>
            <w:r>
              <w:rPr>
                <w:rFonts w:hint="eastAsia"/>
                <w:color w:val="000000"/>
                <w:sz w:val="24"/>
                <w:lang w:val="pt-BR"/>
              </w:rPr>
              <w:t>的德热木其音敖包，不在风机噪声影响范围内，因此本项目运营期风机噪声对该居民点无影响。升压站周边最近居民区为距离升压站厂界东北方向</w:t>
            </w:r>
            <w:r>
              <w:rPr>
                <w:color w:val="000000"/>
                <w:sz w:val="24"/>
                <w:lang w:val="pt-BR"/>
              </w:rPr>
              <w:t>1235m</w:t>
            </w:r>
            <w:r>
              <w:rPr>
                <w:rFonts w:hint="eastAsia"/>
                <w:color w:val="000000"/>
                <w:sz w:val="24"/>
                <w:lang w:val="pt-BR"/>
              </w:rPr>
              <w:t>的塔尔干，不在升压站噪声影响范围内，对其基本无影响。</w:t>
            </w:r>
            <w:r>
              <w:rPr>
                <w:rFonts w:hint="eastAsia"/>
                <w:sz w:val="24"/>
                <w:lang w:val="pt-BR"/>
              </w:rPr>
              <w:t>检修车辆为小型客车，且车次极少，具有瞬时性，即使途径居民区，也不会对居民区声环境产生明显影响。</w:t>
            </w:r>
          </w:p>
          <w:p w14:paraId="108EB6DE">
            <w:pPr>
              <w:ind w:firstLine="480" w:firstLineChars="200"/>
              <w:rPr>
                <w:color w:val="000000"/>
                <w:sz w:val="24"/>
              </w:rPr>
            </w:pPr>
            <w:r>
              <w:rPr>
                <w:rFonts w:hint="eastAsia"/>
                <w:color w:val="000000"/>
                <w:sz w:val="24"/>
              </w:rPr>
              <w:t>（</w:t>
            </w:r>
            <w:r>
              <w:rPr>
                <w:color w:val="000000"/>
                <w:sz w:val="24"/>
              </w:rPr>
              <w:t>4</w:t>
            </w:r>
            <w:r>
              <w:rPr>
                <w:rFonts w:hint="eastAsia"/>
                <w:color w:val="000000"/>
                <w:sz w:val="24"/>
              </w:rPr>
              <w:t>）固体废物影响分析</w:t>
            </w:r>
          </w:p>
          <w:p w14:paraId="040ED17D">
            <w:pPr>
              <w:ind w:firstLine="480" w:firstLineChars="200"/>
              <w:rPr>
                <w:color w:val="000000"/>
                <w:sz w:val="24"/>
              </w:rPr>
            </w:pPr>
            <w:r>
              <w:rPr>
                <w:rFonts w:hint="eastAsia"/>
                <w:color w:val="000000"/>
                <w:sz w:val="24"/>
              </w:rPr>
              <w:t>本项目施工期、营运期产生的固废均得到妥善处置，不会对环境产生不利影响。</w:t>
            </w:r>
          </w:p>
          <w:p w14:paraId="4653579D">
            <w:pPr>
              <w:ind w:firstLine="480" w:firstLineChars="200"/>
              <w:rPr>
                <w:color w:val="000000"/>
                <w:sz w:val="24"/>
              </w:rPr>
            </w:pPr>
            <w:r>
              <w:rPr>
                <w:rFonts w:hint="eastAsia"/>
                <w:color w:val="000000"/>
                <w:sz w:val="24"/>
              </w:rPr>
              <w:t>（</w:t>
            </w:r>
            <w:r>
              <w:rPr>
                <w:color w:val="000000"/>
                <w:sz w:val="24"/>
              </w:rPr>
              <w:t>5</w:t>
            </w:r>
            <w:r>
              <w:rPr>
                <w:rFonts w:hint="eastAsia"/>
                <w:color w:val="000000"/>
                <w:sz w:val="24"/>
              </w:rPr>
              <w:t>）生态影响分析</w:t>
            </w:r>
          </w:p>
          <w:p w14:paraId="0537E881">
            <w:pPr>
              <w:ind w:firstLine="480" w:firstLineChars="200"/>
              <w:rPr>
                <w:color w:val="000000"/>
                <w:sz w:val="24"/>
              </w:rPr>
            </w:pPr>
            <w:r>
              <w:rPr>
                <w:rFonts w:hint="eastAsia"/>
                <w:color w:val="000000"/>
                <w:sz w:val="24"/>
              </w:rPr>
              <w:t>本工程永久占地</w:t>
            </w:r>
            <w:r>
              <w:rPr>
                <w:rFonts w:hint="eastAsia"/>
                <w:sz w:val="24"/>
                <w:lang w:val="pt-BR"/>
              </w:rPr>
              <w:t>生物损失量相对于整个评价区域较小，不会造成评价区域植物生物量的显着减少，</w:t>
            </w:r>
            <w:r>
              <w:rPr>
                <w:rFonts w:hint="eastAsia"/>
                <w:color w:val="000000"/>
                <w:sz w:val="24"/>
                <w:lang w:val="pt-BR"/>
              </w:rPr>
              <w:t>施工结束后经采取植被恢复措施弥补临时占地造成的损失，因此其影响是暂时的。在采取加强管理、临时占地植被恢复等措施后，施工期对生态环境影响可以控制在可接受程度内。</w:t>
            </w:r>
          </w:p>
          <w:p w14:paraId="470FF0A7">
            <w:pPr>
              <w:ind w:firstLine="480" w:firstLineChars="200"/>
              <w:rPr>
                <w:color w:val="000000"/>
                <w:sz w:val="24"/>
              </w:rPr>
            </w:pPr>
            <w:r>
              <w:rPr>
                <w:rFonts w:hint="eastAsia"/>
                <w:color w:val="000000"/>
                <w:sz w:val="24"/>
              </w:rPr>
              <w:t>根据中国候鸟迁徙路线示意图，本项目不在候鸟迁徙通道上，拟建风电场对鸟类迁徙活动影响较小。运营期无破坏植被的行为，对植被无影响。本工程将风轮机成分散布置，风轮机之间保持很大距离，这能给人以较舒适的感觉，对视觉景观的影响较小，同时选择白色风机，使风电场看上去与周围景观十分协调。</w:t>
            </w:r>
          </w:p>
          <w:p w14:paraId="205C56B8">
            <w:pPr>
              <w:ind w:firstLine="480" w:firstLineChars="200"/>
              <w:rPr>
                <w:color w:val="000000"/>
                <w:sz w:val="24"/>
              </w:rPr>
            </w:pPr>
            <w:r>
              <w:rPr>
                <w:rFonts w:hint="eastAsia"/>
                <w:color w:val="000000"/>
                <w:sz w:val="24"/>
              </w:rPr>
              <w:t>（</w:t>
            </w:r>
            <w:r>
              <w:rPr>
                <w:color w:val="000000"/>
                <w:sz w:val="24"/>
              </w:rPr>
              <w:t>6</w:t>
            </w:r>
            <w:r>
              <w:rPr>
                <w:rFonts w:hint="eastAsia"/>
                <w:color w:val="000000"/>
                <w:sz w:val="24"/>
              </w:rPr>
              <w:t>）光影闪烁影响</w:t>
            </w:r>
          </w:p>
          <w:p w14:paraId="7AAEB797">
            <w:pPr>
              <w:ind w:firstLine="480" w:firstLineChars="200"/>
              <w:rPr>
                <w:color w:val="000000"/>
                <w:sz w:val="24"/>
                <w:lang w:val="pt-BR"/>
              </w:rPr>
            </w:pPr>
            <w:r>
              <w:rPr>
                <w:rFonts w:hint="eastAsia"/>
                <w:color w:val="000000"/>
                <w:sz w:val="24"/>
              </w:rPr>
              <w:t>经分析，本项目各风机对其最近的居民点光影闪烁影响较小。</w:t>
            </w:r>
          </w:p>
          <w:p w14:paraId="45FF6883">
            <w:pPr>
              <w:ind w:firstLine="480" w:firstLineChars="200"/>
              <w:rPr>
                <w:color w:val="000000"/>
                <w:sz w:val="24"/>
              </w:rPr>
            </w:pPr>
            <w:r>
              <w:rPr>
                <w:color w:val="000000"/>
                <w:sz w:val="24"/>
              </w:rPr>
              <w:t>5</w:t>
            </w:r>
            <w:r>
              <w:rPr>
                <w:rFonts w:hint="eastAsia"/>
                <w:color w:val="000000"/>
                <w:sz w:val="24"/>
              </w:rPr>
              <w:t>、总量控制分析</w:t>
            </w:r>
          </w:p>
          <w:p w14:paraId="652E4D3B">
            <w:pPr>
              <w:ind w:firstLine="480" w:firstLineChars="200"/>
              <w:rPr>
                <w:color w:val="000000"/>
                <w:sz w:val="24"/>
              </w:rPr>
            </w:pPr>
            <w:r>
              <w:rPr>
                <w:rFonts w:hint="eastAsia"/>
                <w:color w:val="000000"/>
                <w:sz w:val="24"/>
              </w:rPr>
              <w:t>本项目运营期无</w:t>
            </w:r>
            <w:r>
              <w:rPr>
                <w:color w:val="000000"/>
                <w:sz w:val="24"/>
              </w:rPr>
              <w:t>SO</w:t>
            </w:r>
            <w:r>
              <w:rPr>
                <w:color w:val="000000"/>
                <w:sz w:val="24"/>
                <w:vertAlign w:val="subscript"/>
              </w:rPr>
              <w:t>2</w:t>
            </w:r>
            <w:r>
              <w:rPr>
                <w:rFonts w:hint="eastAsia"/>
                <w:color w:val="000000"/>
                <w:sz w:val="24"/>
              </w:rPr>
              <w:t>、</w:t>
            </w:r>
            <w:r>
              <w:rPr>
                <w:color w:val="000000"/>
                <w:sz w:val="24"/>
              </w:rPr>
              <w:t>NO</w:t>
            </w:r>
            <w:r>
              <w:rPr>
                <w:color w:val="000000"/>
                <w:sz w:val="24"/>
                <w:vertAlign w:val="subscript"/>
              </w:rPr>
              <w:t>2</w:t>
            </w:r>
            <w:r>
              <w:rPr>
                <w:rFonts w:hint="eastAsia"/>
                <w:color w:val="000000"/>
                <w:sz w:val="24"/>
              </w:rPr>
              <w:t>产生，生活污水经地埋式一体化设备处理后用于绿化洒水等，无</w:t>
            </w:r>
            <w:r>
              <w:rPr>
                <w:color w:val="000000"/>
                <w:sz w:val="24"/>
              </w:rPr>
              <w:t>COD</w:t>
            </w:r>
            <w:r>
              <w:rPr>
                <w:rFonts w:hint="eastAsia"/>
                <w:color w:val="000000"/>
                <w:sz w:val="24"/>
              </w:rPr>
              <w:t>、</w:t>
            </w:r>
            <w:r>
              <w:rPr>
                <w:color w:val="000000"/>
                <w:sz w:val="24"/>
              </w:rPr>
              <w:t>BOD</w:t>
            </w:r>
            <w:r>
              <w:rPr>
                <w:color w:val="000000"/>
                <w:sz w:val="24"/>
                <w:vertAlign w:val="subscript"/>
              </w:rPr>
              <w:t>5</w:t>
            </w:r>
            <w:r>
              <w:rPr>
                <w:rFonts w:hint="eastAsia"/>
                <w:color w:val="000000"/>
                <w:sz w:val="24"/>
              </w:rPr>
              <w:t>直接排放，因此不涉及总量控制指标。</w:t>
            </w:r>
          </w:p>
          <w:p w14:paraId="5C9F58A9">
            <w:pPr>
              <w:ind w:firstLine="480" w:firstLineChars="200"/>
              <w:rPr>
                <w:color w:val="000000"/>
                <w:sz w:val="24"/>
              </w:rPr>
            </w:pPr>
            <w:r>
              <w:rPr>
                <w:color w:val="000000"/>
                <w:sz w:val="24"/>
              </w:rPr>
              <w:t>6</w:t>
            </w:r>
            <w:r>
              <w:rPr>
                <w:rFonts w:hint="eastAsia"/>
                <w:color w:val="000000"/>
                <w:sz w:val="24"/>
              </w:rPr>
              <w:t>、工程可行性结论</w:t>
            </w:r>
          </w:p>
          <w:p w14:paraId="028168B6">
            <w:pPr>
              <w:ind w:firstLine="480" w:firstLineChars="200"/>
              <w:rPr>
                <w:color w:val="000000"/>
                <w:sz w:val="24"/>
              </w:rPr>
            </w:pPr>
            <w:r>
              <w:rPr>
                <w:rFonts w:hint="eastAsia"/>
                <w:sz w:val="24"/>
              </w:rPr>
              <w:t>苏尼特左旗风鼎特高压外送</w:t>
            </w:r>
            <w:r>
              <w:rPr>
                <w:sz w:val="24"/>
              </w:rPr>
              <w:t>300MW</w:t>
            </w:r>
            <w:r>
              <w:rPr>
                <w:rFonts w:hint="eastAsia"/>
                <w:sz w:val="24"/>
              </w:rPr>
              <w:t>风电项目符合当前国家产业政策的要求。项目采取了完善的环保治理措施及生态恢复措施，可实现各类污染物的稳定达标排放，不会对周围环境产生明显影响。因此，本评价从环保角度认为，项目的建设是可行的。</w:t>
            </w:r>
          </w:p>
          <w:p w14:paraId="7EACACFC">
            <w:pPr>
              <w:ind w:firstLine="482" w:firstLineChars="200"/>
              <w:rPr>
                <w:rFonts w:ascii="黑体" w:hAnsi="黑体" w:eastAsia="黑体"/>
                <w:b/>
                <w:color w:val="000000"/>
                <w:sz w:val="24"/>
              </w:rPr>
            </w:pPr>
            <w:r>
              <w:rPr>
                <w:rFonts w:hint="eastAsia" w:ascii="黑体" w:hAnsi="黑体" w:eastAsia="黑体"/>
                <w:b/>
                <w:color w:val="000000"/>
                <w:sz w:val="24"/>
              </w:rPr>
              <w:t>二、建议</w:t>
            </w:r>
          </w:p>
          <w:p w14:paraId="3D9ADE82">
            <w:pPr>
              <w:ind w:firstLine="480" w:firstLineChars="200"/>
              <w:rPr>
                <w:color w:val="000000"/>
                <w:sz w:val="24"/>
              </w:rPr>
            </w:pPr>
            <w:r>
              <w:rPr>
                <w:rFonts w:hint="eastAsia"/>
                <w:color w:val="000000"/>
                <w:sz w:val="24"/>
              </w:rPr>
              <w:t>为保护环境，最大限度减少污染物排放量和对周边环境的不利影响，针对项目特点，本评价提出以下要求和建议：</w:t>
            </w:r>
          </w:p>
          <w:p w14:paraId="47623F38">
            <w:pPr>
              <w:ind w:firstLine="480" w:firstLineChars="200"/>
              <w:rPr>
                <w:color w:val="000000"/>
                <w:sz w:val="24"/>
              </w:rPr>
            </w:pPr>
            <w:r>
              <w:rPr>
                <w:rFonts w:hint="eastAsia"/>
                <w:color w:val="000000"/>
                <w:sz w:val="24"/>
              </w:rPr>
              <w:t>（</w:t>
            </w:r>
            <w:r>
              <w:rPr>
                <w:color w:val="000000"/>
                <w:sz w:val="24"/>
              </w:rPr>
              <w:t>1</w:t>
            </w:r>
            <w:r>
              <w:rPr>
                <w:rFonts w:hint="eastAsia"/>
                <w:color w:val="000000"/>
                <w:sz w:val="24"/>
              </w:rPr>
              <w:t>）认真执行环保“三同时”制度，严格落实各项环保措施。</w:t>
            </w:r>
          </w:p>
          <w:p w14:paraId="3FBAF409">
            <w:pPr>
              <w:ind w:firstLine="480" w:firstLineChars="200"/>
              <w:rPr>
                <w:color w:val="000000"/>
                <w:sz w:val="24"/>
              </w:rPr>
            </w:pPr>
            <w:r>
              <w:rPr>
                <w:rFonts w:hint="eastAsia"/>
                <w:color w:val="000000"/>
                <w:sz w:val="24"/>
              </w:rPr>
              <w:t>（</w:t>
            </w:r>
            <w:r>
              <w:rPr>
                <w:color w:val="000000"/>
                <w:sz w:val="24"/>
              </w:rPr>
              <w:t>2</w:t>
            </w:r>
            <w:r>
              <w:rPr>
                <w:rFonts w:hint="eastAsia"/>
                <w:color w:val="000000"/>
                <w:sz w:val="24"/>
              </w:rPr>
              <w:t>）</w:t>
            </w:r>
            <w:r>
              <w:rPr>
                <w:rFonts w:hint="eastAsia"/>
                <w:sz w:val="24"/>
              </w:rPr>
              <w:t>加强运营期地埋式一体化污水处理设施日常管理与维护，确保污水处理设施出水达标</w:t>
            </w:r>
            <w:r>
              <w:rPr>
                <w:rFonts w:hint="eastAsia"/>
                <w:color w:val="000000"/>
                <w:sz w:val="24"/>
              </w:rPr>
              <w:t>。</w:t>
            </w:r>
          </w:p>
          <w:p w14:paraId="7796D4FE">
            <w:pPr>
              <w:ind w:firstLine="480" w:firstLineChars="200"/>
              <w:rPr>
                <w:color w:val="000000"/>
                <w:sz w:val="24"/>
              </w:rPr>
            </w:pPr>
            <w:r>
              <w:rPr>
                <w:rFonts w:hint="eastAsia"/>
                <w:color w:val="000000"/>
                <w:sz w:val="24"/>
              </w:rPr>
              <w:t>（</w:t>
            </w:r>
            <w:r>
              <w:rPr>
                <w:color w:val="000000"/>
                <w:sz w:val="24"/>
              </w:rPr>
              <w:t>3</w:t>
            </w:r>
            <w:r>
              <w:rPr>
                <w:rFonts w:hint="eastAsia"/>
                <w:color w:val="000000"/>
                <w:sz w:val="24"/>
              </w:rPr>
              <w:t>）</w:t>
            </w:r>
            <w:r>
              <w:rPr>
                <w:rFonts w:hint="eastAsia"/>
                <w:sz w:val="24"/>
              </w:rPr>
              <w:t>建立健全环境管理机构，做好生产中的环境管理工作，加强环境保护宣传力度，提高职工环保意识</w:t>
            </w:r>
            <w:r>
              <w:rPr>
                <w:rFonts w:hint="eastAsia"/>
                <w:color w:val="000000"/>
                <w:sz w:val="24"/>
              </w:rPr>
              <w:t>。</w:t>
            </w:r>
          </w:p>
          <w:p w14:paraId="7A03A303">
            <w:pPr>
              <w:ind w:firstLine="480" w:firstLineChars="200"/>
              <w:rPr>
                <w:color w:val="000000"/>
                <w:sz w:val="24"/>
              </w:rPr>
            </w:pPr>
            <w:r>
              <w:rPr>
                <w:rFonts w:hint="eastAsia"/>
                <w:color w:val="000000"/>
                <w:sz w:val="24"/>
              </w:rPr>
              <w:t>（</w:t>
            </w:r>
            <w:r>
              <w:rPr>
                <w:color w:val="000000"/>
                <w:sz w:val="24"/>
              </w:rPr>
              <w:t>4</w:t>
            </w:r>
            <w:r>
              <w:rPr>
                <w:rFonts w:hint="eastAsia"/>
                <w:color w:val="000000"/>
                <w:sz w:val="24"/>
              </w:rPr>
              <w:t>）</w:t>
            </w:r>
            <w:r>
              <w:rPr>
                <w:rFonts w:hint="eastAsia"/>
                <w:sz w:val="24"/>
              </w:rPr>
              <w:t>为了能够做好工程环境保护工作，本项目环评报告通过审查后，根据《建设项目环境保护管理条例》（国务院第</w:t>
            </w:r>
            <w:r>
              <w:rPr>
                <w:sz w:val="24"/>
              </w:rPr>
              <w:t>682</w:t>
            </w:r>
            <w:r>
              <w:rPr>
                <w:rFonts w:hint="eastAsia"/>
                <w:sz w:val="24"/>
              </w:rPr>
              <w:t>号令）要求，建设单位应紧密结合工程施工进度，编制环境保护设计专项篇章，从工程设计、施工、运营期逐条落实，专款专用，降低施工期环境影响，并保证各项目环保措施落实到位。</w:t>
            </w:r>
          </w:p>
          <w:p w14:paraId="5CF2FF65">
            <w:pPr>
              <w:ind w:firstLine="480" w:firstLineChars="200"/>
              <w:rPr>
                <w:color w:val="000000"/>
                <w:sz w:val="24"/>
              </w:rPr>
            </w:pPr>
          </w:p>
          <w:p w14:paraId="13C51278">
            <w:pPr>
              <w:ind w:firstLine="480" w:firstLineChars="200"/>
              <w:rPr>
                <w:color w:val="000000"/>
                <w:sz w:val="24"/>
              </w:rPr>
            </w:pPr>
          </w:p>
          <w:p w14:paraId="7A196765">
            <w:pPr>
              <w:ind w:firstLine="480" w:firstLineChars="200"/>
              <w:rPr>
                <w:color w:val="000000"/>
                <w:sz w:val="24"/>
              </w:rPr>
            </w:pPr>
          </w:p>
          <w:p w14:paraId="4EC400F1">
            <w:pPr>
              <w:ind w:firstLine="480" w:firstLineChars="200"/>
              <w:rPr>
                <w:color w:val="000000"/>
                <w:sz w:val="24"/>
              </w:rPr>
            </w:pPr>
          </w:p>
          <w:p w14:paraId="3EEA51E3">
            <w:pPr>
              <w:ind w:firstLine="480" w:firstLineChars="200"/>
              <w:rPr>
                <w:color w:val="000000"/>
                <w:sz w:val="24"/>
              </w:rPr>
            </w:pPr>
          </w:p>
          <w:p w14:paraId="59EEC201">
            <w:pPr>
              <w:ind w:firstLine="480" w:firstLineChars="200"/>
              <w:rPr>
                <w:color w:val="000000"/>
                <w:sz w:val="24"/>
              </w:rPr>
            </w:pPr>
          </w:p>
          <w:p w14:paraId="01046904">
            <w:pPr>
              <w:ind w:firstLine="480" w:firstLineChars="200"/>
              <w:rPr>
                <w:color w:val="000000"/>
                <w:sz w:val="24"/>
              </w:rPr>
            </w:pPr>
          </w:p>
          <w:p w14:paraId="389D435A">
            <w:pPr>
              <w:rPr>
                <w:color w:val="000000"/>
              </w:rPr>
            </w:pPr>
          </w:p>
        </w:tc>
      </w:tr>
      <w:tr w14:paraId="06A7C2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3" w:hRule="atLeast"/>
        </w:trPr>
        <w:tc>
          <w:tcPr>
            <w:tcW w:w="9072" w:type="dxa"/>
            <w:tcBorders>
              <w:top w:val="single" w:color="auto" w:sz="4" w:space="0"/>
              <w:left w:val="single" w:color="auto" w:sz="4" w:space="0"/>
              <w:bottom w:val="single" w:color="auto" w:sz="4" w:space="0"/>
              <w:right w:val="single" w:color="auto" w:sz="4" w:space="0"/>
            </w:tcBorders>
          </w:tcPr>
          <w:p w14:paraId="51AE26C6">
            <w:pPr>
              <w:rPr>
                <w:b/>
                <w:color w:val="000000"/>
                <w:sz w:val="24"/>
              </w:rPr>
            </w:pPr>
            <w:r>
              <w:rPr>
                <w:rFonts w:hint="eastAsia"/>
                <w:b/>
                <w:color w:val="000000"/>
                <w:sz w:val="24"/>
              </w:rPr>
              <w:t>预审意见：</w:t>
            </w:r>
          </w:p>
          <w:p w14:paraId="4CAF0DB9">
            <w:pPr>
              <w:rPr>
                <w:color w:val="000000"/>
                <w:sz w:val="24"/>
              </w:rPr>
            </w:pPr>
          </w:p>
          <w:p w14:paraId="5F01FC5C">
            <w:pPr>
              <w:rPr>
                <w:color w:val="000000"/>
                <w:sz w:val="24"/>
              </w:rPr>
            </w:pPr>
          </w:p>
          <w:p w14:paraId="13E5B3A5">
            <w:pPr>
              <w:rPr>
                <w:color w:val="000000"/>
                <w:sz w:val="24"/>
              </w:rPr>
            </w:pPr>
          </w:p>
          <w:p w14:paraId="23867A62">
            <w:pPr>
              <w:rPr>
                <w:color w:val="000000"/>
                <w:sz w:val="24"/>
              </w:rPr>
            </w:pPr>
          </w:p>
          <w:p w14:paraId="3EE54958">
            <w:pPr>
              <w:rPr>
                <w:color w:val="000000"/>
                <w:sz w:val="24"/>
              </w:rPr>
            </w:pPr>
          </w:p>
          <w:p w14:paraId="18FA9EDF">
            <w:pPr>
              <w:rPr>
                <w:color w:val="000000"/>
                <w:sz w:val="24"/>
              </w:rPr>
            </w:pPr>
          </w:p>
          <w:p w14:paraId="2C9A549D">
            <w:pPr>
              <w:rPr>
                <w:color w:val="000000"/>
                <w:sz w:val="24"/>
              </w:rPr>
            </w:pPr>
          </w:p>
          <w:p w14:paraId="3C72F9C0">
            <w:pPr>
              <w:rPr>
                <w:color w:val="000000"/>
                <w:sz w:val="24"/>
              </w:rPr>
            </w:pPr>
          </w:p>
          <w:p w14:paraId="43EBFF4B">
            <w:pPr>
              <w:rPr>
                <w:color w:val="000000"/>
                <w:sz w:val="24"/>
              </w:rPr>
            </w:pPr>
          </w:p>
          <w:p w14:paraId="5CBB4D84">
            <w:pPr>
              <w:ind w:firstLine="6240" w:firstLineChars="2600"/>
              <w:rPr>
                <w:color w:val="000000"/>
                <w:sz w:val="24"/>
              </w:rPr>
            </w:pPr>
            <w:r>
              <w:rPr>
                <w:rFonts w:hint="eastAsia"/>
                <w:color w:val="000000"/>
                <w:sz w:val="24"/>
              </w:rPr>
              <w:t>公章</w:t>
            </w:r>
          </w:p>
          <w:p w14:paraId="06617458">
            <w:pPr>
              <w:ind w:firstLine="6240" w:firstLineChars="2600"/>
              <w:rPr>
                <w:color w:val="000000"/>
                <w:sz w:val="24"/>
              </w:rPr>
            </w:pPr>
            <w:r>
              <w:rPr>
                <w:rFonts w:hint="eastAsia"/>
                <w:color w:val="000000"/>
                <w:sz w:val="24"/>
              </w:rPr>
              <w:t>经办人</w:t>
            </w:r>
          </w:p>
          <w:p w14:paraId="3C0BA60E">
            <w:pPr>
              <w:ind w:firstLine="6240" w:firstLineChars="2600"/>
              <w:rPr>
                <w:color w:val="000000"/>
                <w:sz w:val="24"/>
              </w:rPr>
            </w:pPr>
            <w:r>
              <w:rPr>
                <w:rFonts w:hint="eastAsia"/>
                <w:color w:val="000000"/>
                <w:sz w:val="24"/>
              </w:rPr>
              <w:t>年月日</w:t>
            </w:r>
          </w:p>
          <w:p w14:paraId="7FDBF610">
            <w:pPr>
              <w:pStyle w:val="7"/>
              <w:ind w:firstLine="480"/>
              <w:rPr>
                <w:color w:val="000000"/>
              </w:rPr>
            </w:pPr>
            <w:r>
              <w:pict>
                <v:line id="Line 49" o:spid="_x0000_s1026" o:spt="20" style="position:absolute;left:0pt;flip:y;margin-left:-6.2pt;margin-top:20.85pt;height:0.85pt;width:447.3pt;z-index:251662336;mso-width-relative:page;mso-height-relative:page;" coordsize="21600,21600">
                  <v:path arrowok="t"/>
                  <v:fill focussize="0,0"/>
                  <v:stroke weight="0.25pt"/>
                  <v:imagedata o:title=""/>
                  <o:lock v:ext="edit"/>
                </v:line>
              </w:pict>
            </w:r>
          </w:p>
          <w:p w14:paraId="60E34917">
            <w:pPr>
              <w:pStyle w:val="7"/>
              <w:ind w:firstLine="0" w:firstLineChars="0"/>
              <w:rPr>
                <w:b/>
                <w:color w:val="000000"/>
              </w:rPr>
            </w:pPr>
            <w:r>
              <w:rPr>
                <w:rFonts w:hint="eastAsia"/>
                <w:b/>
                <w:color w:val="000000"/>
              </w:rPr>
              <w:t>下一级环境保护行政主管部门审查意见：</w:t>
            </w:r>
          </w:p>
          <w:p w14:paraId="77489C89">
            <w:pPr>
              <w:rPr>
                <w:color w:val="000000"/>
                <w:sz w:val="24"/>
              </w:rPr>
            </w:pPr>
          </w:p>
          <w:p w14:paraId="012489A4">
            <w:pPr>
              <w:rPr>
                <w:color w:val="000000"/>
                <w:sz w:val="24"/>
              </w:rPr>
            </w:pPr>
          </w:p>
          <w:p w14:paraId="0FA4185F">
            <w:pPr>
              <w:rPr>
                <w:color w:val="000000"/>
                <w:sz w:val="24"/>
              </w:rPr>
            </w:pPr>
          </w:p>
          <w:p w14:paraId="071F7D2E">
            <w:pPr>
              <w:rPr>
                <w:color w:val="000000"/>
                <w:sz w:val="24"/>
              </w:rPr>
            </w:pPr>
          </w:p>
          <w:p w14:paraId="3FC9B0FA">
            <w:pPr>
              <w:rPr>
                <w:color w:val="000000"/>
                <w:sz w:val="24"/>
              </w:rPr>
            </w:pPr>
          </w:p>
          <w:p w14:paraId="1FCC3D5F">
            <w:pPr>
              <w:rPr>
                <w:color w:val="000000"/>
                <w:sz w:val="24"/>
              </w:rPr>
            </w:pPr>
          </w:p>
          <w:p w14:paraId="2029BC40">
            <w:pPr>
              <w:rPr>
                <w:color w:val="000000"/>
                <w:sz w:val="24"/>
              </w:rPr>
            </w:pPr>
          </w:p>
          <w:p w14:paraId="1B7E2455">
            <w:pPr>
              <w:rPr>
                <w:color w:val="000000"/>
                <w:sz w:val="24"/>
              </w:rPr>
            </w:pPr>
          </w:p>
          <w:p w14:paraId="6BB42AEF">
            <w:pPr>
              <w:rPr>
                <w:color w:val="000000"/>
                <w:sz w:val="24"/>
              </w:rPr>
            </w:pPr>
          </w:p>
          <w:p w14:paraId="154C9995">
            <w:pPr>
              <w:rPr>
                <w:color w:val="000000"/>
                <w:sz w:val="24"/>
              </w:rPr>
            </w:pPr>
          </w:p>
          <w:p w14:paraId="26FCCF2D">
            <w:pPr>
              <w:rPr>
                <w:color w:val="000000"/>
                <w:sz w:val="24"/>
              </w:rPr>
            </w:pPr>
          </w:p>
          <w:p w14:paraId="22CF650C">
            <w:pPr>
              <w:ind w:firstLine="5520" w:firstLineChars="2300"/>
              <w:rPr>
                <w:color w:val="000000"/>
                <w:sz w:val="24"/>
              </w:rPr>
            </w:pPr>
            <w:r>
              <w:rPr>
                <w:rFonts w:hint="eastAsia"/>
                <w:color w:val="000000"/>
                <w:sz w:val="24"/>
              </w:rPr>
              <w:t>公章</w:t>
            </w:r>
          </w:p>
          <w:p w14:paraId="191478DF">
            <w:pPr>
              <w:pStyle w:val="7"/>
              <w:ind w:firstLine="5520" w:firstLineChars="2300"/>
              <w:rPr>
                <w:color w:val="000000"/>
              </w:rPr>
            </w:pPr>
            <w:r>
              <w:rPr>
                <w:rFonts w:hint="eastAsia"/>
                <w:color w:val="000000"/>
              </w:rPr>
              <w:t>经办人</w:t>
            </w:r>
          </w:p>
          <w:p w14:paraId="797A249F">
            <w:pPr>
              <w:pStyle w:val="7"/>
              <w:ind w:firstLine="5520" w:firstLineChars="2300"/>
              <w:rPr>
                <w:color w:val="000000"/>
              </w:rPr>
            </w:pPr>
            <w:r>
              <w:rPr>
                <w:rFonts w:hint="eastAsia"/>
                <w:color w:val="000000"/>
              </w:rPr>
              <w:t>年月日</w:t>
            </w:r>
          </w:p>
          <w:p w14:paraId="3996F907">
            <w:pPr>
              <w:rPr>
                <w:b/>
                <w:color w:val="000000"/>
                <w:sz w:val="24"/>
              </w:rPr>
            </w:pPr>
            <w:r>
              <w:rPr>
                <w:rFonts w:hint="eastAsia"/>
                <w:b/>
                <w:color w:val="000000"/>
                <w:sz w:val="24"/>
              </w:rPr>
              <w:t>审批意见：</w:t>
            </w:r>
          </w:p>
          <w:p w14:paraId="6CD76D2E">
            <w:pPr>
              <w:rPr>
                <w:color w:val="000000"/>
                <w:sz w:val="24"/>
              </w:rPr>
            </w:pPr>
          </w:p>
          <w:p w14:paraId="76AC9772">
            <w:pPr>
              <w:rPr>
                <w:color w:val="000000"/>
                <w:sz w:val="24"/>
              </w:rPr>
            </w:pPr>
          </w:p>
          <w:p w14:paraId="5F1716F7">
            <w:pPr>
              <w:rPr>
                <w:color w:val="000000"/>
                <w:sz w:val="24"/>
              </w:rPr>
            </w:pPr>
          </w:p>
          <w:p w14:paraId="5C975BA8">
            <w:pPr>
              <w:rPr>
                <w:color w:val="000000"/>
                <w:sz w:val="24"/>
              </w:rPr>
            </w:pPr>
          </w:p>
          <w:p w14:paraId="7865EEB5">
            <w:pPr>
              <w:rPr>
                <w:color w:val="000000"/>
                <w:sz w:val="24"/>
              </w:rPr>
            </w:pPr>
          </w:p>
          <w:p w14:paraId="6D841101">
            <w:pPr>
              <w:rPr>
                <w:color w:val="000000"/>
                <w:sz w:val="24"/>
              </w:rPr>
            </w:pPr>
          </w:p>
          <w:p w14:paraId="61C95B43">
            <w:pPr>
              <w:rPr>
                <w:color w:val="000000"/>
                <w:sz w:val="24"/>
              </w:rPr>
            </w:pPr>
          </w:p>
          <w:p w14:paraId="7ABE0982">
            <w:pPr>
              <w:rPr>
                <w:color w:val="000000"/>
                <w:sz w:val="24"/>
              </w:rPr>
            </w:pPr>
          </w:p>
          <w:p w14:paraId="2B58DE9A">
            <w:pPr>
              <w:rPr>
                <w:color w:val="000000"/>
                <w:sz w:val="24"/>
              </w:rPr>
            </w:pPr>
          </w:p>
          <w:p w14:paraId="56D06936">
            <w:pPr>
              <w:rPr>
                <w:color w:val="000000"/>
                <w:sz w:val="24"/>
              </w:rPr>
            </w:pPr>
          </w:p>
          <w:p w14:paraId="21129F4D">
            <w:pPr>
              <w:rPr>
                <w:color w:val="000000"/>
                <w:sz w:val="24"/>
              </w:rPr>
            </w:pPr>
          </w:p>
          <w:p w14:paraId="790C7471">
            <w:pPr>
              <w:rPr>
                <w:color w:val="000000"/>
                <w:sz w:val="24"/>
              </w:rPr>
            </w:pPr>
          </w:p>
          <w:p w14:paraId="1DCA2621">
            <w:pPr>
              <w:rPr>
                <w:color w:val="000000"/>
                <w:sz w:val="24"/>
              </w:rPr>
            </w:pPr>
          </w:p>
          <w:p w14:paraId="2A2FB1BE">
            <w:pPr>
              <w:rPr>
                <w:color w:val="000000"/>
                <w:sz w:val="24"/>
              </w:rPr>
            </w:pPr>
          </w:p>
          <w:p w14:paraId="6EED5927">
            <w:pPr>
              <w:rPr>
                <w:color w:val="000000"/>
                <w:sz w:val="24"/>
              </w:rPr>
            </w:pPr>
          </w:p>
          <w:p w14:paraId="6D19A55F">
            <w:pPr>
              <w:rPr>
                <w:color w:val="000000"/>
                <w:sz w:val="24"/>
              </w:rPr>
            </w:pPr>
          </w:p>
          <w:p w14:paraId="0BFB62F2">
            <w:pPr>
              <w:rPr>
                <w:color w:val="000000"/>
                <w:sz w:val="24"/>
              </w:rPr>
            </w:pPr>
          </w:p>
          <w:p w14:paraId="34131205">
            <w:pPr>
              <w:rPr>
                <w:color w:val="000000"/>
                <w:sz w:val="24"/>
              </w:rPr>
            </w:pPr>
          </w:p>
          <w:p w14:paraId="1F11836A">
            <w:pPr>
              <w:rPr>
                <w:color w:val="000000"/>
                <w:sz w:val="24"/>
              </w:rPr>
            </w:pPr>
          </w:p>
          <w:p w14:paraId="00F4D477">
            <w:pPr>
              <w:rPr>
                <w:color w:val="000000"/>
                <w:sz w:val="24"/>
              </w:rPr>
            </w:pPr>
          </w:p>
          <w:p w14:paraId="7321B5C5">
            <w:pPr>
              <w:rPr>
                <w:color w:val="000000"/>
                <w:sz w:val="24"/>
              </w:rPr>
            </w:pPr>
          </w:p>
          <w:p w14:paraId="6F37CD5F">
            <w:pPr>
              <w:rPr>
                <w:color w:val="000000"/>
                <w:sz w:val="24"/>
              </w:rPr>
            </w:pPr>
          </w:p>
          <w:p w14:paraId="322981FB">
            <w:pPr>
              <w:ind w:right="480" w:firstLine="5640" w:firstLineChars="2350"/>
              <w:rPr>
                <w:color w:val="000000"/>
                <w:sz w:val="24"/>
              </w:rPr>
            </w:pPr>
            <w:r>
              <w:rPr>
                <w:rFonts w:hint="eastAsia"/>
                <w:color w:val="000000"/>
                <w:sz w:val="24"/>
              </w:rPr>
              <w:t>公章</w:t>
            </w:r>
          </w:p>
          <w:p w14:paraId="6C842643">
            <w:pPr>
              <w:jc w:val="right"/>
              <w:rPr>
                <w:color w:val="000000"/>
                <w:sz w:val="24"/>
              </w:rPr>
            </w:pPr>
          </w:p>
          <w:p w14:paraId="6CC78703">
            <w:pPr>
              <w:ind w:right="480" w:firstLine="5640" w:firstLineChars="2350"/>
              <w:rPr>
                <w:color w:val="000000"/>
                <w:sz w:val="24"/>
              </w:rPr>
            </w:pPr>
            <w:r>
              <w:rPr>
                <w:rFonts w:hint="eastAsia"/>
                <w:color w:val="000000"/>
                <w:sz w:val="24"/>
              </w:rPr>
              <w:t>经办人：</w:t>
            </w:r>
          </w:p>
          <w:p w14:paraId="0347E4F0">
            <w:pPr>
              <w:jc w:val="right"/>
              <w:rPr>
                <w:color w:val="000000"/>
                <w:sz w:val="24"/>
              </w:rPr>
            </w:pPr>
          </w:p>
          <w:p w14:paraId="0BB9B30A">
            <w:pPr>
              <w:ind w:right="480" w:firstLine="5640" w:firstLineChars="2350"/>
              <w:rPr>
                <w:color w:val="000000"/>
              </w:rPr>
            </w:pPr>
            <w:r>
              <w:rPr>
                <w:rFonts w:hint="eastAsia"/>
                <w:color w:val="000000"/>
                <w:sz w:val="24"/>
              </w:rPr>
              <w:t>年月日</w:t>
            </w:r>
          </w:p>
        </w:tc>
      </w:tr>
      <w:tr w14:paraId="7B149E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9" w:hRule="atLeast"/>
        </w:trPr>
        <w:tc>
          <w:tcPr>
            <w:tcW w:w="9072" w:type="dxa"/>
            <w:tcBorders>
              <w:top w:val="single" w:color="auto" w:sz="4" w:space="0"/>
              <w:left w:val="single" w:color="auto" w:sz="4" w:space="0"/>
              <w:bottom w:val="single" w:color="auto" w:sz="4" w:space="0"/>
              <w:right w:val="single" w:color="auto" w:sz="4" w:space="0"/>
            </w:tcBorders>
          </w:tcPr>
          <w:p w14:paraId="31A3092C">
            <w:pPr>
              <w:rPr>
                <w:color w:val="000000"/>
              </w:rPr>
            </w:pPr>
          </w:p>
        </w:tc>
      </w:tr>
    </w:tbl>
    <w:p w14:paraId="2D2A59F8">
      <w:pPr>
        <w:widowControl/>
        <w:jc w:val="left"/>
        <w:rPr>
          <w:color w:val="000000"/>
        </w:rPr>
        <w:sectPr>
          <w:pgSz w:w="11906" w:h="16838"/>
          <w:pgMar w:top="1588" w:right="1588" w:bottom="1588" w:left="1588" w:header="851" w:footer="992" w:gutter="0"/>
          <w:cols w:space="720" w:num="1"/>
          <w:docGrid w:type="lines" w:linePitch="312" w:charSpace="0"/>
        </w:sectPr>
      </w:pPr>
    </w:p>
    <w:p w14:paraId="1E5429BB"/>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Kai Titling">
    <w:altName w:val="黑体"/>
    <w:panose1 w:val="00000000000000000000"/>
    <w:charset w:val="86"/>
    <w:family w:val="modern"/>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Tahoma">
    <w:panose1 w:val="020B0604030504040204"/>
    <w:charset w:val="00"/>
    <w:family w:val="swiss"/>
    <w:pitch w:val="default"/>
    <w:sig w:usb0="E1002EFF" w:usb1="C000605B" w:usb2="00000029" w:usb3="00000000" w:csb0="200101FF" w:csb1="2028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jYyMmM5ZWViZDE5OGI0MjM4NzczOTJkMWU3N2M1YTEifQ=="/>
  </w:docVars>
  <w:rsids>
    <w:rsidRoot w:val="005C66B0"/>
    <w:rsid w:val="0019107F"/>
    <w:rsid w:val="001A64AE"/>
    <w:rsid w:val="004744BC"/>
    <w:rsid w:val="005C66B0"/>
    <w:rsid w:val="009D3B73"/>
    <w:rsid w:val="00C757D1"/>
    <w:rsid w:val="06407F7B"/>
    <w:rsid w:val="172301C7"/>
    <w:rsid w:val="1A8A679B"/>
    <w:rsid w:val="582D7399"/>
    <w:rsid w:val="5C226D99"/>
    <w:rsid w:val="70394BAE"/>
    <w:rsid w:val="7A60123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0" w:semiHidden="0"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qFormat="1" w:uiPriority="0" w:semiHidden="0" w:name="toc 9"/>
    <w:lsdException w:uiPriority="0" w:semiHidden="0" w:name="Normal Indent"/>
    <w:lsdException w:uiPriority="99" w:name="footnote text"/>
    <w:lsdException w:uiPriority="0" w:semiHidden="0" w:name="annotation text"/>
    <w:lsdException w:uiPriority="0"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0" w:semiHidden="0" w:name="Body Text"/>
    <w:lsdException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0" w:semiHidden="0" w:name="Body Text First Indent"/>
    <w:lsdException w:uiPriority="99" w:name="Body Text First Indent 2"/>
    <w:lsdException w:uiPriority="99" w:name="Note Heading"/>
    <w:lsdException w:uiPriority="0" w:semiHidden="0" w:name="Body Text 2"/>
    <w:lsdException w:qFormat="1" w:uiPriority="0" w:semiHidden="0" w:name="Body Text 3"/>
    <w:lsdException w:qFormat="1" w:uiPriority="0" w:semiHidden="0" w:name="Body Text Indent 2"/>
    <w:lsdException w:uiPriority="0" w:semiHidden="0" w:name="Body Text Indent 3"/>
    <w:lsdException w:uiPriority="99" w:name="Block Text"/>
    <w:lsdException w:uiPriority="0" w:semiHidden="0" w:name="Hyperlink"/>
    <w:lsdException w:qFormat="1" w:uiPriority="0" w:semiHidden="0" w:name="FollowedHyperlink"/>
    <w:lsdException w:qFormat="1" w:unhideWhenUsed="0" w:uiPriority="0" w:semiHidden="0" w:name="Strong"/>
    <w:lsdException w:qFormat="1" w:unhideWhenUsed="0" w:uiPriority="20" w:semiHidden="0" w:name="Emphasis"/>
    <w:lsdException w:qFormat="1" w:uiPriority="0" w:semiHidden="0" w:name="Document Map"/>
    <w:lsdException w:uiPriority="0"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0" w:semiHidden="0" w:name="Balloon Text"/>
    <w:lsdException w:qFormat="1" w:unhideWhenUsed="0" w:uiPriority="0"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33"/>
    <w:qFormat/>
    <w:uiPriority w:val="0"/>
    <w:pPr>
      <w:keepNext/>
      <w:keepLines/>
      <w:spacing w:before="340" w:after="330" w:line="576" w:lineRule="auto"/>
      <w:outlineLvl w:val="0"/>
    </w:pPr>
    <w:rPr>
      <w:b/>
      <w:bCs/>
      <w:kern w:val="44"/>
      <w:sz w:val="44"/>
      <w:szCs w:val="44"/>
    </w:rPr>
  </w:style>
  <w:style w:type="paragraph" w:styleId="3">
    <w:name w:val="heading 2"/>
    <w:basedOn w:val="1"/>
    <w:next w:val="1"/>
    <w:link w:val="34"/>
    <w:unhideWhenUsed/>
    <w:qFormat/>
    <w:uiPriority w:val="0"/>
    <w:pPr>
      <w:keepNext/>
      <w:keepLines/>
      <w:spacing w:before="260" w:after="260" w:line="415" w:lineRule="auto"/>
      <w:outlineLvl w:val="1"/>
    </w:pPr>
    <w:rPr>
      <w:rFonts w:ascii="Arial" w:hAnsi="Arial" w:eastAsia="黑体"/>
      <w:b/>
      <w:bCs/>
      <w:sz w:val="32"/>
      <w:szCs w:val="32"/>
    </w:rPr>
  </w:style>
  <w:style w:type="paragraph" w:styleId="4">
    <w:name w:val="heading 3"/>
    <w:basedOn w:val="1"/>
    <w:next w:val="1"/>
    <w:link w:val="35"/>
    <w:unhideWhenUsed/>
    <w:qFormat/>
    <w:uiPriority w:val="0"/>
    <w:pPr>
      <w:keepNext/>
      <w:keepLines/>
      <w:spacing w:before="260" w:after="260" w:line="415" w:lineRule="auto"/>
      <w:outlineLvl w:val="2"/>
    </w:pPr>
    <w:rPr>
      <w:b/>
      <w:sz w:val="30"/>
    </w:rPr>
  </w:style>
  <w:style w:type="paragraph" w:styleId="5">
    <w:name w:val="heading 4"/>
    <w:basedOn w:val="1"/>
    <w:next w:val="1"/>
    <w:link w:val="36"/>
    <w:unhideWhenUsed/>
    <w:qFormat/>
    <w:uiPriority w:val="0"/>
    <w:pPr>
      <w:keepNext/>
      <w:keepLines/>
      <w:spacing w:before="280" w:after="290" w:line="374" w:lineRule="auto"/>
      <w:outlineLvl w:val="3"/>
    </w:pPr>
    <w:rPr>
      <w:rFonts w:ascii="Arial" w:hAnsi="Arial" w:eastAsia="黑体"/>
      <w:b/>
      <w:bCs/>
      <w:sz w:val="28"/>
      <w:szCs w:val="28"/>
    </w:rPr>
  </w:style>
  <w:style w:type="paragraph" w:styleId="6">
    <w:name w:val="heading 5"/>
    <w:basedOn w:val="1"/>
    <w:next w:val="1"/>
    <w:link w:val="37"/>
    <w:unhideWhenUsed/>
    <w:qFormat/>
    <w:uiPriority w:val="0"/>
    <w:pPr>
      <w:keepNext/>
      <w:keepLines/>
      <w:spacing w:before="280" w:after="290" w:line="374" w:lineRule="auto"/>
      <w:outlineLvl w:val="4"/>
    </w:pPr>
    <w:rPr>
      <w:b/>
      <w:bCs/>
      <w:sz w:val="28"/>
      <w:szCs w:val="28"/>
    </w:rPr>
  </w:style>
  <w:style w:type="character" w:default="1" w:styleId="27">
    <w:name w:val="Default Paragraph Font"/>
    <w:semiHidden/>
    <w:unhideWhenUsed/>
    <w:qFormat/>
    <w:uiPriority w:val="1"/>
  </w:style>
  <w:style w:type="table" w:default="1" w:styleId="25">
    <w:name w:val="Normal Table"/>
    <w:semiHidden/>
    <w:unhideWhenUsed/>
    <w:qFormat/>
    <w:uiPriority w:val="99"/>
    <w:tblPr>
      <w:tblCellMar>
        <w:top w:w="0" w:type="dxa"/>
        <w:left w:w="108" w:type="dxa"/>
        <w:bottom w:w="0" w:type="dxa"/>
        <w:right w:w="108" w:type="dxa"/>
      </w:tblCellMar>
    </w:tblPr>
  </w:style>
  <w:style w:type="paragraph" w:styleId="7">
    <w:name w:val="Normal Indent"/>
    <w:basedOn w:val="1"/>
    <w:unhideWhenUsed/>
    <w:uiPriority w:val="0"/>
    <w:pPr>
      <w:ind w:firstLine="420" w:firstLineChars="200"/>
    </w:pPr>
    <w:rPr>
      <w:sz w:val="24"/>
    </w:rPr>
  </w:style>
  <w:style w:type="paragraph" w:styleId="8">
    <w:name w:val="Document Map"/>
    <w:basedOn w:val="1"/>
    <w:link w:val="136"/>
    <w:unhideWhenUsed/>
    <w:qFormat/>
    <w:uiPriority w:val="0"/>
    <w:rPr>
      <w:rFonts w:ascii="宋体"/>
      <w:sz w:val="18"/>
      <w:szCs w:val="18"/>
    </w:rPr>
  </w:style>
  <w:style w:type="paragraph" w:styleId="9">
    <w:name w:val="annotation text"/>
    <w:basedOn w:val="1"/>
    <w:link w:val="134"/>
    <w:unhideWhenUsed/>
    <w:uiPriority w:val="0"/>
    <w:pPr>
      <w:jc w:val="left"/>
    </w:pPr>
  </w:style>
  <w:style w:type="paragraph" w:styleId="10">
    <w:name w:val="Body Text 3"/>
    <w:basedOn w:val="1"/>
    <w:link w:val="45"/>
    <w:unhideWhenUsed/>
    <w:qFormat/>
    <w:uiPriority w:val="0"/>
    <w:pPr>
      <w:spacing w:line="420" w:lineRule="exact"/>
    </w:pPr>
    <w:rPr>
      <w:rFonts w:ascii="宋体" w:hAnsi="宋体"/>
      <w:sz w:val="28"/>
    </w:rPr>
  </w:style>
  <w:style w:type="paragraph" w:styleId="11">
    <w:name w:val="Body Text"/>
    <w:basedOn w:val="1"/>
    <w:link w:val="41"/>
    <w:unhideWhenUsed/>
    <w:qFormat/>
    <w:uiPriority w:val="0"/>
    <w:pPr>
      <w:spacing w:after="120"/>
    </w:pPr>
  </w:style>
  <w:style w:type="paragraph" w:styleId="12">
    <w:name w:val="Body Text Indent"/>
    <w:basedOn w:val="1"/>
    <w:link w:val="42"/>
    <w:unhideWhenUsed/>
    <w:uiPriority w:val="0"/>
    <w:pPr>
      <w:spacing w:after="120"/>
      <w:ind w:left="420" w:leftChars="200"/>
    </w:pPr>
  </w:style>
  <w:style w:type="paragraph" w:styleId="13">
    <w:name w:val="Plain Text"/>
    <w:basedOn w:val="1"/>
    <w:link w:val="49"/>
    <w:unhideWhenUsed/>
    <w:uiPriority w:val="0"/>
    <w:rPr>
      <w:rFonts w:ascii="宋体" w:hAnsi="Courier New"/>
      <w:szCs w:val="20"/>
    </w:rPr>
  </w:style>
  <w:style w:type="paragraph" w:styleId="14">
    <w:name w:val="Body Text Indent 2"/>
    <w:basedOn w:val="1"/>
    <w:link w:val="138"/>
    <w:unhideWhenUsed/>
    <w:qFormat/>
    <w:uiPriority w:val="0"/>
    <w:pPr>
      <w:spacing w:after="120" w:line="480" w:lineRule="auto"/>
      <w:ind w:left="420" w:leftChars="200"/>
    </w:pPr>
  </w:style>
  <w:style w:type="paragraph" w:styleId="15">
    <w:name w:val="Balloon Text"/>
    <w:basedOn w:val="1"/>
    <w:link w:val="140"/>
    <w:unhideWhenUsed/>
    <w:uiPriority w:val="0"/>
    <w:rPr>
      <w:sz w:val="18"/>
      <w:szCs w:val="18"/>
    </w:rPr>
  </w:style>
  <w:style w:type="paragraph" w:styleId="16">
    <w:name w:val="footer"/>
    <w:basedOn w:val="1"/>
    <w:link w:val="137"/>
    <w:unhideWhenUsed/>
    <w:uiPriority w:val="99"/>
    <w:pPr>
      <w:tabs>
        <w:tab w:val="center" w:pos="4153"/>
        <w:tab w:val="right" w:pos="8306"/>
      </w:tabs>
      <w:snapToGrid w:val="0"/>
      <w:jc w:val="left"/>
    </w:pPr>
    <w:rPr>
      <w:sz w:val="18"/>
      <w:szCs w:val="18"/>
    </w:rPr>
  </w:style>
  <w:style w:type="paragraph" w:styleId="17">
    <w:name w:val="header"/>
    <w:basedOn w:val="1"/>
    <w:link w:val="139"/>
    <w:unhideWhenUsed/>
    <w:uiPriority w:val="0"/>
    <w:pPr>
      <w:pBdr>
        <w:bottom w:val="single" w:color="auto" w:sz="6" w:space="1"/>
      </w:pBdr>
      <w:tabs>
        <w:tab w:val="center" w:pos="4153"/>
        <w:tab w:val="right" w:pos="8306"/>
      </w:tabs>
      <w:snapToGrid w:val="0"/>
      <w:jc w:val="center"/>
    </w:pPr>
    <w:rPr>
      <w:sz w:val="18"/>
      <w:szCs w:val="18"/>
    </w:rPr>
  </w:style>
  <w:style w:type="paragraph" w:styleId="18">
    <w:name w:val="toc 1"/>
    <w:basedOn w:val="1"/>
    <w:next w:val="1"/>
    <w:unhideWhenUsed/>
    <w:uiPriority w:val="0"/>
    <w:pPr>
      <w:adjustRightInd w:val="0"/>
      <w:spacing w:line="360" w:lineRule="atLeast"/>
      <w:jc w:val="left"/>
    </w:pPr>
    <w:rPr>
      <w:kern w:val="0"/>
      <w:sz w:val="24"/>
      <w:szCs w:val="20"/>
    </w:rPr>
  </w:style>
  <w:style w:type="paragraph" w:styleId="19">
    <w:name w:val="Body Text Indent 3"/>
    <w:basedOn w:val="1"/>
    <w:link w:val="47"/>
    <w:unhideWhenUsed/>
    <w:uiPriority w:val="0"/>
    <w:pPr>
      <w:spacing w:after="120"/>
      <w:ind w:left="420"/>
    </w:pPr>
    <w:rPr>
      <w:sz w:val="16"/>
      <w:szCs w:val="16"/>
    </w:rPr>
  </w:style>
  <w:style w:type="paragraph" w:styleId="20">
    <w:name w:val="toc 9"/>
    <w:basedOn w:val="1"/>
    <w:next w:val="1"/>
    <w:unhideWhenUsed/>
    <w:qFormat/>
    <w:uiPriority w:val="0"/>
    <w:pPr>
      <w:adjustRightInd w:val="0"/>
      <w:spacing w:line="360" w:lineRule="atLeast"/>
      <w:ind w:left="3360"/>
      <w:jc w:val="left"/>
    </w:pPr>
    <w:rPr>
      <w:kern w:val="0"/>
      <w:sz w:val="24"/>
      <w:szCs w:val="20"/>
    </w:rPr>
  </w:style>
  <w:style w:type="paragraph" w:styleId="21">
    <w:name w:val="Body Text 2"/>
    <w:basedOn w:val="1"/>
    <w:link w:val="44"/>
    <w:unhideWhenUsed/>
    <w:uiPriority w:val="0"/>
    <w:rPr>
      <w:sz w:val="28"/>
    </w:rPr>
  </w:style>
  <w:style w:type="paragraph" w:styleId="22">
    <w:name w:val="Normal (Web)"/>
    <w:basedOn w:val="1"/>
    <w:unhideWhenUsed/>
    <w:qFormat/>
    <w:uiPriority w:val="99"/>
    <w:pPr>
      <w:widowControl/>
      <w:spacing w:before="100" w:beforeAutospacing="1" w:after="100" w:afterAutospacing="1"/>
      <w:jc w:val="left"/>
    </w:pPr>
    <w:rPr>
      <w:rFonts w:ascii="宋体" w:hAnsi="宋体"/>
      <w:color w:val="000000"/>
      <w:kern w:val="0"/>
      <w:sz w:val="24"/>
    </w:rPr>
  </w:style>
  <w:style w:type="paragraph" w:styleId="23">
    <w:name w:val="annotation subject"/>
    <w:basedOn w:val="9"/>
    <w:next w:val="9"/>
    <w:link w:val="135"/>
    <w:unhideWhenUsed/>
    <w:uiPriority w:val="0"/>
    <w:pPr>
      <w:spacing w:line="240" w:lineRule="auto"/>
    </w:pPr>
    <w:rPr>
      <w:rFonts w:ascii="宋体"/>
      <w:kern w:val="0"/>
      <w:szCs w:val="20"/>
    </w:rPr>
  </w:style>
  <w:style w:type="paragraph" w:styleId="24">
    <w:name w:val="Body Text First Indent"/>
    <w:basedOn w:val="11"/>
    <w:link w:val="43"/>
    <w:unhideWhenUsed/>
    <w:uiPriority w:val="0"/>
    <w:pPr>
      <w:ind w:firstLine="420" w:firstLineChars="100"/>
    </w:pPr>
  </w:style>
  <w:style w:type="table" w:styleId="26">
    <w:name w:val="Table Grid"/>
    <w:basedOn w:val="25"/>
    <w:qFormat/>
    <w:uiPriority w:val="0"/>
    <w:pPr>
      <w:widowControl w:val="0"/>
      <w:jc w:val="both"/>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8">
    <w:name w:val="Strong"/>
    <w:qFormat/>
    <w:uiPriority w:val="0"/>
    <w:rPr>
      <w:b/>
      <w:bCs/>
    </w:rPr>
  </w:style>
  <w:style w:type="character" w:styleId="29">
    <w:name w:val="page number"/>
    <w:basedOn w:val="27"/>
    <w:qFormat/>
    <w:uiPriority w:val="0"/>
  </w:style>
  <w:style w:type="character" w:styleId="30">
    <w:name w:val="FollowedHyperlink"/>
    <w:unhideWhenUsed/>
    <w:qFormat/>
    <w:uiPriority w:val="0"/>
    <w:rPr>
      <w:color w:val="800080"/>
      <w:u w:val="single"/>
    </w:rPr>
  </w:style>
  <w:style w:type="character" w:styleId="31">
    <w:name w:val="Hyperlink"/>
    <w:unhideWhenUsed/>
    <w:uiPriority w:val="0"/>
    <w:rPr>
      <w:color w:val="0000FF"/>
      <w:u w:val="single"/>
    </w:rPr>
  </w:style>
  <w:style w:type="character" w:styleId="32">
    <w:name w:val="annotation reference"/>
    <w:unhideWhenUsed/>
    <w:uiPriority w:val="0"/>
    <w:rPr>
      <w:sz w:val="21"/>
      <w:szCs w:val="21"/>
    </w:rPr>
  </w:style>
  <w:style w:type="character" w:customStyle="1" w:styleId="33">
    <w:name w:val="标题 1 Char"/>
    <w:basedOn w:val="27"/>
    <w:link w:val="2"/>
    <w:qFormat/>
    <w:uiPriority w:val="0"/>
    <w:rPr>
      <w:rFonts w:ascii="Times New Roman" w:hAnsi="Times New Roman" w:eastAsia="宋体" w:cs="Times New Roman"/>
      <w:b/>
      <w:bCs/>
      <w:kern w:val="44"/>
      <w:sz w:val="44"/>
      <w:szCs w:val="44"/>
    </w:rPr>
  </w:style>
  <w:style w:type="character" w:customStyle="1" w:styleId="34">
    <w:name w:val="标题 2 Char"/>
    <w:basedOn w:val="27"/>
    <w:link w:val="3"/>
    <w:uiPriority w:val="0"/>
    <w:rPr>
      <w:rFonts w:ascii="Arial" w:hAnsi="Arial" w:eastAsia="黑体" w:cs="Times New Roman"/>
      <w:b/>
      <w:bCs/>
      <w:sz w:val="32"/>
      <w:szCs w:val="32"/>
    </w:rPr>
  </w:style>
  <w:style w:type="character" w:customStyle="1" w:styleId="35">
    <w:name w:val="标题 3 Char"/>
    <w:basedOn w:val="27"/>
    <w:link w:val="4"/>
    <w:uiPriority w:val="0"/>
    <w:rPr>
      <w:rFonts w:ascii="Times New Roman" w:hAnsi="Times New Roman" w:eastAsia="宋体" w:cs="Times New Roman"/>
      <w:b/>
      <w:sz w:val="30"/>
      <w:szCs w:val="24"/>
    </w:rPr>
  </w:style>
  <w:style w:type="character" w:customStyle="1" w:styleId="36">
    <w:name w:val="标题 4 Char"/>
    <w:basedOn w:val="27"/>
    <w:link w:val="5"/>
    <w:qFormat/>
    <w:uiPriority w:val="0"/>
    <w:rPr>
      <w:rFonts w:ascii="Arial" w:hAnsi="Arial" w:eastAsia="黑体" w:cs="Times New Roman"/>
      <w:b/>
      <w:bCs/>
      <w:sz w:val="28"/>
      <w:szCs w:val="28"/>
    </w:rPr>
  </w:style>
  <w:style w:type="character" w:customStyle="1" w:styleId="37">
    <w:name w:val="标题 5 Char"/>
    <w:basedOn w:val="27"/>
    <w:link w:val="6"/>
    <w:uiPriority w:val="0"/>
    <w:rPr>
      <w:rFonts w:ascii="Times New Roman" w:hAnsi="Times New Roman" w:eastAsia="宋体" w:cs="Times New Roman"/>
      <w:b/>
      <w:bCs/>
      <w:sz w:val="28"/>
      <w:szCs w:val="28"/>
    </w:rPr>
  </w:style>
  <w:style w:type="character" w:customStyle="1" w:styleId="38">
    <w:name w:val="批注文字 Char"/>
    <w:basedOn w:val="27"/>
    <w:link w:val="9"/>
    <w:uiPriority w:val="0"/>
    <w:rPr>
      <w:rFonts w:ascii="Times New Roman" w:hAnsi="Times New Roman" w:eastAsia="宋体" w:cs="Times New Roman"/>
      <w:szCs w:val="24"/>
    </w:rPr>
  </w:style>
  <w:style w:type="character" w:customStyle="1" w:styleId="39">
    <w:name w:val="页眉 Char"/>
    <w:basedOn w:val="27"/>
    <w:link w:val="17"/>
    <w:qFormat/>
    <w:uiPriority w:val="0"/>
    <w:rPr>
      <w:rFonts w:ascii="Times New Roman" w:hAnsi="Times New Roman" w:eastAsia="宋体" w:cs="Times New Roman"/>
      <w:sz w:val="18"/>
      <w:szCs w:val="18"/>
    </w:rPr>
  </w:style>
  <w:style w:type="character" w:customStyle="1" w:styleId="40">
    <w:name w:val="页脚 Char"/>
    <w:basedOn w:val="27"/>
    <w:link w:val="16"/>
    <w:uiPriority w:val="99"/>
    <w:rPr>
      <w:rFonts w:ascii="Times New Roman" w:hAnsi="Times New Roman" w:eastAsia="宋体" w:cs="Times New Roman"/>
      <w:sz w:val="18"/>
      <w:szCs w:val="18"/>
    </w:rPr>
  </w:style>
  <w:style w:type="character" w:customStyle="1" w:styleId="41">
    <w:name w:val="正文文本 Char"/>
    <w:basedOn w:val="27"/>
    <w:link w:val="11"/>
    <w:semiHidden/>
    <w:uiPriority w:val="99"/>
    <w:rPr>
      <w:rFonts w:ascii="Times New Roman" w:hAnsi="Times New Roman" w:eastAsia="宋体" w:cs="Times New Roman"/>
      <w:szCs w:val="24"/>
    </w:rPr>
  </w:style>
  <w:style w:type="character" w:customStyle="1" w:styleId="42">
    <w:name w:val="正文文本缩进 Char"/>
    <w:basedOn w:val="27"/>
    <w:link w:val="12"/>
    <w:qFormat/>
    <w:uiPriority w:val="0"/>
    <w:rPr>
      <w:rFonts w:ascii="Times New Roman" w:hAnsi="Times New Roman" w:eastAsia="宋体" w:cs="Times New Roman"/>
      <w:szCs w:val="24"/>
    </w:rPr>
  </w:style>
  <w:style w:type="character" w:customStyle="1" w:styleId="43">
    <w:name w:val="正文首行缩进 Char"/>
    <w:basedOn w:val="41"/>
    <w:link w:val="24"/>
    <w:uiPriority w:val="0"/>
  </w:style>
  <w:style w:type="character" w:customStyle="1" w:styleId="44">
    <w:name w:val="正文文本 2 Char"/>
    <w:basedOn w:val="27"/>
    <w:link w:val="21"/>
    <w:uiPriority w:val="0"/>
    <w:rPr>
      <w:rFonts w:ascii="Times New Roman" w:hAnsi="Times New Roman" w:eastAsia="宋体" w:cs="Times New Roman"/>
      <w:sz w:val="28"/>
      <w:szCs w:val="24"/>
    </w:rPr>
  </w:style>
  <w:style w:type="character" w:customStyle="1" w:styleId="45">
    <w:name w:val="正文文本 3 Char"/>
    <w:basedOn w:val="27"/>
    <w:link w:val="10"/>
    <w:qFormat/>
    <w:uiPriority w:val="0"/>
    <w:rPr>
      <w:rFonts w:ascii="宋体" w:hAnsi="宋体" w:eastAsia="宋体" w:cs="Times New Roman"/>
      <w:sz w:val="28"/>
      <w:szCs w:val="24"/>
    </w:rPr>
  </w:style>
  <w:style w:type="character" w:customStyle="1" w:styleId="46">
    <w:name w:val="正文文本缩进 2 Char"/>
    <w:basedOn w:val="27"/>
    <w:link w:val="14"/>
    <w:qFormat/>
    <w:uiPriority w:val="0"/>
    <w:rPr>
      <w:rFonts w:ascii="Times New Roman" w:hAnsi="Times New Roman" w:eastAsia="宋体" w:cs="Times New Roman"/>
      <w:szCs w:val="24"/>
    </w:rPr>
  </w:style>
  <w:style w:type="character" w:customStyle="1" w:styleId="47">
    <w:name w:val="正文文本缩进 3 Char"/>
    <w:basedOn w:val="27"/>
    <w:link w:val="19"/>
    <w:uiPriority w:val="0"/>
    <w:rPr>
      <w:rFonts w:ascii="Times New Roman" w:hAnsi="Times New Roman" w:eastAsia="宋体" w:cs="Times New Roman"/>
      <w:sz w:val="16"/>
      <w:szCs w:val="16"/>
    </w:rPr>
  </w:style>
  <w:style w:type="character" w:customStyle="1" w:styleId="48">
    <w:name w:val="文档结构图 Char"/>
    <w:basedOn w:val="27"/>
    <w:link w:val="8"/>
    <w:qFormat/>
    <w:uiPriority w:val="0"/>
    <w:rPr>
      <w:rFonts w:ascii="宋体" w:hAnsi="Times New Roman" w:eastAsia="宋体" w:cs="Times New Roman"/>
      <w:sz w:val="18"/>
      <w:szCs w:val="18"/>
    </w:rPr>
  </w:style>
  <w:style w:type="character" w:customStyle="1" w:styleId="49">
    <w:name w:val="纯文本 Char"/>
    <w:basedOn w:val="27"/>
    <w:link w:val="13"/>
    <w:uiPriority w:val="0"/>
    <w:rPr>
      <w:rFonts w:ascii="宋体" w:hAnsi="Courier New" w:eastAsia="宋体" w:cs="Times New Roman"/>
      <w:szCs w:val="20"/>
    </w:rPr>
  </w:style>
  <w:style w:type="character" w:customStyle="1" w:styleId="50">
    <w:name w:val="批注主题 Char"/>
    <w:basedOn w:val="38"/>
    <w:link w:val="23"/>
    <w:uiPriority w:val="0"/>
    <w:rPr>
      <w:b/>
      <w:bCs/>
    </w:rPr>
  </w:style>
  <w:style w:type="character" w:customStyle="1" w:styleId="51">
    <w:name w:val="批注框文本 Char"/>
    <w:basedOn w:val="27"/>
    <w:link w:val="15"/>
    <w:qFormat/>
    <w:uiPriority w:val="0"/>
    <w:rPr>
      <w:rFonts w:ascii="Times New Roman" w:hAnsi="Times New Roman" w:eastAsia="宋体" w:cs="Times New Roman"/>
      <w:sz w:val="18"/>
      <w:szCs w:val="18"/>
    </w:rPr>
  </w:style>
  <w:style w:type="paragraph" w:styleId="52">
    <w:name w:val="No Spacing"/>
    <w:qFormat/>
    <w:uiPriority w:val="1"/>
    <w:pPr>
      <w:widowControl w:val="0"/>
      <w:spacing w:line="360" w:lineRule="auto"/>
      <w:jc w:val="center"/>
    </w:pPr>
    <w:rPr>
      <w:rFonts w:ascii="Times New Roman" w:hAnsi="Times New Roman" w:eastAsia="黑体" w:cs="Times New Roman"/>
      <w:b/>
      <w:kern w:val="2"/>
      <w:sz w:val="21"/>
      <w:szCs w:val="22"/>
      <w:lang w:val="en-US" w:eastAsia="zh-CN" w:bidi="ar-SA"/>
    </w:rPr>
  </w:style>
  <w:style w:type="character" w:customStyle="1" w:styleId="53">
    <w:name w:val="正文新 Char"/>
    <w:link w:val="54"/>
    <w:locked/>
    <w:uiPriority w:val="0"/>
    <w:rPr>
      <w:rFonts w:ascii="宋体" w:hAnsi="宋体" w:eastAsia="宋体"/>
      <w:sz w:val="24"/>
    </w:rPr>
  </w:style>
  <w:style w:type="paragraph" w:customStyle="1" w:styleId="54">
    <w:name w:val="正文新"/>
    <w:basedOn w:val="7"/>
    <w:link w:val="53"/>
    <w:qFormat/>
    <w:uiPriority w:val="0"/>
    <w:pPr>
      <w:topLinePunct/>
      <w:snapToGrid w:val="0"/>
      <w:spacing w:beforeLines="50"/>
      <w:ind w:right="17" w:firstLine="480"/>
    </w:pPr>
    <w:rPr>
      <w:rFonts w:ascii="宋体" w:hAnsi="宋体" w:cstheme="minorBidi"/>
      <w:szCs w:val="22"/>
    </w:rPr>
  </w:style>
  <w:style w:type="character" w:customStyle="1" w:styleId="55">
    <w:name w:val="5论文正文 Char"/>
    <w:link w:val="56"/>
    <w:qFormat/>
    <w:locked/>
    <w:uiPriority w:val="0"/>
    <w:rPr>
      <w:sz w:val="24"/>
    </w:rPr>
  </w:style>
  <w:style w:type="paragraph" w:customStyle="1" w:styleId="56">
    <w:name w:val="5论文正文"/>
    <w:basedOn w:val="1"/>
    <w:link w:val="55"/>
    <w:qFormat/>
    <w:uiPriority w:val="0"/>
    <w:pPr>
      <w:ind w:firstLine="480" w:firstLineChars="200"/>
    </w:pPr>
    <w:rPr>
      <w:rFonts w:asciiTheme="minorHAnsi" w:hAnsiTheme="minorHAnsi" w:eastAsiaTheme="minorEastAsia" w:cstheme="minorBidi"/>
      <w:sz w:val="24"/>
      <w:szCs w:val="22"/>
    </w:rPr>
  </w:style>
  <w:style w:type="character" w:customStyle="1" w:styleId="57">
    <w:name w:val="正文正文正文 1.5 倍行距 Char"/>
    <w:link w:val="58"/>
    <w:locked/>
    <w:uiPriority w:val="0"/>
    <w:rPr>
      <w:rFonts w:ascii="宋体" w:hAnsi="宋体" w:eastAsia="宋体" w:cs="宋体"/>
      <w:sz w:val="24"/>
    </w:rPr>
  </w:style>
  <w:style w:type="paragraph" w:customStyle="1" w:styleId="58">
    <w:name w:val="正文正文正文 1.5 倍行距"/>
    <w:basedOn w:val="1"/>
    <w:link w:val="57"/>
    <w:uiPriority w:val="0"/>
    <w:pPr>
      <w:ind w:firstLine="480" w:firstLineChars="200"/>
    </w:pPr>
    <w:rPr>
      <w:rFonts w:ascii="宋体" w:hAnsi="宋体" w:cs="宋体"/>
      <w:sz w:val="24"/>
      <w:szCs w:val="22"/>
    </w:rPr>
  </w:style>
  <w:style w:type="paragraph" w:customStyle="1" w:styleId="59">
    <w:name w:val="_Style 3"/>
    <w:basedOn w:val="1"/>
    <w:next w:val="1"/>
    <w:uiPriority w:val="0"/>
    <w:pPr>
      <w:ind w:firstLine="200" w:firstLineChars="200"/>
    </w:pPr>
    <w:rPr>
      <w:szCs w:val="20"/>
    </w:rPr>
  </w:style>
  <w:style w:type="paragraph" w:customStyle="1" w:styleId="60">
    <w:name w:val="Char Char Char Char Char Char Char1"/>
    <w:basedOn w:val="1"/>
    <w:uiPriority w:val="0"/>
    <w:pPr>
      <w:ind w:firstLine="200" w:firstLineChars="200"/>
    </w:pPr>
    <w:rPr>
      <w:rFonts w:ascii="宋体" w:hAnsi="宋体" w:cs="宋体"/>
      <w:sz w:val="24"/>
    </w:rPr>
  </w:style>
  <w:style w:type="paragraph" w:customStyle="1" w:styleId="61">
    <w:name w:val="表中文字"/>
    <w:basedOn w:val="1"/>
    <w:uiPriority w:val="0"/>
    <w:pPr>
      <w:jc w:val="center"/>
    </w:pPr>
  </w:style>
  <w:style w:type="paragraph" w:customStyle="1" w:styleId="62">
    <w:name w:val="标题5"/>
    <w:basedOn w:val="6"/>
    <w:next w:val="6"/>
    <w:uiPriority w:val="0"/>
    <w:rPr>
      <w:bCs w:val="0"/>
      <w:sz w:val="24"/>
      <w:szCs w:val="20"/>
    </w:rPr>
  </w:style>
  <w:style w:type="paragraph" w:customStyle="1" w:styleId="63">
    <w:name w:val="默认段落字体 Para Char Char Char Char"/>
    <w:basedOn w:val="1"/>
    <w:uiPriority w:val="0"/>
  </w:style>
  <w:style w:type="character" w:customStyle="1" w:styleId="64">
    <w:name w:val="报告表正文 Char"/>
    <w:link w:val="65"/>
    <w:locked/>
    <w:uiPriority w:val="0"/>
    <w:rPr>
      <w:sz w:val="24"/>
      <w:szCs w:val="24"/>
    </w:rPr>
  </w:style>
  <w:style w:type="paragraph" w:customStyle="1" w:styleId="65">
    <w:name w:val="报告表正文"/>
    <w:basedOn w:val="14"/>
    <w:link w:val="64"/>
    <w:uiPriority w:val="0"/>
    <w:rPr>
      <w:rFonts w:asciiTheme="minorHAnsi" w:hAnsiTheme="minorHAnsi" w:eastAsiaTheme="minorEastAsia" w:cstheme="minorBidi"/>
      <w:sz w:val="24"/>
    </w:rPr>
  </w:style>
  <w:style w:type="paragraph" w:customStyle="1" w:styleId="66">
    <w:name w:val="表格样式1"/>
    <w:basedOn w:val="1"/>
    <w:next w:val="1"/>
    <w:uiPriority w:val="0"/>
    <w:pPr>
      <w:adjustRightInd w:val="0"/>
      <w:spacing w:line="40" w:lineRule="atLeast"/>
      <w:jc w:val="center"/>
    </w:pPr>
    <w:rPr>
      <w:kern w:val="0"/>
      <w:sz w:val="24"/>
      <w:szCs w:val="20"/>
    </w:rPr>
  </w:style>
  <w:style w:type="character" w:customStyle="1" w:styleId="67">
    <w:name w:val="表格内容 Char"/>
    <w:link w:val="68"/>
    <w:locked/>
    <w:uiPriority w:val="0"/>
    <w:rPr>
      <w:szCs w:val="21"/>
    </w:rPr>
  </w:style>
  <w:style w:type="paragraph" w:customStyle="1" w:styleId="68">
    <w:name w:val="表格内容"/>
    <w:basedOn w:val="1"/>
    <w:link w:val="67"/>
    <w:qFormat/>
    <w:uiPriority w:val="0"/>
    <w:pPr>
      <w:spacing w:line="240" w:lineRule="auto"/>
      <w:jc w:val="center"/>
    </w:pPr>
    <w:rPr>
      <w:rFonts w:asciiTheme="minorHAnsi" w:hAnsiTheme="minorHAnsi" w:eastAsiaTheme="minorEastAsia" w:cstheme="minorBidi"/>
      <w:szCs w:val="21"/>
    </w:rPr>
  </w:style>
  <w:style w:type="paragraph" w:customStyle="1" w:styleId="69">
    <w:name w:val="标题3"/>
    <w:basedOn w:val="1"/>
    <w:uiPriority w:val="0"/>
    <w:pPr>
      <w:tabs>
        <w:tab w:val="left" w:pos="720"/>
      </w:tabs>
      <w:ind w:left="1740" w:hanging="420"/>
      <w:outlineLvl w:val="2"/>
    </w:pPr>
    <w:rPr>
      <w:b/>
      <w:bCs/>
      <w:sz w:val="24"/>
      <w:szCs w:val="28"/>
    </w:rPr>
  </w:style>
  <w:style w:type="character" w:customStyle="1" w:styleId="70">
    <w:name w:val="表格文字 Char"/>
    <w:link w:val="71"/>
    <w:locked/>
    <w:uiPriority w:val="0"/>
    <w:rPr>
      <w:szCs w:val="21"/>
    </w:rPr>
  </w:style>
  <w:style w:type="paragraph" w:customStyle="1" w:styleId="71">
    <w:name w:val="表格文字"/>
    <w:basedOn w:val="1"/>
    <w:next w:val="1"/>
    <w:link w:val="70"/>
    <w:qFormat/>
    <w:uiPriority w:val="0"/>
    <w:pPr>
      <w:snapToGrid w:val="0"/>
      <w:spacing w:line="240" w:lineRule="auto"/>
      <w:jc w:val="center"/>
    </w:pPr>
    <w:rPr>
      <w:rFonts w:asciiTheme="minorHAnsi" w:hAnsiTheme="minorHAnsi" w:eastAsiaTheme="minorEastAsia" w:cstheme="minorBidi"/>
      <w:szCs w:val="21"/>
    </w:rPr>
  </w:style>
  <w:style w:type="paragraph" w:customStyle="1" w:styleId="72">
    <w:name w:val="默认段落字体 Para Char Char Char Char Char Char Char Char Char Char Char Char Char"/>
    <w:basedOn w:val="1"/>
    <w:qFormat/>
    <w:uiPriority w:val="0"/>
    <w:pPr>
      <w:spacing w:line="240" w:lineRule="auto"/>
    </w:pPr>
  </w:style>
  <w:style w:type="paragraph" w:customStyle="1" w:styleId="73">
    <w:name w:val="标题4"/>
    <w:basedOn w:val="5"/>
    <w:uiPriority w:val="0"/>
    <w:rPr>
      <w:rFonts w:eastAsia="宋体"/>
      <w:bCs w:val="0"/>
      <w:szCs w:val="20"/>
    </w:rPr>
  </w:style>
  <w:style w:type="paragraph" w:customStyle="1" w:styleId="74">
    <w:name w:val="Char Char2 Char Char Char Char"/>
    <w:basedOn w:val="1"/>
    <w:uiPriority w:val="0"/>
  </w:style>
  <w:style w:type="character" w:customStyle="1" w:styleId="75">
    <w:name w:val="新标题3x Char"/>
    <w:link w:val="76"/>
    <w:locked/>
    <w:uiPriority w:val="0"/>
    <w:rPr>
      <w:rFonts w:ascii="黑体" w:hAnsi="Cambria" w:eastAsia="黑体"/>
      <w:bCs/>
      <w:kern w:val="44"/>
      <w:sz w:val="28"/>
      <w:szCs w:val="44"/>
      <w:lang w:eastAsia="en-US" w:bidi="en-US"/>
    </w:rPr>
  </w:style>
  <w:style w:type="paragraph" w:customStyle="1" w:styleId="76">
    <w:name w:val="标题3x"/>
    <w:basedOn w:val="1"/>
    <w:link w:val="75"/>
    <w:uiPriority w:val="0"/>
    <w:pPr>
      <w:keepNext/>
      <w:keepLines/>
      <w:widowControl/>
      <w:spacing w:before="120"/>
      <w:jc w:val="left"/>
      <w:outlineLvl w:val="2"/>
    </w:pPr>
    <w:rPr>
      <w:rFonts w:ascii="黑体" w:hAnsi="Cambria" w:eastAsia="黑体" w:cstheme="minorBidi"/>
      <w:bCs/>
      <w:kern w:val="44"/>
      <w:sz w:val="28"/>
      <w:szCs w:val="44"/>
      <w:lang w:eastAsia="en-US" w:bidi="en-US"/>
    </w:rPr>
  </w:style>
  <w:style w:type="paragraph" w:customStyle="1" w:styleId="77">
    <w:name w:val="列出段落1"/>
    <w:basedOn w:val="1"/>
    <w:qFormat/>
    <w:uiPriority w:val="0"/>
    <w:pPr>
      <w:spacing w:line="240" w:lineRule="auto"/>
      <w:ind w:firstLine="420"/>
    </w:pPr>
    <w:rPr>
      <w:rFonts w:ascii="Calibri" w:hAnsi="Calibri"/>
      <w:szCs w:val="22"/>
    </w:rPr>
  </w:style>
  <w:style w:type="paragraph" w:customStyle="1" w:styleId="78">
    <w:name w:val="报告1"/>
    <w:basedOn w:val="1"/>
    <w:uiPriority w:val="0"/>
    <w:rPr>
      <w:sz w:val="28"/>
    </w:rPr>
  </w:style>
  <w:style w:type="character" w:customStyle="1" w:styleId="79">
    <w:name w:val="正文首行缩进2字符 Char1"/>
    <w:link w:val="80"/>
    <w:locked/>
    <w:uiPriority w:val="0"/>
    <w:rPr>
      <w:rFonts w:ascii="宋体" w:hAnsi="宋体" w:eastAsia="宋体"/>
      <w:sz w:val="28"/>
      <w:szCs w:val="24"/>
    </w:rPr>
  </w:style>
  <w:style w:type="paragraph" w:customStyle="1" w:styleId="80">
    <w:name w:val="正文首行缩进2字符"/>
    <w:basedOn w:val="1"/>
    <w:link w:val="79"/>
    <w:uiPriority w:val="0"/>
    <w:pPr>
      <w:spacing w:line="480" w:lineRule="exact"/>
      <w:ind w:firstLine="200" w:firstLineChars="200"/>
    </w:pPr>
    <w:rPr>
      <w:rFonts w:ascii="宋体" w:hAnsi="宋体" w:cstheme="minorBidi"/>
      <w:sz w:val="28"/>
    </w:rPr>
  </w:style>
  <w:style w:type="paragraph" w:customStyle="1" w:styleId="81">
    <w:name w:val="xxxxx正文"/>
    <w:basedOn w:val="1"/>
    <w:uiPriority w:val="0"/>
    <w:pPr>
      <w:topLinePunct/>
      <w:ind w:firstLine="200" w:firstLineChars="200"/>
    </w:pPr>
    <w:rPr>
      <w:rFonts w:ascii="宋体"/>
      <w:sz w:val="24"/>
      <w:lang w:val="zh-CN"/>
    </w:rPr>
  </w:style>
  <w:style w:type="paragraph" w:customStyle="1" w:styleId="82">
    <w:name w:val="Char Char Char Char1"/>
    <w:basedOn w:val="1"/>
    <w:qFormat/>
    <w:uiPriority w:val="0"/>
  </w:style>
  <w:style w:type="character" w:customStyle="1" w:styleId="83">
    <w:name w:val="正文11 Char Char"/>
    <w:link w:val="84"/>
    <w:locked/>
    <w:uiPriority w:val="0"/>
    <w:rPr>
      <w:rFonts w:ascii="宋体" w:hAnsi="宋体" w:eastAsia="宋体"/>
      <w:szCs w:val="21"/>
    </w:rPr>
  </w:style>
  <w:style w:type="paragraph" w:customStyle="1" w:styleId="84">
    <w:name w:val="正文11"/>
    <w:basedOn w:val="1"/>
    <w:next w:val="1"/>
    <w:link w:val="83"/>
    <w:uiPriority w:val="0"/>
    <w:pPr>
      <w:widowControl/>
      <w:spacing w:line="460" w:lineRule="exact"/>
      <w:ind w:firstLine="200" w:firstLineChars="200"/>
      <w:jc w:val="left"/>
    </w:pPr>
    <w:rPr>
      <w:rFonts w:ascii="宋体" w:hAnsi="宋体" w:cstheme="minorBidi"/>
      <w:szCs w:val="21"/>
    </w:rPr>
  </w:style>
  <w:style w:type="paragraph" w:customStyle="1" w:styleId="85">
    <w:name w:val="Char1 Char Char Char1 Char Char Char"/>
    <w:basedOn w:val="1"/>
    <w:uiPriority w:val="0"/>
    <w:pPr>
      <w:ind w:firstLine="200" w:firstLineChars="200"/>
    </w:pPr>
  </w:style>
  <w:style w:type="paragraph" w:customStyle="1" w:styleId="86">
    <w:name w:val="样式 表文字 + 字符缩放: 90%"/>
    <w:basedOn w:val="1"/>
    <w:qFormat/>
    <w:uiPriority w:val="0"/>
    <w:pPr>
      <w:keepNext/>
      <w:adjustRightInd w:val="0"/>
      <w:spacing w:line="240" w:lineRule="exact"/>
      <w:ind w:left="-50" w:leftChars="-50" w:right="-50" w:rightChars="-50"/>
      <w:jc w:val="center"/>
    </w:pPr>
    <w:rPr>
      <w:rFonts w:cs="宋体"/>
      <w:kern w:val="0"/>
      <w:sz w:val="18"/>
      <w:szCs w:val="18"/>
    </w:rPr>
  </w:style>
  <w:style w:type="character" w:customStyle="1" w:styleId="87">
    <w:name w:val="样式6 Char"/>
    <w:link w:val="88"/>
    <w:qFormat/>
    <w:locked/>
    <w:uiPriority w:val="0"/>
    <w:rPr>
      <w:rFonts w:ascii="宋体" w:hAnsi="宋体" w:eastAsia="宋体"/>
      <w:szCs w:val="28"/>
    </w:rPr>
  </w:style>
  <w:style w:type="paragraph" w:customStyle="1" w:styleId="88">
    <w:name w:val="样式6"/>
    <w:basedOn w:val="1"/>
    <w:link w:val="87"/>
    <w:qFormat/>
    <w:uiPriority w:val="0"/>
    <w:pPr>
      <w:spacing w:line="560" w:lineRule="exact"/>
      <w:ind w:firstLine="560" w:firstLineChars="200"/>
    </w:pPr>
    <w:rPr>
      <w:rFonts w:ascii="宋体" w:hAnsi="宋体" w:cstheme="minorBidi"/>
      <w:szCs w:val="28"/>
    </w:rPr>
  </w:style>
  <w:style w:type="character" w:customStyle="1" w:styleId="89">
    <w:name w:val="样式5 Char"/>
    <w:link w:val="90"/>
    <w:qFormat/>
    <w:locked/>
    <w:uiPriority w:val="0"/>
    <w:rPr>
      <w:sz w:val="24"/>
      <w:szCs w:val="24"/>
    </w:rPr>
  </w:style>
  <w:style w:type="paragraph" w:customStyle="1" w:styleId="90">
    <w:name w:val="样式5"/>
    <w:basedOn w:val="1"/>
    <w:link w:val="89"/>
    <w:qFormat/>
    <w:uiPriority w:val="0"/>
    <w:pPr>
      <w:snapToGrid w:val="0"/>
      <w:ind w:firstLine="510"/>
    </w:pPr>
    <w:rPr>
      <w:rFonts w:asciiTheme="minorHAnsi" w:hAnsiTheme="minorHAnsi" w:eastAsiaTheme="minorEastAsia" w:cstheme="minorBidi"/>
      <w:sz w:val="24"/>
    </w:rPr>
  </w:style>
  <w:style w:type="character" w:customStyle="1" w:styleId="91">
    <w:name w:val="环保正文 Char"/>
    <w:link w:val="92"/>
    <w:qFormat/>
    <w:locked/>
    <w:uiPriority w:val="0"/>
    <w:rPr>
      <w:rFonts w:ascii="宋体" w:hAnsi="宋体" w:eastAsia="宋体" w:cs="宋体"/>
      <w:sz w:val="24"/>
      <w:szCs w:val="24"/>
    </w:rPr>
  </w:style>
  <w:style w:type="paragraph" w:customStyle="1" w:styleId="92">
    <w:name w:val="环保正文"/>
    <w:basedOn w:val="1"/>
    <w:link w:val="91"/>
    <w:qFormat/>
    <w:uiPriority w:val="0"/>
    <w:pPr>
      <w:tabs>
        <w:tab w:val="left" w:pos="0"/>
        <w:tab w:val="left" w:pos="7012"/>
      </w:tabs>
      <w:autoSpaceDE w:val="0"/>
      <w:autoSpaceDN w:val="0"/>
      <w:ind w:firstLine="200" w:firstLineChars="200"/>
    </w:pPr>
    <w:rPr>
      <w:rFonts w:ascii="宋体" w:hAnsi="宋体" w:cs="宋体"/>
      <w:sz w:val="24"/>
    </w:rPr>
  </w:style>
  <w:style w:type="paragraph" w:customStyle="1" w:styleId="93">
    <w:name w:val="p18"/>
    <w:basedOn w:val="1"/>
    <w:qFormat/>
    <w:uiPriority w:val="0"/>
    <w:pPr>
      <w:widowControl/>
      <w:spacing w:after="120"/>
      <w:jc w:val="left"/>
    </w:pPr>
    <w:rPr>
      <w:rFonts w:ascii="宋体" w:hAnsi="宋体" w:cs="宋体"/>
      <w:kern w:val="0"/>
      <w:sz w:val="24"/>
    </w:rPr>
  </w:style>
  <w:style w:type="paragraph" w:customStyle="1" w:styleId="94">
    <w:name w:val="Char"/>
    <w:basedOn w:val="1"/>
    <w:qFormat/>
    <w:uiPriority w:val="0"/>
    <w:pPr>
      <w:widowControl/>
      <w:ind w:firstLine="200" w:firstLineChars="200"/>
      <w:jc w:val="left"/>
    </w:pPr>
    <w:rPr>
      <w:rFonts w:ascii="宋体" w:hAnsi="宋体" w:cs="宋体"/>
      <w:kern w:val="0"/>
      <w:sz w:val="24"/>
    </w:rPr>
  </w:style>
  <w:style w:type="character" w:customStyle="1" w:styleId="95">
    <w:name w:val="样式8 Char"/>
    <w:link w:val="96"/>
    <w:qFormat/>
    <w:locked/>
    <w:uiPriority w:val="0"/>
    <w:rPr>
      <w:rFonts w:ascii="宋体" w:hAnsi="宋体" w:eastAsia="宋体"/>
      <w:sz w:val="24"/>
      <w:szCs w:val="24"/>
    </w:rPr>
  </w:style>
  <w:style w:type="paragraph" w:customStyle="1" w:styleId="96">
    <w:name w:val="样式8"/>
    <w:basedOn w:val="1"/>
    <w:link w:val="95"/>
    <w:qFormat/>
    <w:uiPriority w:val="0"/>
    <w:pPr>
      <w:adjustRightInd w:val="0"/>
      <w:snapToGrid w:val="0"/>
      <w:ind w:firstLine="600" w:firstLineChars="250"/>
    </w:pPr>
    <w:rPr>
      <w:rFonts w:ascii="宋体" w:hAnsi="宋体" w:cstheme="minorBidi"/>
      <w:sz w:val="24"/>
    </w:rPr>
  </w:style>
  <w:style w:type="paragraph" w:customStyle="1" w:styleId="97">
    <w:name w:val="p0"/>
    <w:basedOn w:val="1"/>
    <w:qFormat/>
    <w:uiPriority w:val="0"/>
    <w:pPr>
      <w:widowControl/>
    </w:pPr>
    <w:rPr>
      <w:rFonts w:ascii="宋体" w:hAnsi="宋体" w:cs="宋体"/>
      <w:kern w:val="0"/>
      <w:szCs w:val="21"/>
    </w:rPr>
  </w:style>
  <w:style w:type="paragraph" w:customStyle="1" w:styleId="98">
    <w:name w:val="单行表格样式(居中)"/>
    <w:qFormat/>
    <w:uiPriority w:val="0"/>
    <w:pPr>
      <w:jc w:val="center"/>
    </w:pPr>
    <w:rPr>
      <w:rFonts w:ascii="宋体" w:hAnsi="宋体" w:eastAsia="宋体" w:cs="Times New Roman"/>
      <w:kern w:val="2"/>
      <w:sz w:val="21"/>
      <w:szCs w:val="28"/>
      <w:lang w:val="en-US" w:eastAsia="zh-CN" w:bidi="ar-SA"/>
    </w:rPr>
  </w:style>
  <w:style w:type="paragraph" w:customStyle="1" w:styleId="99">
    <w:name w:val="xl35"/>
    <w:basedOn w:val="1"/>
    <w:qFormat/>
    <w:uiPriority w:val="0"/>
    <w:pPr>
      <w:widowControl/>
      <w:pBdr>
        <w:left w:val="single" w:color="auto" w:sz="8" w:space="0"/>
        <w:bottom w:val="single" w:color="auto" w:sz="4" w:space="0"/>
        <w:right w:val="single" w:color="auto" w:sz="4" w:space="0"/>
      </w:pBdr>
      <w:spacing w:before="100" w:after="100"/>
      <w:jc w:val="center"/>
    </w:pPr>
    <w:rPr>
      <w:rFonts w:ascii="宋体" w:hAnsi="宋体"/>
      <w:kern w:val="0"/>
      <w:sz w:val="24"/>
    </w:rPr>
  </w:style>
  <w:style w:type="character" w:customStyle="1" w:styleId="100">
    <w:name w:val="[1]正文 Char Char"/>
    <w:link w:val="101"/>
    <w:qFormat/>
    <w:locked/>
    <w:uiPriority w:val="0"/>
    <w:rPr>
      <w:rFonts w:ascii="Calibri" w:hAnsi="Calibri" w:cs="Calibri"/>
      <w:sz w:val="24"/>
      <w:szCs w:val="28"/>
    </w:rPr>
  </w:style>
  <w:style w:type="paragraph" w:customStyle="1" w:styleId="101">
    <w:name w:val="[1]正文"/>
    <w:basedOn w:val="1"/>
    <w:link w:val="100"/>
    <w:qFormat/>
    <w:uiPriority w:val="0"/>
    <w:pPr>
      <w:widowControl/>
      <w:snapToGrid w:val="0"/>
      <w:ind w:firstLine="200" w:firstLineChars="200"/>
      <w:jc w:val="left"/>
    </w:pPr>
    <w:rPr>
      <w:rFonts w:ascii="Calibri" w:hAnsi="Calibri" w:cs="Calibri" w:eastAsiaTheme="minorEastAsia"/>
      <w:sz w:val="24"/>
      <w:szCs w:val="28"/>
    </w:rPr>
  </w:style>
  <w:style w:type="paragraph" w:customStyle="1" w:styleId="102">
    <w:name w:val="节标题"/>
    <w:basedOn w:val="1"/>
    <w:next w:val="1"/>
    <w:qFormat/>
    <w:uiPriority w:val="0"/>
    <w:pPr>
      <w:widowControl/>
      <w:spacing w:line="289" w:lineRule="atLeast"/>
      <w:jc w:val="center"/>
    </w:pPr>
    <w:rPr>
      <w:color w:val="000000"/>
      <w:kern w:val="0"/>
      <w:sz w:val="28"/>
      <w:szCs w:val="20"/>
      <w:u w:color="000000"/>
    </w:rPr>
  </w:style>
  <w:style w:type="character" w:customStyle="1" w:styleId="103">
    <w:name w:val="报告书正文 Char"/>
    <w:link w:val="104"/>
    <w:qFormat/>
    <w:locked/>
    <w:uiPriority w:val="0"/>
    <w:rPr>
      <w:sz w:val="24"/>
      <w:szCs w:val="24"/>
    </w:rPr>
  </w:style>
  <w:style w:type="paragraph" w:customStyle="1" w:styleId="104">
    <w:name w:val="报告书正文"/>
    <w:basedOn w:val="1"/>
    <w:next w:val="1"/>
    <w:link w:val="103"/>
    <w:qFormat/>
    <w:uiPriority w:val="0"/>
    <w:pPr>
      <w:ind w:firstLine="200" w:firstLineChars="200"/>
    </w:pPr>
    <w:rPr>
      <w:rFonts w:asciiTheme="minorHAnsi" w:hAnsiTheme="minorHAnsi" w:eastAsiaTheme="minorEastAsia" w:cstheme="minorBidi"/>
      <w:sz w:val="24"/>
    </w:rPr>
  </w:style>
  <w:style w:type="paragraph" w:customStyle="1" w:styleId="105">
    <w:name w:val="CM54"/>
    <w:basedOn w:val="1"/>
    <w:next w:val="1"/>
    <w:qFormat/>
    <w:uiPriority w:val="0"/>
    <w:pPr>
      <w:autoSpaceDE w:val="0"/>
      <w:autoSpaceDN w:val="0"/>
      <w:adjustRightInd w:val="0"/>
      <w:spacing w:after="270"/>
      <w:jc w:val="left"/>
    </w:pPr>
    <w:rPr>
      <w:rFonts w:ascii="Kai Titling" w:eastAsia="Kai Titling"/>
      <w:kern w:val="0"/>
      <w:sz w:val="24"/>
    </w:rPr>
  </w:style>
  <w:style w:type="paragraph" w:customStyle="1" w:styleId="106">
    <w:name w:val="xl29"/>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kern w:val="0"/>
      <w:sz w:val="24"/>
    </w:rPr>
  </w:style>
  <w:style w:type="paragraph" w:customStyle="1" w:styleId="107">
    <w:name w:val="标准"/>
    <w:basedOn w:val="1"/>
    <w:qFormat/>
    <w:uiPriority w:val="0"/>
    <w:pPr>
      <w:tabs>
        <w:tab w:val="left" w:pos="180"/>
        <w:tab w:val="left" w:pos="540"/>
      </w:tabs>
      <w:adjustRightInd w:val="0"/>
      <w:spacing w:line="312" w:lineRule="atLeast"/>
      <w:jc w:val="center"/>
    </w:pPr>
    <w:rPr>
      <w:rFonts w:ascii="宋体"/>
      <w:kern w:val="0"/>
      <w:sz w:val="24"/>
    </w:rPr>
  </w:style>
  <w:style w:type="character" w:customStyle="1" w:styleId="108">
    <w:name w:val="样式4 Char"/>
    <w:link w:val="109"/>
    <w:qFormat/>
    <w:locked/>
    <w:uiPriority w:val="0"/>
    <w:rPr>
      <w:rFonts w:ascii="楷体_GB2312" w:eastAsia="楷体_GB2312"/>
      <w:b/>
      <w:szCs w:val="21"/>
    </w:rPr>
  </w:style>
  <w:style w:type="paragraph" w:customStyle="1" w:styleId="109">
    <w:name w:val="样式4"/>
    <w:basedOn w:val="17"/>
    <w:link w:val="108"/>
    <w:qFormat/>
    <w:uiPriority w:val="0"/>
    <w:pPr>
      <w:pBdr>
        <w:bottom w:val="none" w:color="auto" w:sz="0" w:space="0"/>
      </w:pBdr>
    </w:pPr>
    <w:rPr>
      <w:rFonts w:ascii="楷体_GB2312" w:eastAsia="楷体_GB2312" w:hAnsiTheme="minorHAnsi" w:cstheme="minorBidi"/>
      <w:b/>
      <w:sz w:val="21"/>
      <w:szCs w:val="21"/>
    </w:rPr>
  </w:style>
  <w:style w:type="paragraph" w:customStyle="1" w:styleId="110">
    <w:name w:val="Char1"/>
    <w:basedOn w:val="1"/>
    <w:qFormat/>
    <w:uiPriority w:val="0"/>
    <w:pPr>
      <w:ind w:firstLine="200" w:firstLineChars="200"/>
    </w:pPr>
  </w:style>
  <w:style w:type="paragraph" w:customStyle="1" w:styleId="111">
    <w:name w:val="1正文"/>
    <w:basedOn w:val="1"/>
    <w:qFormat/>
    <w:uiPriority w:val="0"/>
    <w:pPr>
      <w:ind w:firstLine="198" w:firstLineChars="200"/>
    </w:pPr>
    <w:rPr>
      <w:sz w:val="24"/>
    </w:rPr>
  </w:style>
  <w:style w:type="paragraph" w:customStyle="1" w:styleId="112">
    <w:name w:val="CM46"/>
    <w:basedOn w:val="1"/>
    <w:next w:val="1"/>
    <w:qFormat/>
    <w:uiPriority w:val="0"/>
    <w:pPr>
      <w:autoSpaceDE w:val="0"/>
      <w:autoSpaceDN w:val="0"/>
      <w:adjustRightInd w:val="0"/>
      <w:spacing w:after="473"/>
      <w:jc w:val="left"/>
    </w:pPr>
    <w:rPr>
      <w:rFonts w:ascii="Kai Titling" w:eastAsia="Kai Titling"/>
      <w:kern w:val="0"/>
      <w:sz w:val="24"/>
    </w:rPr>
  </w:style>
  <w:style w:type="paragraph" w:customStyle="1" w:styleId="113">
    <w:name w:val="Char Char Char Char"/>
    <w:basedOn w:val="1"/>
    <w:qFormat/>
    <w:uiPriority w:val="0"/>
  </w:style>
  <w:style w:type="paragraph" w:customStyle="1" w:styleId="114">
    <w:name w:val="正文1"/>
    <w:qFormat/>
    <w:uiPriority w:val="0"/>
    <w:pPr>
      <w:widowControl w:val="0"/>
      <w:adjustRightInd w:val="0"/>
      <w:spacing w:line="420" w:lineRule="atLeast"/>
      <w:jc w:val="both"/>
    </w:pPr>
    <w:rPr>
      <w:rFonts w:ascii="宋体" w:hAnsi="Times New Roman" w:eastAsia="宋体" w:cs="Times New Roman"/>
      <w:kern w:val="0"/>
      <w:sz w:val="28"/>
      <w:szCs w:val="20"/>
      <w:lang w:val="en-US" w:eastAsia="zh-CN" w:bidi="ar-SA"/>
    </w:rPr>
  </w:style>
  <w:style w:type="character" w:customStyle="1" w:styleId="115">
    <w:name w:val="ALT+C Char"/>
    <w:link w:val="116"/>
    <w:qFormat/>
    <w:locked/>
    <w:uiPriority w:val="0"/>
    <w:rPr>
      <w:sz w:val="24"/>
      <w:szCs w:val="24"/>
    </w:rPr>
  </w:style>
  <w:style w:type="paragraph" w:customStyle="1" w:styleId="116">
    <w:name w:val="ALT+C"/>
    <w:basedOn w:val="1"/>
    <w:link w:val="115"/>
    <w:qFormat/>
    <w:uiPriority w:val="0"/>
    <w:pPr>
      <w:keepNext/>
      <w:ind w:firstLine="480" w:firstLineChars="200"/>
    </w:pPr>
    <w:rPr>
      <w:rFonts w:asciiTheme="minorHAnsi" w:hAnsiTheme="minorHAnsi" w:eastAsiaTheme="minorEastAsia" w:cstheme="minorBidi"/>
      <w:sz w:val="24"/>
    </w:rPr>
  </w:style>
  <w:style w:type="paragraph" w:customStyle="1" w:styleId="117">
    <w:name w:val="默认段落字体 Para Char Char Char Char Char Char Char Char Char Char"/>
    <w:basedOn w:val="4"/>
    <w:qFormat/>
    <w:uiPriority w:val="0"/>
    <w:pPr>
      <w:tabs>
        <w:tab w:val="left" w:pos="360"/>
        <w:tab w:val="left" w:pos="900"/>
      </w:tabs>
      <w:snapToGrid w:val="0"/>
      <w:spacing w:before="120" w:after="120" w:line="360" w:lineRule="auto"/>
      <w:ind w:left="542" w:leftChars="-12" w:firstLine="200" w:firstLineChars="200"/>
      <w:jc w:val="left"/>
    </w:pPr>
    <w:rPr>
      <w:rFonts w:eastAsia="黑体"/>
      <w:b w:val="0"/>
      <w:sz w:val="24"/>
    </w:rPr>
  </w:style>
  <w:style w:type="paragraph" w:customStyle="1" w:styleId="118">
    <w:name w:val="样式 样式 正文文本 + 首行缩进:  2 字符 + 首行缩进:  1.5 字符"/>
    <w:basedOn w:val="1"/>
    <w:qFormat/>
    <w:uiPriority w:val="0"/>
    <w:pPr>
      <w:autoSpaceDE w:val="0"/>
      <w:autoSpaceDN w:val="0"/>
      <w:adjustRightInd w:val="0"/>
      <w:snapToGrid w:val="0"/>
      <w:spacing w:before="40" w:after="40"/>
      <w:ind w:firstLine="480" w:firstLineChars="200"/>
      <w:jc w:val="left"/>
    </w:pPr>
    <w:rPr>
      <w:rFonts w:ascii="宋体" w:hAnsi="宋体"/>
      <w:sz w:val="24"/>
      <w:szCs w:val="20"/>
    </w:rPr>
  </w:style>
  <w:style w:type="character" w:customStyle="1" w:styleId="119">
    <w:name w:val="样式9 Char"/>
    <w:link w:val="120"/>
    <w:qFormat/>
    <w:locked/>
    <w:uiPriority w:val="0"/>
    <w:rPr>
      <w:rFonts w:ascii="Tahoma" w:hAnsi="Tahoma" w:cs="Tahoma"/>
      <w:sz w:val="24"/>
      <w:szCs w:val="24"/>
    </w:rPr>
  </w:style>
  <w:style w:type="paragraph" w:customStyle="1" w:styleId="120">
    <w:name w:val="样式9"/>
    <w:basedOn w:val="1"/>
    <w:link w:val="119"/>
    <w:qFormat/>
    <w:uiPriority w:val="0"/>
    <w:pPr>
      <w:spacing w:line="500" w:lineRule="exact"/>
      <w:ind w:firstLine="480" w:firstLineChars="200"/>
    </w:pPr>
    <w:rPr>
      <w:rFonts w:ascii="Tahoma" w:hAnsi="Tahoma" w:cs="Tahoma" w:eastAsiaTheme="minorEastAsia"/>
      <w:sz w:val="24"/>
    </w:rPr>
  </w:style>
  <w:style w:type="paragraph" w:customStyle="1" w:styleId="121">
    <w:name w:val="表格文字（居中）"/>
    <w:basedOn w:val="1"/>
    <w:qFormat/>
    <w:uiPriority w:val="0"/>
    <w:pPr>
      <w:spacing w:line="240" w:lineRule="auto"/>
      <w:jc w:val="center"/>
    </w:pPr>
    <w:rPr>
      <w:szCs w:val="21"/>
    </w:rPr>
  </w:style>
  <w:style w:type="paragraph" w:customStyle="1" w:styleId="122">
    <w:name w:val="T正文"/>
    <w:qFormat/>
    <w:uiPriority w:val="0"/>
    <w:pPr>
      <w:widowControl w:val="0"/>
      <w:adjustRightInd w:val="0"/>
      <w:snapToGrid w:val="0"/>
      <w:spacing w:line="360" w:lineRule="auto"/>
      <w:ind w:firstLine="200" w:firstLineChars="200"/>
      <w:jc w:val="both"/>
    </w:pPr>
    <w:rPr>
      <w:rFonts w:ascii="Times New Roman" w:hAnsi="Times New Roman" w:eastAsia="仿宋_GB2312" w:cs="Times New Roman"/>
      <w:kern w:val="0"/>
      <w:sz w:val="28"/>
      <w:szCs w:val="20"/>
      <w:lang w:val="en-US" w:eastAsia="zh-CN" w:bidi="ar-SA"/>
    </w:rPr>
  </w:style>
  <w:style w:type="character" w:customStyle="1" w:styleId="123">
    <w:name w:val="普通文字 Char1"/>
    <w:basedOn w:val="27"/>
    <w:link w:val="124"/>
    <w:qFormat/>
    <w:locked/>
    <w:uiPriority w:val="0"/>
    <w:rPr>
      <w:rFonts w:ascii="宋体" w:hAnsi="Courier New" w:eastAsia="宋体"/>
      <w:spacing w:val="5"/>
      <w:sz w:val="25"/>
    </w:rPr>
  </w:style>
  <w:style w:type="paragraph" w:customStyle="1" w:styleId="124">
    <w:name w:val="纯文本1"/>
    <w:basedOn w:val="1"/>
    <w:link w:val="123"/>
    <w:qFormat/>
    <w:uiPriority w:val="0"/>
    <w:pPr>
      <w:spacing w:line="240" w:lineRule="auto"/>
    </w:pPr>
    <w:rPr>
      <w:rFonts w:ascii="宋体" w:hAnsi="Courier New" w:cstheme="minorBidi"/>
      <w:spacing w:val="5"/>
      <w:sz w:val="25"/>
      <w:szCs w:val="22"/>
    </w:rPr>
  </w:style>
  <w:style w:type="paragraph" w:customStyle="1" w:styleId="125">
    <w:name w:val="正文2"/>
    <w:basedOn w:val="1"/>
    <w:qFormat/>
    <w:uiPriority w:val="99"/>
    <w:pPr>
      <w:adjustRightInd w:val="0"/>
      <w:spacing w:line="480" w:lineRule="exact"/>
    </w:pPr>
    <w:rPr>
      <w:spacing w:val="-2"/>
      <w:kern w:val="0"/>
      <w:sz w:val="28"/>
      <w:szCs w:val="20"/>
    </w:rPr>
  </w:style>
  <w:style w:type="paragraph" w:customStyle="1" w:styleId="126">
    <w:name w:val="表格—高"/>
    <w:basedOn w:val="1"/>
    <w:qFormat/>
    <w:uiPriority w:val="0"/>
    <w:pPr>
      <w:adjustRightInd w:val="0"/>
      <w:snapToGrid w:val="0"/>
      <w:spacing w:line="340" w:lineRule="exact"/>
      <w:jc w:val="center"/>
    </w:pPr>
  </w:style>
  <w:style w:type="paragraph" w:customStyle="1" w:styleId="127">
    <w:name w:val="多行表格样式(5号)"/>
    <w:qFormat/>
    <w:uiPriority w:val="0"/>
    <w:pPr>
      <w:spacing w:line="240" w:lineRule="exact"/>
    </w:pPr>
    <w:rPr>
      <w:rFonts w:ascii="宋体" w:hAnsi="宋体" w:eastAsia="宋体" w:cs="Times New Roman"/>
      <w:bCs/>
      <w:kern w:val="44"/>
      <w:sz w:val="21"/>
      <w:szCs w:val="18"/>
      <w:lang w:val="en-US" w:eastAsia="zh-CN" w:bidi="ar-SA"/>
    </w:rPr>
  </w:style>
  <w:style w:type="paragraph" w:customStyle="1" w:styleId="128">
    <w:name w:val="多行表格样式(居中)"/>
    <w:qFormat/>
    <w:uiPriority w:val="0"/>
    <w:pPr>
      <w:adjustRightInd w:val="0"/>
      <w:snapToGrid w:val="0"/>
      <w:spacing w:line="360" w:lineRule="auto"/>
      <w:jc w:val="center"/>
    </w:pPr>
    <w:rPr>
      <w:rFonts w:ascii="宋体" w:hAnsi="宋体" w:eastAsia="宋体" w:cs="Times New Roman"/>
      <w:kern w:val="2"/>
      <w:sz w:val="21"/>
      <w:szCs w:val="28"/>
      <w:lang w:val="en-US" w:eastAsia="zh-CN" w:bidi="ar-SA"/>
    </w:rPr>
  </w:style>
  <w:style w:type="paragraph" w:customStyle="1" w:styleId="129">
    <w:name w:val="高-表格"/>
    <w:basedOn w:val="1"/>
    <w:qFormat/>
    <w:uiPriority w:val="0"/>
    <w:pPr>
      <w:spacing w:line="360" w:lineRule="exact"/>
      <w:jc w:val="center"/>
    </w:pPr>
    <w:rPr>
      <w:szCs w:val="22"/>
    </w:rPr>
  </w:style>
  <w:style w:type="character" w:customStyle="1" w:styleId="130">
    <w:name w:val="标题 2 Char Char"/>
    <w:qFormat/>
    <w:uiPriority w:val="0"/>
    <w:rPr>
      <w:rFonts w:hint="default" w:ascii="Arial" w:hAnsi="Arial" w:eastAsia="黑体" w:cs="Arial"/>
      <w:b/>
      <w:bCs/>
      <w:kern w:val="2"/>
      <w:sz w:val="32"/>
      <w:szCs w:val="32"/>
      <w:lang w:val="en-US" w:eastAsia="zh-CN" w:bidi="ar-SA"/>
    </w:rPr>
  </w:style>
  <w:style w:type="character" w:customStyle="1" w:styleId="131">
    <w:name w:val="上标样式"/>
    <w:qFormat/>
    <w:uiPriority w:val="0"/>
    <w:rPr>
      <w:rFonts w:hint="eastAsia" w:ascii="宋体" w:hAnsi="宋体" w:eastAsia="宋体"/>
      <w:b/>
      <w:sz w:val="21"/>
      <w:szCs w:val="21"/>
      <w:vertAlign w:val="superscript"/>
    </w:rPr>
  </w:style>
  <w:style w:type="character" w:customStyle="1" w:styleId="132">
    <w:name w:val="下标样式"/>
    <w:qFormat/>
    <w:uiPriority w:val="0"/>
    <w:rPr>
      <w:rFonts w:hint="eastAsia" w:ascii="宋体" w:hAnsi="宋体" w:eastAsia="宋体"/>
      <w:b/>
      <w:sz w:val="21"/>
      <w:szCs w:val="21"/>
      <w:vertAlign w:val="subscript"/>
    </w:rPr>
  </w:style>
  <w:style w:type="character" w:customStyle="1" w:styleId="133">
    <w:name w:val="apple-converted-space"/>
    <w:basedOn w:val="27"/>
    <w:qFormat/>
    <w:uiPriority w:val="0"/>
  </w:style>
  <w:style w:type="character" w:customStyle="1" w:styleId="134">
    <w:name w:val="批注文字 Char1"/>
    <w:basedOn w:val="27"/>
    <w:link w:val="9"/>
    <w:semiHidden/>
    <w:qFormat/>
    <w:locked/>
    <w:uiPriority w:val="99"/>
    <w:rPr>
      <w:rFonts w:ascii="Times New Roman" w:hAnsi="Times New Roman" w:eastAsia="宋体" w:cs="Times New Roman"/>
      <w:szCs w:val="24"/>
    </w:rPr>
  </w:style>
  <w:style w:type="character" w:customStyle="1" w:styleId="135">
    <w:name w:val="批注主题 Char1"/>
    <w:basedOn w:val="134"/>
    <w:link w:val="23"/>
    <w:semiHidden/>
    <w:qFormat/>
    <w:locked/>
    <w:uiPriority w:val="99"/>
    <w:rPr>
      <w:rFonts w:ascii="宋体"/>
      <w:kern w:val="0"/>
      <w:szCs w:val="20"/>
    </w:rPr>
  </w:style>
  <w:style w:type="character" w:customStyle="1" w:styleId="136">
    <w:name w:val="文档结构图 Char1"/>
    <w:basedOn w:val="27"/>
    <w:link w:val="8"/>
    <w:semiHidden/>
    <w:qFormat/>
    <w:locked/>
    <w:uiPriority w:val="99"/>
    <w:rPr>
      <w:rFonts w:ascii="宋体" w:hAnsi="Times New Roman" w:eastAsia="宋体" w:cs="Times New Roman"/>
      <w:sz w:val="18"/>
      <w:szCs w:val="18"/>
    </w:rPr>
  </w:style>
  <w:style w:type="character" w:customStyle="1" w:styleId="137">
    <w:name w:val="页脚 Char1"/>
    <w:basedOn w:val="27"/>
    <w:link w:val="16"/>
    <w:semiHidden/>
    <w:qFormat/>
    <w:locked/>
    <w:uiPriority w:val="99"/>
    <w:rPr>
      <w:rFonts w:ascii="Times New Roman" w:hAnsi="Times New Roman" w:eastAsia="宋体" w:cs="Times New Roman"/>
      <w:sz w:val="18"/>
      <w:szCs w:val="18"/>
    </w:rPr>
  </w:style>
  <w:style w:type="character" w:customStyle="1" w:styleId="138">
    <w:name w:val="正文文本缩进 2 Char1"/>
    <w:basedOn w:val="27"/>
    <w:link w:val="14"/>
    <w:semiHidden/>
    <w:qFormat/>
    <w:locked/>
    <w:uiPriority w:val="99"/>
    <w:rPr>
      <w:rFonts w:ascii="Times New Roman" w:hAnsi="Times New Roman" w:eastAsia="宋体" w:cs="Times New Roman"/>
      <w:szCs w:val="24"/>
    </w:rPr>
  </w:style>
  <w:style w:type="character" w:customStyle="1" w:styleId="139">
    <w:name w:val="页眉 Char1"/>
    <w:basedOn w:val="27"/>
    <w:link w:val="17"/>
    <w:semiHidden/>
    <w:qFormat/>
    <w:locked/>
    <w:uiPriority w:val="99"/>
    <w:rPr>
      <w:rFonts w:ascii="Times New Roman" w:hAnsi="Times New Roman" w:eastAsia="宋体" w:cs="Times New Roman"/>
      <w:sz w:val="18"/>
      <w:szCs w:val="18"/>
    </w:rPr>
  </w:style>
  <w:style w:type="character" w:customStyle="1" w:styleId="140">
    <w:name w:val="批注框文本 Char1"/>
    <w:basedOn w:val="27"/>
    <w:link w:val="15"/>
    <w:semiHidden/>
    <w:qFormat/>
    <w:locked/>
    <w:uiPriority w:val="99"/>
    <w:rPr>
      <w:rFonts w:ascii="Times New Roman" w:hAnsi="Times New Roman" w:eastAsia="宋体" w:cs="Times New Roman"/>
      <w:sz w:val="18"/>
      <w:szCs w:val="18"/>
    </w:rPr>
  </w:style>
  <w:style w:type="paragraph" w:customStyle="1" w:styleId="141">
    <w:name w:val="Plain Text"/>
    <w:basedOn w:val="1"/>
    <w:qFormat/>
    <w:uiPriority w:val="0"/>
    <w:pPr>
      <w:spacing w:line="240" w:lineRule="auto"/>
    </w:pPr>
    <w:rPr>
      <w:rFonts w:ascii="宋体" w:hAnsi="Courier New"/>
      <w:spacing w:val="5"/>
      <w:sz w:val="25"/>
      <w:szCs w:val="20"/>
    </w:rPr>
  </w:style>
  <w:style w:type="paragraph" w:customStyle="1" w:styleId="142">
    <w:name w:val="Normal"/>
    <w:basedOn w:val="1"/>
    <w:qFormat/>
    <w:uiPriority w:val="0"/>
    <w:pPr>
      <w:adjustRightInd w:val="0"/>
      <w:spacing w:line="480" w:lineRule="exact"/>
      <w:textAlignment w:val="baseline"/>
    </w:pPr>
    <w:rPr>
      <w:spacing w:val="-2"/>
      <w:kern w:val="0"/>
      <w:sz w:val="28"/>
      <w:szCs w:val="20"/>
    </w:rPr>
  </w:style>
</w:styles>
</file>

<file path=word/_rels/document.xml.rels><?xml version="1.0" encoding="UTF-8" standalone="yes"?>
<Relationships xmlns="http://schemas.openxmlformats.org/package/2006/relationships"><Relationship Id="rId9" Type="http://schemas.openxmlformats.org/officeDocument/2006/relationships/image" Target="media/image4.emf"/><Relationship Id="rId8" Type="http://schemas.openxmlformats.org/officeDocument/2006/relationships/image" Target="media/image3.emf"/><Relationship Id="rId7" Type="http://schemas.openxmlformats.org/officeDocument/2006/relationships/image" Target="media/image2.png"/><Relationship Id="rId6" Type="http://schemas.openxmlformats.org/officeDocument/2006/relationships/image" Target="media/image1.emf"/><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2" Type="http://schemas.openxmlformats.org/officeDocument/2006/relationships/fontTable" Target="fontTable.xml"/><Relationship Id="rId21" Type="http://schemas.openxmlformats.org/officeDocument/2006/relationships/customXml" Target="../customXml/item1.xml"/><Relationship Id="rId20" Type="http://schemas.openxmlformats.org/officeDocument/2006/relationships/image" Target="media/image14.jpeg"/><Relationship Id="rId2" Type="http://schemas.openxmlformats.org/officeDocument/2006/relationships/settings" Target="settings.xml"/><Relationship Id="rId19" Type="http://schemas.openxmlformats.org/officeDocument/2006/relationships/image" Target="media/image13.emf"/><Relationship Id="rId18" Type="http://schemas.openxmlformats.org/officeDocument/2006/relationships/image" Target="media/image12.emf"/><Relationship Id="rId17" Type="http://schemas.openxmlformats.org/officeDocument/2006/relationships/oleObject" Target="embeddings/oleObject1.bin"/><Relationship Id="rId16" Type="http://schemas.openxmlformats.org/officeDocument/2006/relationships/image" Target="media/image11.jpeg"/><Relationship Id="rId15" Type="http://schemas.openxmlformats.org/officeDocument/2006/relationships/image" Target="media/image10.jpeg"/><Relationship Id="rId14" Type="http://schemas.openxmlformats.org/officeDocument/2006/relationships/image" Target="media/image9.jpeg"/><Relationship Id="rId13" Type="http://schemas.openxmlformats.org/officeDocument/2006/relationships/image" Target="media/image8.jpeg"/><Relationship Id="rId12" Type="http://schemas.openxmlformats.org/officeDocument/2006/relationships/image" Target="media/image7.jpeg"/><Relationship Id="rId11" Type="http://schemas.openxmlformats.org/officeDocument/2006/relationships/image" Target="media/image6.png"/><Relationship Id="rId10" Type="http://schemas.openxmlformats.org/officeDocument/2006/relationships/image" Target="media/image5.emf"/><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41"/>
    <customShpInfo spid="_x0000_s1042"/>
    <customShpInfo spid="_x0000_s1043"/>
    <customShpInfo spid="_x0000_s1044"/>
    <customShpInfo spid="_x0000_s1040"/>
    <customShpInfo spid="_x0000_s1028"/>
    <customShpInfo spid="_x0000_s1029"/>
    <customShpInfo spid="_x0000_s1030"/>
    <customShpInfo spid="_x0000_s1031"/>
    <customShpInfo spid="_x0000_s1032"/>
    <customShpInfo spid="_x0000_s1033"/>
    <customShpInfo spid="_x0000_s1027"/>
    <customShpInfo spid="_x0000_s1035"/>
    <customShpInfo spid="_x0000_s1034"/>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User</Company>
  <Pages>67</Pages>
  <Words>7170</Words>
  <Characters>11263</Characters>
  <Lines>322</Lines>
  <Paragraphs>90</Paragraphs>
  <TotalTime>6</TotalTime>
  <ScaleCrop>false</ScaleCrop>
  <LinksUpToDate>false</LinksUpToDate>
  <CharactersWithSpaces>11834</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2018-04-28T07:32:00Z</dcterms:created>
  <dc:creator>User</dc:creator>
  <cp:lastModifiedBy>演示人</cp:lastModifiedBy>
  <dcterms:modified xsi:type="dcterms:W3CDTF">2025-03-25T02:48:56Z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83FBEC89DAF14811ACF6300C85BF2986_12</vt:lpwstr>
  </property>
  <property fmtid="{D5CDD505-2E9C-101B-9397-08002B2CF9AE}" pid="4" name="KSOTemplateDocerSaveRecord">
    <vt:lpwstr>eyJoZGlkIjoiZjYyMmM5ZWViZDE5OGI0MjM4NzczOTJkMWU3N2M1YTEiLCJ1c2VySWQiOiIyNTgxMzQ3MjcifQ==</vt:lpwstr>
  </property>
</Properties>
</file>