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AD1E95">
      <w:pPr>
        <w:rPr>
          <w:rFonts w:ascii="仿宋_GB2312" w:hAnsi="仿宋_GB2312" w:eastAsia="仿宋_GB2312" w:cs="仿宋_GB2312"/>
          <w:color w:val="000000" w:themeColor="text1"/>
          <w:sz w:val="36"/>
          <w:szCs w:val="36"/>
          <w:highlight w:val="none"/>
          <w14:textFill>
            <w14:solidFill>
              <w14:schemeClr w14:val="tx1"/>
            </w14:solidFill>
          </w14:textFill>
        </w:rPr>
      </w:pPr>
    </w:p>
    <w:p w14:paraId="3575B46E">
      <w:pPr>
        <w:rPr>
          <w:rFonts w:ascii="仿宋_GB2312" w:hAnsi="仿宋_GB2312" w:eastAsia="仿宋_GB2312" w:cs="仿宋_GB2312"/>
          <w:color w:val="000000" w:themeColor="text1"/>
          <w:sz w:val="36"/>
          <w:szCs w:val="36"/>
          <w:highlight w:val="none"/>
          <w14:textFill>
            <w14:solidFill>
              <w14:schemeClr w14:val="tx1"/>
            </w14:solidFill>
          </w14:textFill>
        </w:rPr>
      </w:pPr>
    </w:p>
    <w:p w14:paraId="0A538C82">
      <w:pPr>
        <w:rPr>
          <w:rFonts w:ascii="仿宋_GB2312" w:hAnsi="仿宋_GB2312" w:eastAsia="仿宋_GB2312" w:cs="仿宋_GB2312"/>
          <w:color w:val="000000" w:themeColor="text1"/>
          <w:sz w:val="36"/>
          <w:szCs w:val="36"/>
          <w:highlight w:val="none"/>
          <w14:textFill>
            <w14:solidFill>
              <w14:schemeClr w14:val="tx1"/>
            </w14:solidFill>
          </w14:textFill>
        </w:rPr>
      </w:pPr>
    </w:p>
    <w:p w14:paraId="6CC08BEF">
      <w:pPr>
        <w:rPr>
          <w:rFonts w:ascii="仿宋_GB2312" w:hAnsi="仿宋_GB2312" w:eastAsia="仿宋_GB2312" w:cs="仿宋_GB2312"/>
          <w:color w:val="000000" w:themeColor="text1"/>
          <w:sz w:val="36"/>
          <w:szCs w:val="36"/>
          <w:highlight w:val="none"/>
          <w14:textFill>
            <w14:solidFill>
              <w14:schemeClr w14:val="tx1"/>
            </w14:solidFill>
          </w14:textFill>
        </w:rPr>
      </w:pPr>
    </w:p>
    <w:p w14:paraId="4DEF8350">
      <w:pPr>
        <w:rPr>
          <w:rFonts w:hint="eastAsia" w:ascii="仿宋_GB2312" w:hAnsi="仿宋_GB2312" w:eastAsia="仿宋_GB2312" w:cs="仿宋_GB2312"/>
          <w:color w:val="000000" w:themeColor="text1"/>
          <w:sz w:val="36"/>
          <w:szCs w:val="36"/>
          <w:highlight w:val="none"/>
          <w14:textFill>
            <w14:solidFill>
              <w14:schemeClr w14:val="tx1"/>
            </w14:solidFill>
          </w14:textFill>
        </w:rPr>
      </w:pPr>
    </w:p>
    <w:p w14:paraId="673B8D3B">
      <w:pPr>
        <w:adjustRightInd w:val="0"/>
        <w:snapToGrid w:val="0"/>
        <w:jc w:val="center"/>
        <w:outlineLvl w:val="0"/>
        <w:rPr>
          <w:rFonts w:hint="eastAsia" w:ascii="方正小标宋_GBK" w:eastAsia="方正小标宋_GBK"/>
          <w:bCs/>
          <w:color w:val="000000" w:themeColor="text1"/>
          <w:sz w:val="72"/>
          <w:szCs w:val="72"/>
          <w:highlight w:val="none"/>
          <w14:textFill>
            <w14:solidFill>
              <w14:schemeClr w14:val="tx1"/>
            </w14:solidFill>
          </w14:textFill>
        </w:rPr>
      </w:pPr>
      <w:r>
        <w:rPr>
          <w:rFonts w:hint="eastAsia" w:ascii="方正小标宋_GBK" w:eastAsia="方正小标宋_GBK"/>
          <w:bCs/>
          <w:color w:val="000000" w:themeColor="text1"/>
          <w:sz w:val="72"/>
          <w:szCs w:val="72"/>
          <w:highlight w:val="none"/>
          <w14:textFill>
            <w14:solidFill>
              <w14:schemeClr w14:val="tx1"/>
            </w14:solidFill>
          </w14:textFill>
        </w:rPr>
        <w:t>建设项目环境影响报告表</w:t>
      </w:r>
    </w:p>
    <w:p w14:paraId="13EC8EED">
      <w:pPr>
        <w:adjustRightInd w:val="0"/>
        <w:snapToGrid w:val="0"/>
        <w:spacing w:before="192" w:beforeLines="80"/>
        <w:jc w:val="center"/>
        <w:rPr>
          <w:rFonts w:hint="eastAsia" w:ascii="楷体_GB2312" w:eastAsia="楷体_GB2312"/>
          <w:bCs/>
          <w:color w:val="000000" w:themeColor="text1"/>
          <w:sz w:val="48"/>
          <w:szCs w:val="48"/>
          <w:highlight w:val="none"/>
          <w14:textFill>
            <w14:solidFill>
              <w14:schemeClr w14:val="tx1"/>
            </w14:solidFill>
          </w14:textFill>
        </w:rPr>
      </w:pPr>
      <w:r>
        <w:rPr>
          <w:rFonts w:hint="eastAsia" w:ascii="楷体_GB2312" w:eastAsia="楷体_GB2312"/>
          <w:bCs/>
          <w:color w:val="000000" w:themeColor="text1"/>
          <w:sz w:val="48"/>
          <w:szCs w:val="48"/>
          <w:highlight w:val="none"/>
          <w14:textFill>
            <w14:solidFill>
              <w14:schemeClr w14:val="tx1"/>
            </w14:solidFill>
          </w14:textFill>
        </w:rPr>
        <w:t>（</w:t>
      </w:r>
      <w:r>
        <w:rPr>
          <w:rFonts w:hint="eastAsia" w:ascii="楷体_GB2312" w:eastAsia="楷体_GB2312"/>
          <w:bCs/>
          <w:color w:val="000000" w:themeColor="text1"/>
          <w:sz w:val="48"/>
          <w:szCs w:val="48"/>
          <w:highlight w:val="none"/>
          <w:lang w:val="en-US" w:eastAsia="zh-CN"/>
          <w14:textFill>
            <w14:solidFill>
              <w14:schemeClr w14:val="tx1"/>
            </w14:solidFill>
          </w14:textFill>
        </w:rPr>
        <w:t>生态</w:t>
      </w:r>
      <w:r>
        <w:rPr>
          <w:rFonts w:hint="eastAsia" w:ascii="楷体_GB2312" w:eastAsia="楷体_GB2312"/>
          <w:bCs/>
          <w:color w:val="000000" w:themeColor="text1"/>
          <w:sz w:val="48"/>
          <w:szCs w:val="48"/>
          <w:highlight w:val="none"/>
          <w14:textFill>
            <w14:solidFill>
              <w14:schemeClr w14:val="tx1"/>
            </w14:solidFill>
          </w14:textFill>
        </w:rPr>
        <w:t>影响类）</w:t>
      </w:r>
    </w:p>
    <w:p w14:paraId="49961508">
      <w:pPr>
        <w:adjustRightInd w:val="0"/>
        <w:snapToGrid w:val="0"/>
        <w:spacing w:line="288" w:lineRule="auto"/>
        <w:jc w:val="left"/>
        <w:rPr>
          <w:rFonts w:ascii="华文仿宋" w:hAnsi="华文仿宋" w:eastAsia="华文仿宋" w:cs="华文仿宋"/>
          <w:color w:val="000000" w:themeColor="text1"/>
          <w:kern w:val="44"/>
          <w:sz w:val="44"/>
          <w:szCs w:val="44"/>
          <w:highlight w:val="none"/>
          <w14:textFill>
            <w14:solidFill>
              <w14:schemeClr w14:val="tx1"/>
            </w14:solidFill>
          </w14:textFill>
        </w:rPr>
      </w:pPr>
    </w:p>
    <w:p w14:paraId="364B9E3A">
      <w:pPr>
        <w:jc w:val="left"/>
        <w:rPr>
          <w:rFonts w:eastAsia="仿宋"/>
          <w:color w:val="000000" w:themeColor="text1"/>
          <w:sz w:val="52"/>
          <w:szCs w:val="52"/>
          <w:highlight w:val="none"/>
          <w14:textFill>
            <w14:solidFill>
              <w14:schemeClr w14:val="tx1"/>
            </w14:solidFill>
          </w14:textFill>
        </w:rPr>
      </w:pPr>
    </w:p>
    <w:p w14:paraId="111074D2">
      <w:pPr>
        <w:adjustRightInd w:val="0"/>
        <w:snapToGrid w:val="0"/>
        <w:jc w:val="left"/>
        <w:rPr>
          <w:rFonts w:hint="eastAsia" w:eastAsia="仿宋"/>
          <w:color w:val="000000" w:themeColor="text1"/>
          <w:sz w:val="44"/>
          <w:szCs w:val="44"/>
          <w:highlight w:val="none"/>
          <w14:textFill>
            <w14:solidFill>
              <w14:schemeClr w14:val="tx1"/>
            </w14:solidFill>
          </w14:textFill>
        </w:rPr>
      </w:pPr>
    </w:p>
    <w:p w14:paraId="28B65235">
      <w:pPr>
        <w:adjustRightInd w:val="0"/>
        <w:snapToGrid w:val="0"/>
        <w:jc w:val="left"/>
        <w:rPr>
          <w:rFonts w:hint="eastAsia" w:eastAsia="仿宋"/>
          <w:color w:val="000000" w:themeColor="text1"/>
          <w:sz w:val="44"/>
          <w:szCs w:val="44"/>
          <w:highlight w:val="none"/>
          <w14:textFill>
            <w14:solidFill>
              <w14:schemeClr w14:val="tx1"/>
            </w14:solidFill>
          </w14:textFill>
        </w:rPr>
      </w:pPr>
    </w:p>
    <w:p w14:paraId="23D5401A">
      <w:pPr>
        <w:adjustRightInd w:val="0"/>
        <w:snapToGrid w:val="0"/>
        <w:jc w:val="left"/>
        <w:rPr>
          <w:rFonts w:eastAsia="仿宋"/>
          <w:color w:val="000000" w:themeColor="text1"/>
          <w:sz w:val="44"/>
          <w:szCs w:val="44"/>
          <w:highlight w:val="none"/>
          <w14:textFill>
            <w14:solidFill>
              <w14:schemeClr w14:val="tx1"/>
            </w14:solidFill>
          </w14:textFill>
        </w:rPr>
      </w:pPr>
    </w:p>
    <w:p w14:paraId="0B442CC9">
      <w:pPr>
        <w:adjustRightInd w:val="0"/>
        <w:snapToGrid w:val="0"/>
        <w:spacing w:line="288" w:lineRule="auto"/>
        <w:jc w:val="left"/>
        <w:rPr>
          <w:rFonts w:hint="eastAsia" w:ascii="仿宋_GB2312" w:eastAsia="仿宋_GB2312"/>
          <w:color w:val="000000" w:themeColor="text1"/>
          <w:sz w:val="36"/>
          <w:szCs w:val="36"/>
          <w:highlight w:val="none"/>
          <w:u w:val="single"/>
          <w14:textFill>
            <w14:solidFill>
              <w14:schemeClr w14:val="tx1"/>
            </w14:solidFill>
          </w14:textFill>
        </w:rPr>
      </w:pPr>
      <w:r>
        <w:rPr>
          <w:rFonts w:hint="eastAsia" w:ascii="仿宋_GB2312" w:eastAsia="仿宋_GB2312"/>
          <w:b/>
          <w:bCs/>
          <w:color w:val="000000" w:themeColor="text1"/>
          <w:sz w:val="36"/>
          <w:szCs w:val="36"/>
          <w:highlight w:val="none"/>
          <w14:textFill>
            <w14:solidFill>
              <w14:schemeClr w14:val="tx1"/>
            </w14:solidFill>
          </w14:textFill>
        </w:rPr>
        <w:t>项目名称：</w:t>
      </w:r>
      <w:r>
        <w:rPr>
          <w:rFonts w:hint="eastAsia" w:ascii="仿宋_GB2312" w:eastAsia="仿宋_GB2312"/>
          <w:b/>
          <w:bCs/>
          <w:color w:val="000000" w:themeColor="text1"/>
          <w:sz w:val="36"/>
          <w:szCs w:val="36"/>
          <w:highlight w:val="none"/>
          <w:u w:val="single"/>
          <w14:textFill>
            <w14:solidFill>
              <w14:schemeClr w14:val="tx1"/>
            </w14:solidFill>
          </w14:textFill>
        </w:rPr>
        <w:t>西乌珠穆沁旗2023年度草原畜牧业转型升级试点项目（乌珠穆沁白牛核心育种场创建和认定进场道路）</w:t>
      </w:r>
    </w:p>
    <w:p w14:paraId="766A6ECD">
      <w:pPr>
        <w:adjustRightInd w:val="0"/>
        <w:snapToGrid w:val="0"/>
        <w:spacing w:line="288" w:lineRule="auto"/>
        <w:jc w:val="left"/>
        <w:rPr>
          <w:rFonts w:hint="eastAsia" w:ascii="仿宋_GB2312" w:eastAsia="仿宋_GB2312"/>
          <w:b/>
          <w:bCs/>
          <w:color w:val="000000" w:themeColor="text1"/>
          <w:sz w:val="36"/>
          <w:szCs w:val="36"/>
          <w:highlight w:val="none"/>
          <w14:textFill>
            <w14:solidFill>
              <w14:schemeClr w14:val="tx1"/>
            </w14:solidFill>
          </w14:textFill>
        </w:rPr>
      </w:pPr>
      <w:r>
        <w:rPr>
          <w:rFonts w:hint="eastAsia" w:ascii="仿宋_GB2312" w:eastAsia="仿宋_GB2312"/>
          <w:b/>
          <w:bCs/>
          <w:color w:val="000000" w:themeColor="text1"/>
          <w:sz w:val="36"/>
          <w:szCs w:val="36"/>
          <w:highlight w:val="none"/>
          <w14:textFill>
            <w14:solidFill>
              <w14:schemeClr w14:val="tx1"/>
            </w14:solidFill>
          </w14:textFill>
        </w:rPr>
        <w:t>建设单位（盖章）：</w:t>
      </w:r>
      <w:r>
        <w:rPr>
          <w:rFonts w:hint="eastAsia" w:ascii="仿宋_GB2312" w:eastAsia="仿宋_GB2312"/>
          <w:b/>
          <w:bCs/>
          <w:color w:val="000000" w:themeColor="text1"/>
          <w:sz w:val="36"/>
          <w:szCs w:val="36"/>
          <w:highlight w:val="none"/>
          <w:u w:val="single"/>
          <w:lang w:val="en-US" w:eastAsia="zh-CN"/>
          <w14:textFill>
            <w14:solidFill>
              <w14:schemeClr w14:val="tx1"/>
            </w14:solidFill>
          </w14:textFill>
        </w:rPr>
        <w:t>西 乌 珠 穆 沁 旗 农 牧 和 科 技 局</w:t>
      </w:r>
    </w:p>
    <w:p w14:paraId="6ACCCA00">
      <w:pPr>
        <w:rPr>
          <w:rFonts w:hint="eastAsia" w:ascii="仿宋_GB2312" w:eastAsia="仿宋_GB2312"/>
          <w:b/>
          <w:bCs/>
          <w:color w:val="000000" w:themeColor="text1"/>
          <w:sz w:val="36"/>
          <w:szCs w:val="36"/>
          <w:highlight w:val="none"/>
          <w:u w:val="single"/>
          <w14:textFill>
            <w14:solidFill>
              <w14:schemeClr w14:val="tx1"/>
            </w14:solidFill>
          </w14:textFill>
        </w:rPr>
      </w:pPr>
      <w:r>
        <w:rPr>
          <w:rFonts w:hint="eastAsia" w:ascii="仿宋_GB2312" w:eastAsia="仿宋_GB2312"/>
          <w:b/>
          <w:bCs/>
          <w:color w:val="000000" w:themeColor="text1"/>
          <w:sz w:val="36"/>
          <w:szCs w:val="36"/>
          <w:highlight w:val="none"/>
          <w14:textFill>
            <w14:solidFill>
              <w14:schemeClr w14:val="tx1"/>
            </w14:solidFill>
          </w14:textFill>
        </w:rPr>
        <w:t>编制日期：</w:t>
      </w:r>
      <w:r>
        <w:rPr>
          <w:rFonts w:hint="eastAsia" w:ascii="仿宋_GB2312" w:eastAsia="仿宋_GB2312"/>
          <w:b/>
          <w:bCs/>
          <w:color w:val="000000" w:themeColor="text1"/>
          <w:sz w:val="36"/>
          <w:szCs w:val="36"/>
          <w:highlight w:val="none"/>
          <w:u w:val="single"/>
          <w14:textFill>
            <w14:solidFill>
              <w14:schemeClr w14:val="tx1"/>
            </w14:solidFill>
          </w14:textFill>
        </w:rPr>
        <w:t xml:space="preserve"> </w:t>
      </w:r>
      <w:r>
        <w:rPr>
          <w:rFonts w:ascii="仿宋_GB2312" w:eastAsia="仿宋_GB2312"/>
          <w:b/>
          <w:bCs/>
          <w:color w:val="000000" w:themeColor="text1"/>
          <w:sz w:val="36"/>
          <w:szCs w:val="36"/>
          <w:highlight w:val="none"/>
          <w:u w:val="single"/>
          <w14:textFill>
            <w14:solidFill>
              <w14:schemeClr w14:val="tx1"/>
            </w14:solidFill>
          </w14:textFill>
        </w:rPr>
        <w:t xml:space="preserve">       </w:t>
      </w:r>
      <w:r>
        <w:rPr>
          <w:rFonts w:eastAsia="仿宋_GB2312"/>
          <w:b/>
          <w:bCs/>
          <w:color w:val="000000" w:themeColor="text1"/>
          <w:sz w:val="36"/>
          <w:szCs w:val="36"/>
          <w:highlight w:val="none"/>
          <w:u w:val="single"/>
          <w14:textFill>
            <w14:solidFill>
              <w14:schemeClr w14:val="tx1"/>
            </w14:solidFill>
          </w14:textFill>
        </w:rPr>
        <w:t xml:space="preserve"> </w:t>
      </w:r>
      <w:r>
        <w:rPr>
          <w:rFonts w:ascii="Times New Roman" w:hAnsi="Times New Roman" w:eastAsia="仿宋_GB2312" w:cs="Times New Roman"/>
          <w:b/>
          <w:bCs/>
          <w:color w:val="000000" w:themeColor="text1"/>
          <w:sz w:val="36"/>
          <w:szCs w:val="36"/>
          <w:highlight w:val="none"/>
          <w:u w:val="single"/>
          <w14:textFill>
            <w14:solidFill>
              <w14:schemeClr w14:val="tx1"/>
            </w14:solidFill>
          </w14:textFill>
        </w:rPr>
        <w:t>202</w:t>
      </w:r>
      <w:r>
        <w:rPr>
          <w:rFonts w:hint="eastAsia" w:eastAsia="仿宋_GB2312" w:cs="Times New Roman"/>
          <w:b/>
          <w:bCs/>
          <w:color w:val="000000" w:themeColor="text1"/>
          <w:sz w:val="36"/>
          <w:szCs w:val="36"/>
          <w:highlight w:val="none"/>
          <w:u w:val="single"/>
          <w:lang w:val="en-US" w:eastAsia="zh-CN"/>
          <w14:textFill>
            <w14:solidFill>
              <w14:schemeClr w14:val="tx1"/>
            </w14:solidFill>
          </w14:textFill>
        </w:rPr>
        <w:t>5</w:t>
      </w:r>
      <w:r>
        <w:rPr>
          <w:rFonts w:ascii="Times New Roman" w:hAnsi="Times New Roman" w:eastAsia="仿宋_GB2312" w:cs="Times New Roman"/>
          <w:b/>
          <w:bCs/>
          <w:color w:val="000000" w:themeColor="text1"/>
          <w:sz w:val="36"/>
          <w:szCs w:val="36"/>
          <w:highlight w:val="none"/>
          <w:u w:val="single"/>
          <w14:textFill>
            <w14:solidFill>
              <w14:schemeClr w14:val="tx1"/>
            </w14:solidFill>
          </w14:textFill>
        </w:rPr>
        <w:t>年</w:t>
      </w:r>
      <w:r>
        <w:rPr>
          <w:rFonts w:hint="eastAsia" w:eastAsia="仿宋_GB2312" w:cs="Times New Roman"/>
          <w:b/>
          <w:bCs/>
          <w:color w:val="000000" w:themeColor="text1"/>
          <w:sz w:val="36"/>
          <w:szCs w:val="36"/>
          <w:highlight w:val="none"/>
          <w:u w:val="single"/>
          <w:lang w:val="en-US" w:eastAsia="zh-CN"/>
          <w14:textFill>
            <w14:solidFill>
              <w14:schemeClr w14:val="tx1"/>
            </w14:solidFill>
          </w14:textFill>
        </w:rPr>
        <w:t>2</w:t>
      </w:r>
      <w:r>
        <w:rPr>
          <w:rFonts w:ascii="Times New Roman" w:hAnsi="Times New Roman" w:eastAsia="仿宋_GB2312" w:cs="Times New Roman"/>
          <w:b/>
          <w:bCs/>
          <w:color w:val="000000" w:themeColor="text1"/>
          <w:sz w:val="36"/>
          <w:szCs w:val="36"/>
          <w:highlight w:val="none"/>
          <w:u w:val="single"/>
          <w14:textFill>
            <w14:solidFill>
              <w14:schemeClr w14:val="tx1"/>
            </w14:solidFill>
          </w14:textFill>
        </w:rPr>
        <w:t>月</w:t>
      </w:r>
      <w:r>
        <w:rPr>
          <w:rFonts w:hint="eastAsia" w:eastAsia="仿宋_GB2312"/>
          <w:b/>
          <w:bCs/>
          <w:color w:val="000000" w:themeColor="text1"/>
          <w:sz w:val="36"/>
          <w:szCs w:val="36"/>
          <w:highlight w:val="none"/>
          <w:u w:val="single"/>
          <w14:textFill>
            <w14:solidFill>
              <w14:schemeClr w14:val="tx1"/>
            </w14:solidFill>
          </w14:textFill>
        </w:rPr>
        <w:t xml:space="preserve">       </w:t>
      </w:r>
    </w:p>
    <w:p w14:paraId="49E7D9BB">
      <w:pPr>
        <w:adjustRightInd w:val="0"/>
        <w:snapToGrid w:val="0"/>
        <w:spacing w:line="288" w:lineRule="auto"/>
        <w:rPr>
          <w:rFonts w:hint="eastAsia" w:ascii="仿宋_GB2312" w:eastAsia="仿宋_GB2312"/>
          <w:color w:val="000000" w:themeColor="text1"/>
          <w:sz w:val="36"/>
          <w:szCs w:val="36"/>
          <w:highlight w:val="none"/>
          <w14:textFill>
            <w14:solidFill>
              <w14:schemeClr w14:val="tx1"/>
            </w14:solidFill>
          </w14:textFill>
        </w:rPr>
      </w:pPr>
      <w:bookmarkStart w:id="0" w:name="_Hlk57884087"/>
    </w:p>
    <w:bookmarkEnd w:id="0"/>
    <w:p w14:paraId="550EB854">
      <w:pPr>
        <w:adjustRightInd w:val="0"/>
        <w:snapToGrid w:val="0"/>
        <w:spacing w:line="288" w:lineRule="auto"/>
        <w:jc w:val="center"/>
        <w:rPr>
          <w:rFonts w:ascii="楷体_GB2312" w:eastAsia="楷体_GB2312"/>
          <w:color w:val="000000" w:themeColor="text1"/>
          <w:sz w:val="36"/>
          <w:szCs w:val="36"/>
          <w:highlight w:val="none"/>
          <w14:textFill>
            <w14:solidFill>
              <w14:schemeClr w14:val="tx1"/>
            </w14:solidFill>
          </w14:textFill>
        </w:rPr>
      </w:pPr>
    </w:p>
    <w:p w14:paraId="5CF2408D">
      <w:pPr>
        <w:adjustRightInd w:val="0"/>
        <w:snapToGrid w:val="0"/>
        <w:spacing w:line="288" w:lineRule="auto"/>
        <w:jc w:val="center"/>
        <w:rPr>
          <w:rFonts w:ascii="仿宋_GB2312" w:eastAsia="仿宋_GB2312"/>
          <w:color w:val="000000" w:themeColor="text1"/>
          <w:sz w:val="36"/>
          <w:szCs w:val="36"/>
          <w:highlight w:val="none"/>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numberInDash" w:start="3"/>
          <w:cols w:space="720" w:num="1"/>
          <w:docGrid w:linePitch="312" w:charSpace="0"/>
        </w:sectPr>
      </w:pPr>
      <w:r>
        <w:rPr>
          <w:rFonts w:hint="eastAsia" w:ascii="楷体_GB2312" w:eastAsia="楷体_GB2312"/>
          <w:color w:val="000000" w:themeColor="text1"/>
          <w:sz w:val="36"/>
          <w:szCs w:val="36"/>
          <w:highlight w:val="none"/>
          <w14:textFill>
            <w14:solidFill>
              <w14:schemeClr w14:val="tx1"/>
            </w14:solidFill>
          </w14:textFill>
        </w:rPr>
        <w:t>中华人民共和国生态环境部制</w:t>
      </w:r>
    </w:p>
    <w:p w14:paraId="06FEF8B4">
      <w:pPr>
        <w:adjustRightInd w:val="0"/>
        <w:snapToGrid w:val="0"/>
        <w:spacing w:line="288" w:lineRule="auto"/>
        <w:jc w:val="center"/>
        <w:rPr>
          <w:rFonts w:hint="eastAsia" w:ascii="Times New Roman" w:hAnsi="Times New Roman" w:eastAsia="宋体" w:cs="Times New Roman"/>
          <w:color w:val="000000" w:themeColor="text1"/>
          <w:sz w:val="36"/>
          <w:szCs w:val="36"/>
          <w:highlight w:val="none"/>
          <w:lang w:eastAsia="zh-CN"/>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rFonts w:hint="eastAsia" w:ascii="Times New Roman" w:hAnsi="Times New Roman" w:eastAsia="宋体" w:cs="Times New Roman"/>
          <w:color w:val="000000" w:themeColor="text1"/>
          <w:sz w:val="36"/>
          <w:szCs w:val="36"/>
          <w:highlight w:val="none"/>
          <w:lang w:eastAsia="zh-CN"/>
          <w14:textFill>
            <w14:solidFill>
              <w14:schemeClr w14:val="tx1"/>
            </w14:solidFill>
          </w14:textFill>
        </w:rPr>
        <w:drawing>
          <wp:inline distT="0" distB="0" distL="114300" distR="114300">
            <wp:extent cx="5571490" cy="7686040"/>
            <wp:effectExtent l="0" t="0" r="0" b="0"/>
            <wp:docPr id="2" name="图片 2" descr="西乌珠穆沁旗2023年度草原畜牧业转型升级试点项目（乌珠穆沁白牛核心育种场创建和认定进场道路）-导出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西乌珠穆沁旗2023年度草原畜牧业转型升级试点项目（乌珠穆沁白牛核心育种场创建和认定进场道路）-导出_00"/>
                    <pic:cNvPicPr>
                      <a:picLocks noChangeAspect="1"/>
                    </pic:cNvPicPr>
                  </pic:nvPicPr>
                  <pic:blipFill>
                    <a:blip r:embed="rId12"/>
                    <a:srcRect l="7330" b="9638"/>
                    <a:stretch>
                      <a:fillRect/>
                    </a:stretch>
                  </pic:blipFill>
                  <pic:spPr>
                    <a:xfrm>
                      <a:off x="0" y="0"/>
                      <a:ext cx="5571490" cy="7686040"/>
                    </a:xfrm>
                    <a:prstGeom prst="rect">
                      <a:avLst/>
                    </a:prstGeom>
                  </pic:spPr>
                </pic:pic>
              </a:graphicData>
            </a:graphic>
          </wp:inline>
        </w:drawing>
      </w:r>
    </w:p>
    <w:p w14:paraId="2AFD005D">
      <w:pPr>
        <w:pStyle w:val="26"/>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t>一、建设项目基本情况</w:t>
      </w:r>
    </w:p>
    <w:tbl>
      <w:tblPr>
        <w:tblStyle w:val="30"/>
        <w:tblW w:w="8850" w:type="dxa"/>
        <w:tblInd w:w="1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31"/>
        <w:gridCol w:w="3238"/>
        <w:gridCol w:w="1939"/>
        <w:gridCol w:w="2642"/>
      </w:tblGrid>
      <w:tr w14:paraId="73593E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31" w:type="dxa"/>
            <w:tcMar>
              <w:top w:w="16" w:type="dxa"/>
              <w:left w:w="16" w:type="dxa"/>
              <w:right w:w="16" w:type="dxa"/>
            </w:tcMar>
            <w:vAlign w:val="center"/>
          </w:tcPr>
          <w:p w14:paraId="676A7EE4">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建设项目名称</w:t>
            </w:r>
          </w:p>
        </w:tc>
        <w:tc>
          <w:tcPr>
            <w:tcW w:w="7819" w:type="dxa"/>
            <w:gridSpan w:val="3"/>
            <w:vAlign w:val="center"/>
          </w:tcPr>
          <w:p w14:paraId="2DA78C5F">
            <w:pPr>
              <w:adjustRightInd w:val="0"/>
              <w:snapToGrid w:val="0"/>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s="宋体"/>
                <w:b/>
                <w:bCs/>
                <w:color w:val="000000" w:themeColor="text1"/>
                <w:szCs w:val="21"/>
                <w:highlight w:val="none"/>
                <w14:textFill>
                  <w14:solidFill>
                    <w14:schemeClr w14:val="tx1"/>
                  </w14:solidFill>
                </w14:textFill>
              </w:rPr>
              <w:t>西乌珠穆沁旗2023年度草原畜牧业转型升级试点项目（乌珠穆沁白牛核心育种场创建和认定进场道路）</w:t>
            </w:r>
          </w:p>
        </w:tc>
      </w:tr>
      <w:tr w14:paraId="327455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31" w:type="dxa"/>
            <w:tcMar>
              <w:top w:w="16" w:type="dxa"/>
              <w:left w:w="16" w:type="dxa"/>
              <w:right w:w="16" w:type="dxa"/>
            </w:tcMar>
            <w:vAlign w:val="center"/>
          </w:tcPr>
          <w:p w14:paraId="7D45010C">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项目代码</w:t>
            </w:r>
          </w:p>
        </w:tc>
        <w:tc>
          <w:tcPr>
            <w:tcW w:w="7819" w:type="dxa"/>
            <w:gridSpan w:val="3"/>
            <w:vAlign w:val="center"/>
          </w:tcPr>
          <w:p w14:paraId="0A2394A8">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2302-152526-04-05-990806</w:t>
            </w:r>
          </w:p>
        </w:tc>
      </w:tr>
      <w:tr w14:paraId="4B6365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31" w:type="dxa"/>
            <w:tcMar>
              <w:top w:w="16" w:type="dxa"/>
              <w:left w:w="16" w:type="dxa"/>
              <w:right w:w="16" w:type="dxa"/>
            </w:tcMar>
            <w:vAlign w:val="center"/>
          </w:tcPr>
          <w:p w14:paraId="5AF62811">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建设单位联系人</w:t>
            </w:r>
          </w:p>
        </w:tc>
        <w:tc>
          <w:tcPr>
            <w:tcW w:w="3238" w:type="dxa"/>
            <w:vAlign w:val="center"/>
          </w:tcPr>
          <w:p w14:paraId="0B7056CD">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阿古达木</w:t>
            </w:r>
          </w:p>
        </w:tc>
        <w:tc>
          <w:tcPr>
            <w:tcW w:w="1939" w:type="dxa"/>
            <w:vAlign w:val="center"/>
          </w:tcPr>
          <w:p w14:paraId="218573CE">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联系方式</w:t>
            </w:r>
          </w:p>
        </w:tc>
        <w:tc>
          <w:tcPr>
            <w:tcW w:w="2642" w:type="dxa"/>
            <w:vAlign w:val="center"/>
          </w:tcPr>
          <w:p w14:paraId="488A0C29">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13847902937</w:t>
            </w:r>
          </w:p>
        </w:tc>
      </w:tr>
      <w:tr w14:paraId="7DE616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1031" w:type="dxa"/>
            <w:tcMar>
              <w:top w:w="16" w:type="dxa"/>
              <w:left w:w="16" w:type="dxa"/>
              <w:right w:w="16" w:type="dxa"/>
            </w:tcMar>
            <w:vAlign w:val="center"/>
          </w:tcPr>
          <w:p w14:paraId="1104713D">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建设地点</w:t>
            </w:r>
          </w:p>
        </w:tc>
        <w:tc>
          <w:tcPr>
            <w:tcW w:w="7819" w:type="dxa"/>
            <w:gridSpan w:val="3"/>
            <w:vAlign w:val="center"/>
          </w:tcPr>
          <w:p w14:paraId="37D81694">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内蒙古自治区锡林郭勒盟西乌珠穆沁旗浩勒图高勒镇境</w:t>
            </w:r>
          </w:p>
        </w:tc>
      </w:tr>
      <w:tr w14:paraId="1ADF1F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31" w:type="dxa"/>
            <w:tcMar>
              <w:top w:w="16" w:type="dxa"/>
              <w:left w:w="16" w:type="dxa"/>
              <w:right w:w="16" w:type="dxa"/>
            </w:tcMar>
            <w:vAlign w:val="center"/>
          </w:tcPr>
          <w:p w14:paraId="4F58A01A">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地理坐标</w:t>
            </w:r>
          </w:p>
        </w:tc>
        <w:tc>
          <w:tcPr>
            <w:tcW w:w="7819" w:type="dxa"/>
            <w:gridSpan w:val="3"/>
            <w:vAlign w:val="center"/>
          </w:tcPr>
          <w:p w14:paraId="1D774FC2">
            <w:pPr>
              <w:adjustRightInd w:val="0"/>
              <w:snapToGrid w:val="0"/>
              <w:jc w:val="center"/>
              <w:rPr>
                <w:color w:val="000000" w:themeColor="text1"/>
                <w:kern w:val="0"/>
                <w:sz w:val="24"/>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起点：（</w:t>
            </w:r>
            <w:r>
              <w:rPr>
                <w:color w:val="000000" w:themeColor="text1"/>
                <w:szCs w:val="21"/>
                <w:highlight w:val="none"/>
                <w:u w:val="single"/>
                <w14:textFill>
                  <w14:solidFill>
                    <w14:schemeClr w14:val="tx1"/>
                  </w14:solidFill>
                </w14:textFill>
              </w:rPr>
              <w:t xml:space="preserve"> 11</w:t>
            </w:r>
            <w:r>
              <w:rPr>
                <w:rFonts w:hint="eastAsia"/>
                <w:color w:val="000000" w:themeColor="text1"/>
                <w:szCs w:val="21"/>
                <w:highlight w:val="none"/>
                <w:u w:val="single"/>
                <w14:textFill>
                  <w14:solidFill>
                    <w14:schemeClr w14:val="tx1"/>
                  </w14:solidFill>
                </w14:textFill>
              </w:rPr>
              <w:t>7</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度</w:t>
            </w:r>
            <w:r>
              <w:rPr>
                <w:color w:val="000000" w:themeColor="text1"/>
                <w:szCs w:val="21"/>
                <w:highlight w:val="none"/>
                <w:u w:val="single"/>
                <w14:textFill>
                  <w14:solidFill>
                    <w14:schemeClr w14:val="tx1"/>
                  </w14:solidFill>
                </w14:textFill>
              </w:rPr>
              <w:t xml:space="preserve"> 4</w:t>
            </w:r>
            <w:r>
              <w:rPr>
                <w:rFonts w:hint="eastAsia"/>
                <w:color w:val="000000" w:themeColor="text1"/>
                <w:szCs w:val="21"/>
                <w:highlight w:val="none"/>
                <w:u w:val="single"/>
                <w14:textFill>
                  <w14:solidFill>
                    <w14:schemeClr w14:val="tx1"/>
                  </w14:solidFill>
                </w14:textFill>
              </w:rPr>
              <w:t>7</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分</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14:textFill>
                  <w14:solidFill>
                    <w14:schemeClr w14:val="tx1"/>
                  </w14:solidFill>
                </w14:textFill>
              </w:rPr>
              <w:t>13.81</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秒，</w:t>
            </w:r>
            <w:r>
              <w:rPr>
                <w:color w:val="000000" w:themeColor="text1"/>
                <w:szCs w:val="21"/>
                <w:highlight w:val="none"/>
                <w:u w:val="single"/>
                <w14:textFill>
                  <w14:solidFill>
                    <w14:schemeClr w14:val="tx1"/>
                  </w14:solidFill>
                </w14:textFill>
              </w:rPr>
              <w:t xml:space="preserve"> 4</w:t>
            </w:r>
            <w:r>
              <w:rPr>
                <w:rFonts w:hint="eastAsia"/>
                <w:color w:val="000000" w:themeColor="text1"/>
                <w:szCs w:val="21"/>
                <w:highlight w:val="none"/>
                <w:u w:val="single"/>
                <w14:textFill>
                  <w14:solidFill>
                    <w14:schemeClr w14:val="tx1"/>
                  </w14:solidFill>
                </w14:textFill>
              </w:rPr>
              <w:t>4</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度</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14:textFill>
                  <w14:solidFill>
                    <w14:schemeClr w14:val="tx1"/>
                  </w14:solidFill>
                </w14:textFill>
              </w:rPr>
              <w:t>8</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分</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14:textFill>
                  <w14:solidFill>
                    <w14:schemeClr w14:val="tx1"/>
                  </w14:solidFill>
                </w14:textFill>
              </w:rPr>
              <w:t>25.90</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秒）；</w:t>
            </w:r>
          </w:p>
          <w:p w14:paraId="725F4537">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终点：（</w:t>
            </w:r>
            <w:r>
              <w:rPr>
                <w:color w:val="000000" w:themeColor="text1"/>
                <w:szCs w:val="21"/>
                <w:highlight w:val="none"/>
                <w:u w:val="single"/>
                <w14:textFill>
                  <w14:solidFill>
                    <w14:schemeClr w14:val="tx1"/>
                  </w14:solidFill>
                </w14:textFill>
              </w:rPr>
              <w:t xml:space="preserve"> 11</w:t>
            </w:r>
            <w:r>
              <w:rPr>
                <w:rFonts w:hint="eastAsia"/>
                <w:color w:val="000000" w:themeColor="text1"/>
                <w:szCs w:val="21"/>
                <w:highlight w:val="none"/>
                <w:u w:val="single"/>
                <w14:textFill>
                  <w14:solidFill>
                    <w14:schemeClr w14:val="tx1"/>
                  </w14:solidFill>
                </w14:textFill>
              </w:rPr>
              <w:t>7</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度</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14:textFill>
                  <w14:solidFill>
                    <w14:schemeClr w14:val="tx1"/>
                  </w14:solidFill>
                </w14:textFill>
              </w:rPr>
              <w:t>50</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分</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14:textFill>
                  <w14:solidFill>
                    <w14:schemeClr w14:val="tx1"/>
                  </w14:solidFill>
                </w14:textFill>
              </w:rPr>
              <w:t>53.81</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秒，</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14:textFill>
                  <w14:solidFill>
                    <w14:schemeClr w14:val="tx1"/>
                  </w14:solidFill>
                </w14:textFill>
              </w:rPr>
              <w:t>44</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度</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14:textFill>
                  <w14:solidFill>
                    <w14:schemeClr w14:val="tx1"/>
                  </w14:solidFill>
                </w14:textFill>
              </w:rPr>
              <w:t>8</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分</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14:textFill>
                  <w14:solidFill>
                    <w14:schemeClr w14:val="tx1"/>
                  </w14:solidFill>
                </w14:textFill>
              </w:rPr>
              <w:t>43.47</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秒）</w:t>
            </w:r>
          </w:p>
        </w:tc>
      </w:tr>
      <w:tr w14:paraId="199E9F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031" w:type="dxa"/>
            <w:tcMar>
              <w:top w:w="16" w:type="dxa"/>
              <w:left w:w="16" w:type="dxa"/>
              <w:right w:w="16" w:type="dxa"/>
            </w:tcMar>
            <w:vAlign w:val="center"/>
          </w:tcPr>
          <w:p w14:paraId="6F3DED11">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建设项目</w:t>
            </w:r>
          </w:p>
          <w:p w14:paraId="05DE5269">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行业类别</w:t>
            </w:r>
          </w:p>
        </w:tc>
        <w:tc>
          <w:tcPr>
            <w:tcW w:w="3238" w:type="dxa"/>
            <w:vAlign w:val="center"/>
          </w:tcPr>
          <w:p w14:paraId="1AD68241">
            <w:pPr>
              <w:adjustRightInd w:val="0"/>
              <w:snapToGri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五十二、交通运输业、管道运输业-130、等级公路（不含维护；不含生命救援、应急保通工程以及国防交通保障项目；不含改扩建四级公路）-其他（配套设施除外；不涉及环境敏感区的三级、四级公路除外）</w:t>
            </w:r>
            <w:r>
              <w:rPr>
                <w:rFonts w:hint="eastAsia" w:cs="Times New Roman"/>
                <w:color w:val="000000" w:themeColor="text1"/>
                <w:szCs w:val="21"/>
                <w:highlight w:val="none"/>
                <w:lang w:eastAsia="zh-CN"/>
                <w14:textFill>
                  <w14:solidFill>
                    <w14:schemeClr w14:val="tx1"/>
                  </w14:solidFill>
                </w14:textFill>
              </w:rPr>
              <w:t>”</w:t>
            </w:r>
          </w:p>
        </w:tc>
        <w:tc>
          <w:tcPr>
            <w:tcW w:w="1939" w:type="dxa"/>
            <w:vAlign w:val="center"/>
          </w:tcPr>
          <w:p w14:paraId="75A46C16">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用地（用海）面积（m</w:t>
            </w:r>
            <w:r>
              <w:rPr>
                <w:rFonts w:hint="default" w:ascii="Times New Roman" w:hAnsi="Times New Roman" w:eastAsia="宋体" w:cs="Times New Roman"/>
                <w:b/>
                <w:color w:val="000000" w:themeColor="text1"/>
                <w:szCs w:val="21"/>
                <w:highlight w:val="none"/>
                <w:vertAlign w:val="superscript"/>
                <w14:textFill>
                  <w14:solidFill>
                    <w14:schemeClr w14:val="tx1"/>
                  </w14:solidFill>
                </w14:textFill>
              </w:rPr>
              <w:t>2</w:t>
            </w:r>
            <w:r>
              <w:rPr>
                <w:rFonts w:hint="default" w:ascii="Times New Roman" w:hAnsi="Times New Roman" w:eastAsia="宋体" w:cs="Times New Roman"/>
                <w:b/>
                <w:color w:val="000000" w:themeColor="text1"/>
                <w:szCs w:val="21"/>
                <w:highlight w:val="none"/>
                <w14:textFill>
                  <w14:solidFill>
                    <w14:schemeClr w14:val="tx1"/>
                  </w14:solidFill>
                </w14:textFill>
              </w:rPr>
              <w:t>）/长度（km）</w:t>
            </w:r>
          </w:p>
        </w:tc>
        <w:tc>
          <w:tcPr>
            <w:tcW w:w="2642" w:type="dxa"/>
            <w:vAlign w:val="center"/>
          </w:tcPr>
          <w:p w14:paraId="3E197111">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道路长度5.653km</w:t>
            </w:r>
          </w:p>
        </w:tc>
      </w:tr>
      <w:tr w14:paraId="3AB3D7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031" w:type="dxa"/>
            <w:tcMar>
              <w:top w:w="16" w:type="dxa"/>
              <w:left w:w="16" w:type="dxa"/>
              <w:right w:w="16" w:type="dxa"/>
            </w:tcMar>
            <w:vAlign w:val="center"/>
          </w:tcPr>
          <w:p w14:paraId="71F2C1C2">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建设性质</w:t>
            </w:r>
          </w:p>
        </w:tc>
        <w:tc>
          <w:tcPr>
            <w:tcW w:w="3238" w:type="dxa"/>
            <w:vAlign w:val="center"/>
          </w:tcPr>
          <w:p w14:paraId="65A32146">
            <w:pPr>
              <w:adjustRightInd w:val="0"/>
              <w:snapToGrid w:val="0"/>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☑新建（迁建）</w:t>
            </w:r>
          </w:p>
          <w:p w14:paraId="430C0223">
            <w:pPr>
              <w:adjustRightInd w:val="0"/>
              <w:snapToGrid w:val="0"/>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□改建</w:t>
            </w:r>
          </w:p>
          <w:p w14:paraId="3DA1EE6A">
            <w:pPr>
              <w:adjustRightInd w:val="0"/>
              <w:snapToGrid w:val="0"/>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□扩建</w:t>
            </w:r>
          </w:p>
          <w:p w14:paraId="04B0AAE1">
            <w:pPr>
              <w:adjustRightInd w:val="0"/>
              <w:snapToGrid w:val="0"/>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□技术改造</w:t>
            </w:r>
          </w:p>
        </w:tc>
        <w:tc>
          <w:tcPr>
            <w:tcW w:w="1939" w:type="dxa"/>
            <w:vAlign w:val="center"/>
          </w:tcPr>
          <w:p w14:paraId="6B6D3414">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建设项目</w:t>
            </w:r>
          </w:p>
          <w:p w14:paraId="581E5F4E">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申报情形</w:t>
            </w:r>
          </w:p>
        </w:tc>
        <w:tc>
          <w:tcPr>
            <w:tcW w:w="2642" w:type="dxa"/>
            <w:vAlign w:val="center"/>
          </w:tcPr>
          <w:p w14:paraId="10904CB3">
            <w:pPr>
              <w:adjustRightInd w:val="0"/>
              <w:snapToGrid w:val="0"/>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☑首次申报项目</w:t>
            </w:r>
          </w:p>
          <w:p w14:paraId="1E56C6E4">
            <w:pPr>
              <w:adjustRightInd w:val="0"/>
              <w:snapToGrid w:val="0"/>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□不予批准后再次申报项目</w:t>
            </w:r>
          </w:p>
          <w:p w14:paraId="37CA0912">
            <w:pPr>
              <w:adjustRightInd w:val="0"/>
              <w:snapToGrid w:val="0"/>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□超五年重新审核项目</w:t>
            </w:r>
          </w:p>
          <w:p w14:paraId="428325E5">
            <w:pPr>
              <w:adjustRightInd w:val="0"/>
              <w:snapToGrid w:val="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□重大变动重新报批项目</w:t>
            </w:r>
          </w:p>
        </w:tc>
      </w:tr>
      <w:tr w14:paraId="32BFE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031" w:type="dxa"/>
            <w:tcMar>
              <w:top w:w="16" w:type="dxa"/>
              <w:left w:w="16" w:type="dxa"/>
              <w:right w:w="16" w:type="dxa"/>
            </w:tcMar>
            <w:vAlign w:val="center"/>
          </w:tcPr>
          <w:p w14:paraId="640B51DA">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项目审批（核准/</w:t>
            </w:r>
          </w:p>
          <w:p w14:paraId="5CF66862">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备案）部门（选填）</w:t>
            </w:r>
          </w:p>
        </w:tc>
        <w:tc>
          <w:tcPr>
            <w:tcW w:w="3238" w:type="dxa"/>
            <w:vAlign w:val="center"/>
          </w:tcPr>
          <w:p w14:paraId="074F292C">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锡林郭勒盟发展和改革委员会</w:t>
            </w:r>
          </w:p>
        </w:tc>
        <w:tc>
          <w:tcPr>
            <w:tcW w:w="1939" w:type="dxa"/>
            <w:vAlign w:val="center"/>
          </w:tcPr>
          <w:p w14:paraId="0D694452">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项目审批（核准/</w:t>
            </w:r>
          </w:p>
          <w:p w14:paraId="45CE3E9A">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备案）文号（选填）</w:t>
            </w:r>
          </w:p>
        </w:tc>
        <w:tc>
          <w:tcPr>
            <w:tcW w:w="2642" w:type="dxa"/>
            <w:vAlign w:val="center"/>
          </w:tcPr>
          <w:p w14:paraId="163495F4">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锡发改批字</w:t>
            </w:r>
            <w:r>
              <w:rPr>
                <w:rFonts w:hint="eastAsia" w:ascii="宋体" w:hAnsi="宋体" w:cs="宋体"/>
                <w:color w:val="000000" w:themeColor="text1"/>
                <w:szCs w:val="21"/>
                <w:highlight w:val="none"/>
                <w14:textFill>
                  <w14:solidFill>
                    <w14:schemeClr w14:val="tx1"/>
                  </w14:solidFill>
                </w14:textFill>
              </w:rPr>
              <w:t>〔2024〕9号</w:t>
            </w:r>
          </w:p>
        </w:tc>
      </w:tr>
      <w:tr w14:paraId="17B960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1031" w:type="dxa"/>
            <w:tcMar>
              <w:top w:w="16" w:type="dxa"/>
              <w:left w:w="16" w:type="dxa"/>
              <w:right w:w="16" w:type="dxa"/>
            </w:tcMar>
            <w:vAlign w:val="center"/>
          </w:tcPr>
          <w:p w14:paraId="09E11CA4">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总投资（万元）</w:t>
            </w:r>
          </w:p>
        </w:tc>
        <w:tc>
          <w:tcPr>
            <w:tcW w:w="3238" w:type="dxa"/>
            <w:vAlign w:val="center"/>
          </w:tcPr>
          <w:p w14:paraId="1D60678E">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545.21</w:t>
            </w:r>
          </w:p>
        </w:tc>
        <w:tc>
          <w:tcPr>
            <w:tcW w:w="1939" w:type="dxa"/>
            <w:tcMar>
              <w:top w:w="16" w:type="dxa"/>
              <w:left w:w="16" w:type="dxa"/>
              <w:right w:w="16" w:type="dxa"/>
            </w:tcMar>
            <w:vAlign w:val="center"/>
          </w:tcPr>
          <w:p w14:paraId="48A27EDB">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环保投资（万元）</w:t>
            </w:r>
          </w:p>
        </w:tc>
        <w:tc>
          <w:tcPr>
            <w:tcW w:w="2642" w:type="dxa"/>
            <w:vAlign w:val="center"/>
          </w:tcPr>
          <w:p w14:paraId="1D4AE107">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163.</w:t>
            </w:r>
            <w:r>
              <w:rPr>
                <w:rFonts w:hint="eastAsia" w:cs="Times New Roman"/>
                <w:color w:val="000000" w:themeColor="text1"/>
                <w:kern w:val="0"/>
                <w:szCs w:val="21"/>
                <w:highlight w:val="none"/>
                <w:lang w:val="en-US" w:eastAsia="zh-CN"/>
                <w14:textFill>
                  <w14:solidFill>
                    <w14:schemeClr w14:val="tx1"/>
                  </w14:solidFill>
                </w14:textFill>
              </w:rPr>
              <w:t>4</w:t>
            </w:r>
          </w:p>
        </w:tc>
      </w:tr>
      <w:tr w14:paraId="3AC60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1031" w:type="dxa"/>
            <w:tcMar>
              <w:top w:w="16" w:type="dxa"/>
              <w:left w:w="16" w:type="dxa"/>
              <w:right w:w="16" w:type="dxa"/>
            </w:tcMar>
            <w:vAlign w:val="center"/>
          </w:tcPr>
          <w:p w14:paraId="42C30489">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环保投资占比（%）</w:t>
            </w:r>
          </w:p>
        </w:tc>
        <w:tc>
          <w:tcPr>
            <w:tcW w:w="3238" w:type="dxa"/>
            <w:vAlign w:val="center"/>
          </w:tcPr>
          <w:p w14:paraId="40A61231">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29.9</w:t>
            </w:r>
          </w:p>
        </w:tc>
        <w:tc>
          <w:tcPr>
            <w:tcW w:w="1939" w:type="dxa"/>
            <w:tcMar>
              <w:top w:w="16" w:type="dxa"/>
              <w:left w:w="16" w:type="dxa"/>
              <w:right w:w="16" w:type="dxa"/>
            </w:tcMar>
            <w:vAlign w:val="center"/>
          </w:tcPr>
          <w:p w14:paraId="1E9FEEA3">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施工工期</w:t>
            </w:r>
          </w:p>
        </w:tc>
        <w:tc>
          <w:tcPr>
            <w:tcW w:w="2642" w:type="dxa"/>
            <w:vAlign w:val="center"/>
          </w:tcPr>
          <w:p w14:paraId="2E4B4B82">
            <w:pPr>
              <w:adjustRightInd w:val="0"/>
              <w:snapToGrid w:val="0"/>
              <w:jc w:val="center"/>
              <w:rPr>
                <w:rFonts w:hint="default" w:ascii="Times New Roman" w:hAnsi="Times New Roman" w:eastAsia="宋体" w:cs="Times New Roman"/>
                <w:color w:val="000000" w:themeColor="text1"/>
                <w:szCs w:val="21"/>
                <w:highlight w:val="none"/>
                <w:lang w:val="en-US"/>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6个月</w:t>
            </w:r>
          </w:p>
        </w:tc>
      </w:tr>
      <w:tr w14:paraId="1A5C29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031" w:type="dxa"/>
            <w:tcMar>
              <w:top w:w="16" w:type="dxa"/>
              <w:left w:w="16" w:type="dxa"/>
              <w:right w:w="16" w:type="dxa"/>
            </w:tcMar>
            <w:vAlign w:val="center"/>
          </w:tcPr>
          <w:p w14:paraId="6B426B0A">
            <w:pPr>
              <w:adjustRightInd w:val="0"/>
              <w:snapToGrid w:val="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是否开工建设</w:t>
            </w:r>
          </w:p>
        </w:tc>
        <w:tc>
          <w:tcPr>
            <w:tcW w:w="7819" w:type="dxa"/>
            <w:gridSpan w:val="3"/>
            <w:vAlign w:val="center"/>
          </w:tcPr>
          <w:p w14:paraId="67497697">
            <w:pPr>
              <w:adjustRightInd w:val="0"/>
              <w:snapToGrid w:val="0"/>
              <w:ind w:firstLine="105"/>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☑否</w:t>
            </w:r>
          </w:p>
          <w:p w14:paraId="61D5413D">
            <w:pPr>
              <w:adjustRightInd w:val="0"/>
              <w:snapToGrid w:val="0"/>
              <w:ind w:firstLine="92"/>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□是：</w:t>
            </w:r>
          </w:p>
        </w:tc>
      </w:tr>
      <w:tr w14:paraId="0D03E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0" w:hRule="atLeast"/>
        </w:trPr>
        <w:tc>
          <w:tcPr>
            <w:tcW w:w="1031" w:type="dxa"/>
            <w:tcMar>
              <w:top w:w="16" w:type="dxa"/>
              <w:left w:w="16" w:type="dxa"/>
              <w:right w:w="16" w:type="dxa"/>
            </w:tcMar>
            <w:vAlign w:val="center"/>
          </w:tcPr>
          <w:p w14:paraId="31C0942B">
            <w:pPr>
              <w:autoSpaceDE w:val="0"/>
              <w:autoSpaceDN w:val="0"/>
              <w:adjustRightInd w:val="0"/>
              <w:snapToGrid w:val="0"/>
              <w:jc w:val="center"/>
              <w:rPr>
                <w:rFonts w:hint="default" w:ascii="Times New Roman" w:hAnsi="Times New Roman" w:eastAsia="宋体" w:cs="Times New Roman"/>
                <w:b/>
                <w:color w:val="000000" w:themeColor="text1"/>
                <w:kern w:val="0"/>
                <w:szCs w:val="21"/>
                <w:highlight w:val="none"/>
                <w14:textFill>
                  <w14:solidFill>
                    <w14:schemeClr w14:val="tx1"/>
                  </w14:solidFill>
                </w14:textFill>
              </w:rPr>
            </w:pPr>
            <w:r>
              <w:rPr>
                <w:rFonts w:hint="default" w:ascii="Times New Roman" w:hAnsi="Times New Roman" w:eastAsia="宋体" w:cs="Times New Roman"/>
                <w:b/>
                <w:color w:val="000000" w:themeColor="text1"/>
                <w:kern w:val="0"/>
                <w:szCs w:val="21"/>
                <w:highlight w:val="none"/>
                <w14:textFill>
                  <w14:solidFill>
                    <w14:schemeClr w14:val="tx1"/>
                  </w14:solidFill>
                </w14:textFill>
              </w:rPr>
              <w:t>专项评价设置情况</w:t>
            </w:r>
          </w:p>
        </w:tc>
        <w:tc>
          <w:tcPr>
            <w:tcW w:w="7819" w:type="dxa"/>
            <w:gridSpan w:val="3"/>
            <w:tcMar>
              <w:top w:w="16" w:type="dxa"/>
              <w:left w:w="16" w:type="dxa"/>
              <w:right w:w="16" w:type="dxa"/>
            </w:tcMar>
            <w:vAlign w:val="center"/>
          </w:tcPr>
          <w:p w14:paraId="329480E9">
            <w:pPr>
              <w:autoSpaceDE w:val="0"/>
              <w:autoSpaceDN w:val="0"/>
              <w:adjustRightInd w:val="0"/>
              <w:snapToGrid w:val="0"/>
              <w:spacing w:line="360" w:lineRule="auto"/>
              <w:ind w:firstLine="480" w:firstLineChars="200"/>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本项目为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四级公路建设，公路选线位于西乌珠穆沁旗-水源养生态功能重要区</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设置生态专章；</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公路沿线200m范围内涉及分散牧户，为居住功能区，</w:t>
            </w:r>
            <w:r>
              <w:rPr>
                <w:rFonts w:hint="eastAsia" w:cs="Times New Roman"/>
                <w:color w:val="000000" w:themeColor="text1"/>
                <w:sz w:val="24"/>
                <w:highlight w:val="none"/>
                <w:lang w:val="en-US" w:eastAsia="zh-CN"/>
                <w14:textFill>
                  <w14:solidFill>
                    <w14:schemeClr w14:val="tx1"/>
                  </w14:solidFill>
                </w14:textFill>
              </w:rPr>
              <w:t>设置声环境评价专章。</w:t>
            </w:r>
          </w:p>
        </w:tc>
      </w:tr>
      <w:tr w14:paraId="5226A1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2" w:hRule="atLeast"/>
        </w:trPr>
        <w:tc>
          <w:tcPr>
            <w:tcW w:w="1031" w:type="dxa"/>
            <w:tcMar>
              <w:top w:w="16" w:type="dxa"/>
              <w:left w:w="16" w:type="dxa"/>
              <w:right w:w="16" w:type="dxa"/>
            </w:tcMar>
            <w:vAlign w:val="center"/>
          </w:tcPr>
          <w:p w14:paraId="0297BF8E">
            <w:pPr>
              <w:autoSpaceDE w:val="0"/>
              <w:autoSpaceDN w:val="0"/>
              <w:adjustRightInd w:val="0"/>
              <w:snapToGrid w:val="0"/>
              <w:jc w:val="center"/>
              <w:rPr>
                <w:rFonts w:hint="default" w:ascii="Times New Roman" w:hAnsi="Times New Roman" w:eastAsia="宋体" w:cs="Times New Roman"/>
                <w:b/>
                <w:color w:val="000000" w:themeColor="text1"/>
                <w:kern w:val="0"/>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规划情况</w:t>
            </w:r>
          </w:p>
        </w:tc>
        <w:tc>
          <w:tcPr>
            <w:tcW w:w="7819" w:type="dxa"/>
            <w:gridSpan w:val="3"/>
            <w:tcMar>
              <w:top w:w="16" w:type="dxa"/>
              <w:left w:w="16" w:type="dxa"/>
              <w:right w:w="16" w:type="dxa"/>
            </w:tcMar>
            <w:vAlign w:val="center"/>
          </w:tcPr>
          <w:p w14:paraId="05A9EF8C">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无</w:t>
            </w:r>
          </w:p>
        </w:tc>
      </w:tr>
      <w:tr w14:paraId="4010D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3" w:hRule="atLeast"/>
        </w:trPr>
        <w:tc>
          <w:tcPr>
            <w:tcW w:w="1031" w:type="dxa"/>
            <w:tcMar>
              <w:top w:w="16" w:type="dxa"/>
              <w:left w:w="16" w:type="dxa"/>
              <w:right w:w="16" w:type="dxa"/>
            </w:tcMar>
            <w:vAlign w:val="center"/>
          </w:tcPr>
          <w:p w14:paraId="4790D229">
            <w:pPr>
              <w:autoSpaceDE w:val="0"/>
              <w:autoSpaceDN w:val="0"/>
              <w:adjustRightInd w:val="0"/>
              <w:snapToGrid w:val="0"/>
              <w:jc w:val="center"/>
              <w:rPr>
                <w:rFonts w:hint="default" w:ascii="Times New Roman" w:hAnsi="Times New Roman" w:eastAsia="宋体" w:cs="Times New Roman"/>
                <w:b/>
                <w:color w:val="000000" w:themeColor="text1"/>
                <w:kern w:val="0"/>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规划环境影响评价情况</w:t>
            </w:r>
          </w:p>
        </w:tc>
        <w:tc>
          <w:tcPr>
            <w:tcW w:w="7819" w:type="dxa"/>
            <w:gridSpan w:val="3"/>
            <w:tcMar>
              <w:top w:w="16" w:type="dxa"/>
              <w:left w:w="16" w:type="dxa"/>
              <w:right w:w="16" w:type="dxa"/>
            </w:tcMar>
            <w:vAlign w:val="center"/>
          </w:tcPr>
          <w:p w14:paraId="11096EE0">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无</w:t>
            </w:r>
          </w:p>
        </w:tc>
      </w:tr>
      <w:tr w14:paraId="464873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31" w:type="dxa"/>
            <w:tcMar>
              <w:top w:w="16" w:type="dxa"/>
              <w:left w:w="16" w:type="dxa"/>
              <w:right w:w="16" w:type="dxa"/>
            </w:tcMar>
            <w:vAlign w:val="center"/>
          </w:tcPr>
          <w:p w14:paraId="214E9972">
            <w:pPr>
              <w:autoSpaceDE w:val="0"/>
              <w:autoSpaceDN w:val="0"/>
              <w:adjustRightInd w:val="0"/>
              <w:snapToGrid w:val="0"/>
              <w:jc w:val="center"/>
              <w:rPr>
                <w:rFonts w:hint="default" w:ascii="Times New Roman" w:hAnsi="Times New Roman" w:eastAsia="宋体" w:cs="Times New Roman"/>
                <w:b/>
                <w:color w:val="000000" w:themeColor="text1"/>
                <w:kern w:val="0"/>
                <w:szCs w:val="21"/>
                <w:highlight w:val="none"/>
                <w14:textFill>
                  <w14:solidFill>
                    <w14:schemeClr w14:val="tx1"/>
                  </w14:solidFill>
                </w14:textFill>
              </w:rPr>
            </w:pPr>
            <w:r>
              <w:rPr>
                <w:rFonts w:hint="default" w:ascii="Times New Roman" w:hAnsi="Times New Roman" w:eastAsia="宋体" w:cs="Times New Roman"/>
                <w:b/>
                <w:color w:val="000000" w:themeColor="text1"/>
                <w:kern w:val="0"/>
                <w:szCs w:val="21"/>
                <w:highlight w:val="none"/>
                <w14:textFill>
                  <w14:solidFill>
                    <w14:schemeClr w14:val="tx1"/>
                  </w14:solidFill>
                </w14:textFill>
              </w:rPr>
              <w:t>规划及</w:t>
            </w:r>
            <w:r>
              <w:rPr>
                <w:rFonts w:hint="default" w:ascii="Times New Roman" w:hAnsi="Times New Roman" w:eastAsia="宋体" w:cs="Times New Roman"/>
                <w:b/>
                <w:color w:val="000000" w:themeColor="text1"/>
                <w:szCs w:val="21"/>
                <w:highlight w:val="none"/>
                <w14:textFill>
                  <w14:solidFill>
                    <w14:schemeClr w14:val="tx1"/>
                  </w14:solidFill>
                </w14:textFill>
              </w:rPr>
              <w:t>规划环境影响评价</w:t>
            </w:r>
            <w:r>
              <w:rPr>
                <w:rFonts w:hint="default" w:ascii="Times New Roman" w:hAnsi="Times New Roman" w:eastAsia="宋体" w:cs="Times New Roman"/>
                <w:b/>
                <w:color w:val="000000" w:themeColor="text1"/>
                <w:kern w:val="0"/>
                <w:szCs w:val="21"/>
                <w:highlight w:val="none"/>
                <w14:textFill>
                  <w14:solidFill>
                    <w14:schemeClr w14:val="tx1"/>
                  </w14:solidFill>
                </w14:textFill>
              </w:rPr>
              <w:t>符合性分析</w:t>
            </w:r>
          </w:p>
        </w:tc>
        <w:tc>
          <w:tcPr>
            <w:tcW w:w="7819" w:type="dxa"/>
            <w:gridSpan w:val="3"/>
            <w:tcMar>
              <w:top w:w="16" w:type="dxa"/>
              <w:left w:w="16" w:type="dxa"/>
              <w:right w:w="16" w:type="dxa"/>
            </w:tcMar>
            <w:vAlign w:val="center"/>
          </w:tcPr>
          <w:p w14:paraId="3C5FFCBB">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无</w:t>
            </w:r>
          </w:p>
        </w:tc>
      </w:tr>
      <w:tr w14:paraId="64C10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1031" w:type="dxa"/>
            <w:tcMar>
              <w:top w:w="16" w:type="dxa"/>
              <w:left w:w="16" w:type="dxa"/>
              <w:right w:w="16" w:type="dxa"/>
            </w:tcMar>
            <w:vAlign w:val="center"/>
          </w:tcPr>
          <w:p w14:paraId="6D2EFFFF">
            <w:pPr>
              <w:autoSpaceDE w:val="0"/>
              <w:autoSpaceDN w:val="0"/>
              <w:adjustRightInd w:val="0"/>
              <w:snapToGrid w:val="0"/>
              <w:jc w:val="center"/>
              <w:rPr>
                <w:rFonts w:hint="default" w:ascii="Times New Roman" w:hAnsi="Times New Roman" w:eastAsia="宋体" w:cs="Times New Roman"/>
                <w:b/>
                <w:color w:val="000000" w:themeColor="text1"/>
                <w:kern w:val="0"/>
                <w:szCs w:val="21"/>
                <w:highlight w:val="none"/>
                <w14:textFill>
                  <w14:solidFill>
                    <w14:schemeClr w14:val="tx1"/>
                  </w14:solidFill>
                </w14:textFill>
              </w:rPr>
            </w:pPr>
            <w:bookmarkStart w:id="1" w:name="_Hlk56690880"/>
            <w:r>
              <w:rPr>
                <w:rFonts w:hint="default" w:ascii="Times New Roman" w:hAnsi="Times New Roman" w:eastAsia="宋体" w:cs="Times New Roman"/>
                <w:b/>
                <w:color w:val="000000" w:themeColor="text1"/>
                <w:kern w:val="0"/>
                <w:szCs w:val="21"/>
                <w:highlight w:val="none"/>
                <w14:textFill>
                  <w14:solidFill>
                    <w14:schemeClr w14:val="tx1"/>
                  </w14:solidFill>
                </w14:textFill>
              </w:rPr>
              <w:t>其他符合性分析</w:t>
            </w:r>
            <w:bookmarkEnd w:id="1"/>
          </w:p>
        </w:tc>
        <w:tc>
          <w:tcPr>
            <w:tcW w:w="7819" w:type="dxa"/>
            <w:gridSpan w:val="3"/>
            <w:tcMar>
              <w:top w:w="16" w:type="dxa"/>
              <w:left w:w="16" w:type="dxa"/>
              <w:right w:w="16" w:type="dxa"/>
            </w:tcMar>
            <w:vAlign w:val="center"/>
          </w:tcPr>
          <w:p w14:paraId="5D5E65DD">
            <w:pPr>
              <w:autoSpaceDE w:val="0"/>
              <w:autoSpaceDN w:val="0"/>
              <w:adjustRightInd w:val="0"/>
              <w:snapToGrid w:val="0"/>
              <w:spacing w:line="360" w:lineRule="auto"/>
              <w:ind w:firstLine="420" w:firstLineChars="200"/>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本项目为乌珠穆沁白牛核心育种场创建和认定进场道路，根据《产业结构调整指导目录》(2024年本)，本项目属于《产业结构调整指导目录》(2024年本)中</w:t>
            </w:r>
            <w:r>
              <w:rPr>
                <w:rFonts w:hint="eastAsia"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Cs w:val="21"/>
                <w:highlight w:val="none"/>
                <w14:textFill>
                  <w14:solidFill>
                    <w14:schemeClr w14:val="tx1"/>
                  </w14:solidFill>
                </w14:textFill>
              </w:rPr>
              <w:t>鼓励类</w:t>
            </w:r>
            <w:r>
              <w:rPr>
                <w:rFonts w:hint="eastAsia"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Cs w:val="21"/>
                <w:highlight w:val="none"/>
                <w14:textFill>
                  <w14:solidFill>
                    <w14:schemeClr w14:val="tx1"/>
                  </w14:solidFill>
                </w14:textFill>
              </w:rPr>
              <w:t>中第二十四项</w:t>
            </w:r>
            <w:r>
              <w:rPr>
                <w:rFonts w:hint="eastAsia"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Cs w:val="21"/>
                <w:highlight w:val="none"/>
                <w14:textFill>
                  <w14:solidFill>
                    <w14:schemeClr w14:val="tx1"/>
                  </w14:solidFill>
                </w14:textFill>
              </w:rPr>
              <w:t>公路及道路运输</w:t>
            </w:r>
            <w:r>
              <w:rPr>
                <w:rFonts w:hint="eastAsia"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Cs w:val="21"/>
                <w:highlight w:val="none"/>
                <w14:textFill>
                  <w14:solidFill>
                    <w14:schemeClr w14:val="tx1"/>
                  </w14:solidFill>
                </w14:textFill>
              </w:rPr>
              <w:t>中第2款</w:t>
            </w:r>
            <w:r>
              <w:rPr>
                <w:rFonts w:hint="eastAsia"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Cs w:val="21"/>
                <w:highlight w:val="none"/>
                <w14:textFill>
                  <w14:solidFill>
                    <w14:schemeClr w14:val="tx1"/>
                  </w14:solidFill>
                </w14:textFill>
              </w:rPr>
              <w:t>公路智能运输系统开发：快速客货运输、公路甩挂运输系统开发与建设，公路集装箱和厢式运输，农村公路和客货运输网络开发与建设，出租汽车服务调度信息系统开发与建设</w:t>
            </w:r>
            <w:r>
              <w:rPr>
                <w:rFonts w:hint="eastAsia"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Cs w:val="21"/>
                <w:highlight w:val="none"/>
                <w14:textFill>
                  <w14:solidFill>
                    <w14:schemeClr w14:val="tx1"/>
                  </w14:solidFill>
                </w14:textFill>
              </w:rPr>
              <w:t>。</w:t>
            </w:r>
          </w:p>
          <w:p w14:paraId="73E7A0CB">
            <w:pPr>
              <w:autoSpaceDE w:val="0"/>
              <w:autoSpaceDN w:val="0"/>
              <w:adjustRightInd w:val="0"/>
              <w:snapToGrid w:val="0"/>
              <w:spacing w:line="360" w:lineRule="auto"/>
              <w:ind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同时，项目于2024年</w:t>
            </w:r>
            <w:r>
              <w:rPr>
                <w:rFonts w:hint="eastAsia" w:cs="Times New Roman"/>
                <w:color w:val="000000" w:themeColor="text1"/>
                <w:kern w:val="0"/>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Cs w:val="21"/>
                <w:highlight w:val="none"/>
                <w14:textFill>
                  <w14:solidFill>
                    <w14:schemeClr w14:val="tx1"/>
                  </w14:solidFill>
                </w14:textFill>
              </w:rPr>
              <w:t>月2</w:t>
            </w:r>
            <w:r>
              <w:rPr>
                <w:rFonts w:hint="eastAsia" w:cs="Times New Roman"/>
                <w:color w:val="000000" w:themeColor="text1"/>
                <w:kern w:val="0"/>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Cs w:val="21"/>
                <w:highlight w:val="none"/>
                <w14:textFill>
                  <w14:solidFill>
                    <w14:schemeClr w14:val="tx1"/>
                  </w14:solidFill>
                </w14:textFill>
              </w:rPr>
              <w:t>日获</w:t>
            </w:r>
            <w:r>
              <w:rPr>
                <w:rFonts w:hint="eastAsia" w:cs="宋体"/>
                <w:color w:val="000000" w:themeColor="text1"/>
                <w:szCs w:val="21"/>
                <w:highlight w:val="none"/>
                <w14:textFill>
                  <w14:solidFill>
                    <w14:schemeClr w14:val="tx1"/>
                  </w14:solidFill>
                </w14:textFill>
              </w:rPr>
              <w:t>锡林郭勒盟发展和改革委员会</w:t>
            </w:r>
            <w:r>
              <w:rPr>
                <w:rFonts w:hint="default" w:ascii="Times New Roman" w:hAnsi="Times New Roman" w:eastAsia="宋体" w:cs="Times New Roman"/>
                <w:color w:val="000000" w:themeColor="text1"/>
                <w:kern w:val="0"/>
                <w:szCs w:val="21"/>
                <w:highlight w:val="none"/>
                <w14:textFill>
                  <w14:solidFill>
                    <w14:schemeClr w14:val="tx1"/>
                  </w14:solidFill>
                </w14:textFill>
              </w:rPr>
              <w:t>《</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关于调整西乌珠穆沁旗 20⒛ 年度草原畜牧业转型升级试点项目建设内容等事项的批复</w:t>
            </w:r>
            <w:r>
              <w:rPr>
                <w:rFonts w:hint="default" w:ascii="Times New Roman" w:hAnsi="Times New Roman" w:eastAsia="宋体" w:cs="Times New Roman"/>
                <w:color w:val="000000" w:themeColor="text1"/>
                <w:kern w:val="0"/>
                <w:szCs w:val="21"/>
                <w:highlight w:val="none"/>
                <w14:textFill>
                  <w14:solidFill>
                    <w14:schemeClr w14:val="tx1"/>
                  </w14:solidFill>
                </w14:textFill>
              </w:rPr>
              <w:t>》，</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锡发改批字 (⒛24)9号</w:t>
            </w:r>
            <w:r>
              <w:rPr>
                <w:rFonts w:hint="default" w:ascii="Times New Roman" w:hAnsi="Times New Roman" w:eastAsia="宋体" w:cs="Times New Roman"/>
                <w:color w:val="000000" w:themeColor="text1"/>
                <w:szCs w:val="21"/>
                <w:highlight w:val="none"/>
                <w14:textFill>
                  <w14:solidFill>
                    <w14:schemeClr w14:val="tx1"/>
                  </w14:solidFill>
                </w14:textFill>
              </w:rPr>
              <w:t>（见附件2）。</w:t>
            </w:r>
          </w:p>
          <w:p w14:paraId="62BDCAE3">
            <w:pPr>
              <w:autoSpaceDE w:val="0"/>
              <w:autoSpaceDN w:val="0"/>
              <w:adjustRightInd w:val="0"/>
              <w:snapToGrid w:val="0"/>
              <w:spacing w:line="360" w:lineRule="auto"/>
              <w:ind w:firstLine="420" w:firstLineChars="200"/>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综上所述</w:t>
            </w:r>
            <w:r>
              <w:rPr>
                <w:rFonts w:hint="default" w:ascii="Times New Roman" w:hAnsi="Times New Roman" w:eastAsia="宋体" w:cs="Times New Roman"/>
                <w:color w:val="000000" w:themeColor="text1"/>
                <w:szCs w:val="21"/>
                <w:highlight w:val="none"/>
                <w14:textFill>
                  <w14:solidFill>
                    <w14:schemeClr w14:val="tx1"/>
                  </w14:solidFill>
                </w14:textFill>
              </w:rPr>
              <w:t>，项目的建设符合国家及地方的产业政策。</w:t>
            </w:r>
          </w:p>
          <w:p w14:paraId="701C95C4">
            <w:pPr>
              <w:autoSpaceDE w:val="0"/>
              <w:autoSpaceDN w:val="0"/>
              <w:adjustRightInd w:val="0"/>
              <w:snapToGrid w:val="0"/>
              <w:spacing w:line="360" w:lineRule="auto"/>
              <w:ind w:firstLine="422" w:firstLineChars="200"/>
              <w:rPr>
                <w:rFonts w:hint="default" w:ascii="Times New Roman" w:hAnsi="Times New Roman" w:eastAsia="宋体" w:cs="Times New Roman"/>
                <w:b/>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14:textFill>
                  <w14:solidFill>
                    <w14:schemeClr w14:val="tx1"/>
                  </w14:solidFill>
                </w14:textFill>
              </w:rPr>
              <w:t>（一）</w:t>
            </w:r>
            <w:r>
              <w:rPr>
                <w:rFonts w:hint="eastAsia" w:cs="Times New Roman"/>
                <w:b/>
                <w:bCs/>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kern w:val="0"/>
                <w:szCs w:val="21"/>
                <w:highlight w:val="none"/>
                <w14:textFill>
                  <w14:solidFill>
                    <w14:schemeClr w14:val="tx1"/>
                  </w14:solidFill>
                </w14:textFill>
              </w:rPr>
              <w:t>三线一单</w:t>
            </w:r>
            <w:r>
              <w:rPr>
                <w:rFonts w:hint="eastAsia" w:cs="Times New Roman"/>
                <w:b/>
                <w:bCs/>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kern w:val="0"/>
                <w:szCs w:val="21"/>
                <w:highlight w:val="none"/>
                <w14:textFill>
                  <w14:solidFill>
                    <w14:schemeClr w14:val="tx1"/>
                  </w14:solidFill>
                </w14:textFill>
              </w:rPr>
              <w:t>符合性分析</w:t>
            </w:r>
          </w:p>
          <w:p w14:paraId="134D9254">
            <w:pPr>
              <w:autoSpaceDE w:val="0"/>
              <w:autoSpaceDN w:val="0"/>
              <w:adjustRightInd w:val="0"/>
              <w:snapToGrid w:val="0"/>
              <w:spacing w:line="360" w:lineRule="auto"/>
              <w:ind w:firstLine="420" w:firstLineChars="200"/>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根据</w:t>
            </w:r>
            <w:r>
              <w:rPr>
                <w:rFonts w:hint="default" w:ascii="Times New Roman" w:hAnsi="Times New Roman" w:eastAsia="宋体" w:cs="Times New Roman"/>
                <w:color w:val="000000" w:themeColor="text1"/>
                <w:szCs w:val="21"/>
                <w:highlight w:val="none"/>
                <w14:textFill>
                  <w14:solidFill>
                    <w14:schemeClr w14:val="tx1"/>
                  </w14:solidFill>
                </w14:textFill>
              </w:rPr>
              <w:t>《锡林郭勒盟生态环境保护委员会关于实施</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三线一单</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生态环境分区管控的意见》修改单（2023年版）</w:t>
            </w:r>
            <w:r>
              <w:rPr>
                <w:rFonts w:hint="default" w:ascii="Times New Roman" w:hAnsi="Times New Roman" w:eastAsia="宋体" w:cs="Times New Roman"/>
                <w:color w:val="000000" w:themeColor="text1"/>
                <w:kern w:val="0"/>
                <w:szCs w:val="21"/>
                <w:highlight w:val="none"/>
                <w14:textFill>
                  <w14:solidFill>
                    <w14:schemeClr w14:val="tx1"/>
                  </w14:solidFill>
                </w14:textFill>
              </w:rPr>
              <w:t>，全盟共划分环境管控单元154个，包括优先保护单元、重点管控单元、一般管控单元三类，实施分类管控。</w:t>
            </w:r>
          </w:p>
          <w:p w14:paraId="17E1B314">
            <w:pPr>
              <w:widowControl/>
              <w:spacing w:line="360" w:lineRule="auto"/>
              <w:ind w:firstLine="422" w:firstLineChars="200"/>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t xml:space="preserve">（1）生态保护红线 </w:t>
            </w:r>
          </w:p>
          <w:p w14:paraId="00887E65">
            <w:pPr>
              <w:widowControl/>
              <w:spacing w:line="360" w:lineRule="auto"/>
              <w:ind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根据《锡林郭勒盟生态环境保护委员会关于实施</w:t>
            </w:r>
            <w:r>
              <w:rPr>
                <w:rFonts w:hint="eastAsia" w:cs="Times New Roman"/>
                <w:color w:val="000000" w:themeColor="text1"/>
                <w:kern w:val="0"/>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三线一单</w:t>
            </w:r>
            <w:r>
              <w:rPr>
                <w:rFonts w:hint="eastAsia" w:cs="Times New Roman"/>
                <w:color w:val="000000" w:themeColor="text1"/>
                <w:kern w:val="0"/>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生态环境分区管控的意见》修改单（2023年版），锡林郭勒盟生态保护红线划定面积130035.53km</w:t>
            </w:r>
            <w:r>
              <w:rPr>
                <w:rFonts w:hint="default" w:ascii="Times New Roman" w:hAnsi="Times New Roman" w:eastAsia="宋体" w:cs="Times New Roman"/>
                <w:color w:val="000000" w:themeColor="text1"/>
                <w:kern w:val="0"/>
                <w:szCs w:val="21"/>
                <w:highlight w:val="none"/>
                <w:vertAlign w:val="superscript"/>
                <w:lang w:bidi="ar"/>
                <w14:textFill>
                  <w14:solidFill>
                    <w14:schemeClr w14:val="tx1"/>
                  </w14:solidFill>
                </w14:textFill>
              </w:rPr>
              <w:t>2</w:t>
            </w: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，占全盟总面积的64.18%。</w:t>
            </w:r>
          </w:p>
          <w:p w14:paraId="7ED79A2D">
            <w:pPr>
              <w:widowControl/>
              <w:spacing w:line="360" w:lineRule="auto"/>
              <w:ind w:firstLine="420" w:firstLineChars="200"/>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根据西乌珠穆沁旗自然资源局</w:t>
            </w: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关于内蒙古锡林郭勒盟西乌珠穆沁旗乌日吉勒(G306)至白牛场新建公路工程项目符合生态保护红线内允许有限人为活动的认定意见》，项目评价范围内无饮用水水源地、自然保护区、风景名胜区等特殊环境敏感区，不涉及重要生态功能区、生态敏感脆弱区、禁止开发区域以及其他各类保护地，不在上述</w:t>
            </w:r>
            <w:r>
              <w:rPr>
                <w:rFonts w:hint="eastAsia" w:cs="Times New Roman"/>
                <w:color w:val="000000" w:themeColor="text1"/>
                <w:kern w:val="0"/>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五区、九带、多点</w:t>
            </w:r>
            <w:r>
              <w:rPr>
                <w:rFonts w:hint="eastAsia" w:cs="Times New Roman"/>
                <w:color w:val="000000" w:themeColor="text1"/>
                <w:kern w:val="0"/>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的生态安全格局范围内，对照</w:t>
            </w:r>
            <w:r>
              <w:rPr>
                <w:rFonts w:hint="eastAsia" w:cs="Times New Roman"/>
                <w:color w:val="000000" w:themeColor="text1"/>
                <w:kern w:val="0"/>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锡林郭勒盟生态保护红线分布图</w:t>
            </w:r>
            <w:r>
              <w:rPr>
                <w:rFonts w:hint="eastAsia" w:cs="Times New Roman"/>
                <w:color w:val="000000" w:themeColor="text1"/>
                <w:kern w:val="0"/>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，本项目所在位置在生态保护红线</w:t>
            </w:r>
            <w:r>
              <w:rPr>
                <w:rFonts w:hint="eastAsia" w:cs="Times New Roman"/>
                <w:color w:val="000000" w:themeColor="text1"/>
                <w:kern w:val="0"/>
                <w:szCs w:val="21"/>
                <w:highlight w:val="none"/>
                <w:lang w:eastAsia="zh-CN" w:bidi="ar"/>
                <w14:textFill>
                  <w14:solidFill>
                    <w14:schemeClr w14:val="tx1"/>
                  </w14:solidFill>
                </w14:textFill>
              </w:rPr>
              <w:t>——</w:t>
            </w:r>
            <w:r>
              <w:rPr>
                <w:rFonts w:hint="eastAsia" w:cs="Times New Roman"/>
                <w:color w:val="000000" w:themeColor="text1"/>
                <w:kern w:val="0"/>
                <w:szCs w:val="21"/>
                <w:highlight w:val="none"/>
                <w:lang w:val="en-US" w:eastAsia="zh-CN" w:bidi="ar"/>
                <w14:textFill>
                  <w14:solidFill>
                    <w14:schemeClr w14:val="tx1"/>
                  </w14:solidFill>
                </w14:textFill>
              </w:rPr>
              <w:t>西乌珠穆沁旗-生物多样性维护生态功能重要区</w:t>
            </w: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范围内。</w:t>
            </w:r>
          </w:p>
          <w:p w14:paraId="18E5DA62">
            <w:pPr>
              <w:widowControl/>
              <w:spacing w:line="360" w:lineRule="auto"/>
              <w:ind w:firstLine="420" w:firstLineChars="200"/>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根据《关于内蒙古锡林郭勒盟西乌珠穆沁旗乌日吉勒(G306)至白牛场新建公路工程项目符合生态保护红线内允许有限人为活动的认定意见》，目选址选线位于锡林郭勒盟西乌珠穆沁旗境内，已纳入《锡林郭勒盟西乌珠穆沁旗国土空间规划(2021-2035年)》,线路最优性原因无法避让生态保护红线23.0392公顷，不涉及自然保护区和饮用水源一级保护区，不涉及新增建设用地，</w:t>
            </w:r>
            <w:r>
              <w:rPr>
                <w:rFonts w:hint="eastAsia" w:cs="Times New Roman"/>
                <w:color w:val="000000" w:themeColor="text1"/>
                <w:kern w:val="0"/>
                <w:szCs w:val="21"/>
                <w:highlight w:val="none"/>
                <w:lang w:val="en-US" w:eastAsia="zh-CN" w:bidi="ar"/>
                <w14:textFill>
                  <w14:solidFill>
                    <w14:schemeClr w14:val="tx1"/>
                  </w14:solidFill>
                </w14:textFill>
              </w:rPr>
              <w:t>项目为认定道路的支线，</w:t>
            </w: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符合《内蒙古自治区人民政府办公厅关于加强生态保护红线管理的实施意见(试行)》(内政办发〔2023〕74号)中“必须且无法避让、符合旗县级以上国土空间规划的线性基础设施、通讯和防洪、供水设施建设和船舶航行、航道疏浚清淤等活动；已有的合法水利、交通运输等设施运行维护改造。”的规定。</w:t>
            </w:r>
          </w:p>
          <w:p w14:paraId="6036952D">
            <w:pPr>
              <w:widowControl/>
              <w:spacing w:line="360" w:lineRule="auto"/>
              <w:ind w:firstLine="420" w:firstLineChars="200"/>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本项目与生态保护红线的位置关系见下图。</w:t>
            </w:r>
          </w:p>
          <w:p w14:paraId="5CD2B0C4">
            <w:pPr>
              <w:widowControl/>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2683510</wp:posOffset>
                      </wp:positionH>
                      <wp:positionV relativeFrom="paragraph">
                        <wp:posOffset>1484630</wp:posOffset>
                      </wp:positionV>
                      <wp:extent cx="705485" cy="254000"/>
                      <wp:effectExtent l="0" t="0" r="18415" b="203200"/>
                      <wp:wrapNone/>
                      <wp:docPr id="108" name="矩形标注 32"/>
                      <wp:cNvGraphicFramePr/>
                      <a:graphic xmlns:a="http://schemas.openxmlformats.org/drawingml/2006/main">
                        <a:graphicData uri="http://schemas.microsoft.com/office/word/2010/wordprocessingShape">
                          <wps:wsp>
                            <wps:cNvSpPr/>
                            <wps:spPr>
                              <a:xfrm>
                                <a:off x="0" y="0"/>
                                <a:ext cx="705485" cy="254000"/>
                              </a:xfrm>
                              <a:prstGeom prst="wedgeRectCallout">
                                <a:avLst>
                                  <a:gd name="adj1" fmla="val -25731"/>
                                  <a:gd name="adj2" fmla="val 125000"/>
                                </a:avLst>
                              </a:prstGeom>
                              <a:solidFill>
                                <a:srgbClr val="4F81BD"/>
                              </a:solidFill>
                              <a:ln w="25400" cap="flat" cmpd="sng" algn="ctr">
                                <a:solidFill>
                                  <a:srgbClr val="376092">
                                    <a:lumMod val="75000"/>
                                  </a:srgbClr>
                                </a:solidFill>
                                <a:prstDash val="solid"/>
                              </a:ln>
                            </wps:spPr>
                            <wps:txbx>
                              <w:txbxContent>
                                <w:p w14:paraId="4F2FA8AE">
                                  <w:pPr>
                                    <w:rPr>
                                      <w:sz w:val="18"/>
                                      <w:szCs w:val="18"/>
                                    </w:rPr>
                                  </w:pPr>
                                  <w:r>
                                    <w:rPr>
                                      <w:rFonts w:hint="eastAsia"/>
                                      <w:b/>
                                      <w:bCs/>
                                      <w:sz w:val="18"/>
                                      <w:szCs w:val="18"/>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2" o:spid="_x0000_s1026" o:spt="61" type="#_x0000_t61" style="position:absolute;left:0pt;margin-left:211.3pt;margin-top:116.9pt;height:20pt;width:55.55pt;z-index:251659264;v-text-anchor:middle;mso-width-relative:page;mso-height-relative:page;" fillcolor="#4F81BD" filled="t" stroked="t" coordsize="21600,21600" o:gfxdata="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&#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jBWoG2AAAAAsBAAAPAAAAAAAAAAEAIAAAACIAAABk&#10;cnMvZG93bnJldi54bWxQSwECFAAUAAAACACHTuJAxsdMvbECAABxBQAADgAAAAAAAAABACAAAAAn&#10;AQAAZHJzL2Uyb0RvYy54bWxQSwUGAAAAAAYABgBZAQAASgYAAAAA&#10;" adj="5242,37800">
                      <v:fill on="t" focussize="0,0"/>
                      <v:stroke weight="2pt" color="#29486E" joinstyle="round"/>
                      <v:imagedata o:title=""/>
                      <o:lock v:ext="edit" aspectratio="f"/>
                      <v:textbox>
                        <w:txbxContent>
                          <w:p w14:paraId="4F2FA8AE">
                            <w:pPr>
                              <w:rPr>
                                <w:sz w:val="18"/>
                                <w:szCs w:val="18"/>
                              </w:rPr>
                            </w:pPr>
                            <w:r>
                              <w:rPr>
                                <w:rFonts w:hint="eastAsia"/>
                                <w:b/>
                                <w:bCs/>
                                <w:sz w:val="18"/>
                                <w:szCs w:val="18"/>
                              </w:rPr>
                              <w:t>项目位置</w:t>
                            </w:r>
                          </w:p>
                        </w:txbxContent>
                      </v:textbox>
                    </v:shape>
                  </w:pict>
                </mc:Fallback>
              </mc:AlternateContent>
            </w:r>
            <w:r>
              <w:rPr>
                <w:rFonts w:hint="default" w:ascii="Times New Roman" w:hAnsi="Times New Roman" w:eastAsia="宋体" w:cs="Times New Roman"/>
                <w:color w:val="000000" w:themeColor="text1"/>
                <w:szCs w:val="21"/>
                <w:highlight w:val="none"/>
                <w14:textFill>
                  <w14:solidFill>
                    <w14:schemeClr w14:val="tx1"/>
                  </w14:solidFill>
                </w14:textFill>
              </w:rPr>
              <w:drawing>
                <wp:inline distT="0" distB="0" distL="0" distR="0">
                  <wp:extent cx="4980305" cy="3551555"/>
                  <wp:effectExtent l="0" t="0" r="10795" b="444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80305" cy="3551555"/>
                          </a:xfrm>
                          <a:prstGeom prst="rect">
                            <a:avLst/>
                          </a:prstGeom>
                          <a:noFill/>
                          <a:ln>
                            <a:noFill/>
                          </a:ln>
                        </pic:spPr>
                      </pic:pic>
                    </a:graphicData>
                  </a:graphic>
                </wp:inline>
              </w:drawing>
            </w:r>
          </w:p>
          <w:p w14:paraId="33E5984D">
            <w:pPr>
              <w:pStyle w:val="36"/>
              <w:adjustRightInd w:val="0"/>
              <w:spacing w:line="360" w:lineRule="auto"/>
              <w:ind w:firstLine="361"/>
              <w:rPr>
                <w:rFonts w:hint="default" w:ascii="Times New Roman" w:hAnsi="Times New Roman" w:eastAsia="宋体" w:cs="Times New Roman"/>
                <w:snapToGrid w:val="0"/>
                <w:color w:val="000000" w:themeColor="text1"/>
                <w:szCs w:val="18"/>
                <w:highlight w:val="none"/>
                <w14:textFill>
                  <w14:solidFill>
                    <w14:schemeClr w14:val="tx1"/>
                  </w14:solidFill>
                </w14:textFill>
              </w:rPr>
            </w:pPr>
            <w:r>
              <w:rPr>
                <w:rFonts w:hint="default" w:ascii="Times New Roman" w:hAnsi="Times New Roman" w:eastAsia="宋体" w:cs="Times New Roman"/>
                <w:snapToGrid w:val="0"/>
                <w:color w:val="000000" w:themeColor="text1"/>
                <w:szCs w:val="18"/>
                <w:highlight w:val="none"/>
                <w14:textFill>
                  <w14:solidFill>
                    <w14:schemeClr w14:val="tx1"/>
                  </w14:solidFill>
                </w14:textFill>
              </w:rPr>
              <w:t>图1-1  锡林郭勒盟生态保护红线图</w:t>
            </w:r>
          </w:p>
          <w:p w14:paraId="75D26540">
            <w:pPr>
              <w:pStyle w:val="35"/>
              <w:ind w:firstLine="420"/>
              <w:jc w:val="left"/>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根据《内蒙古自治区人民政府办公厅关于加强生态保护红线管理的实施意见（试行）》（内政办发〔2023〕74号），生态保护红线内自然保护区、风景名胜区、饮用水水源保护区等区域，依照相关法律法规执行。生态保护红线内自然保护地核心保护区，原则上禁止人为活动。生态保护红线内自然保护地核心保护区外，禁止开发性、生产性建设活动，在符合法律法规的前提下，仅允许以下对生态功能不造成破坏的有限人为活动。……（六）必须且无法避让、符合旗县级以上国土空间规划的线性基础设施、通讯和防洪、供水设施建设和船舶航行、航道疏浚清淤等活动；已有的合法水利、交通运输等设施运行维护改造。</w:t>
            </w:r>
          </w:p>
          <w:p w14:paraId="3E7CD853">
            <w:pPr>
              <w:widowControl/>
              <w:spacing w:line="360" w:lineRule="auto"/>
              <w:ind w:firstLine="420" w:firstLineChars="200"/>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综上所述，项目建设与生态红线不违背。</w:t>
            </w:r>
          </w:p>
          <w:p w14:paraId="22E0606A">
            <w:pPr>
              <w:widowControl/>
              <w:numPr>
                <w:ilvl w:val="0"/>
                <w:numId w:val="2"/>
              </w:numPr>
              <w:spacing w:line="360" w:lineRule="auto"/>
              <w:jc w:val="left"/>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t>环境质量底线</w:t>
            </w:r>
          </w:p>
          <w:p w14:paraId="78324782">
            <w:pPr>
              <w:widowControl/>
              <w:numPr>
                <w:ilvl w:val="1"/>
                <w:numId w:val="2"/>
              </w:numPr>
              <w:spacing w:line="360" w:lineRule="auto"/>
              <w:jc w:val="left"/>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t>环境空气</w:t>
            </w:r>
          </w:p>
          <w:p w14:paraId="138F006A">
            <w:pPr>
              <w:widowControl/>
              <w:spacing w:line="360" w:lineRule="auto"/>
              <w:ind w:firstLine="420" w:firstLineChars="200"/>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根据《锡林郭勒盟生态环境保护委员会关于实施</w:t>
            </w:r>
            <w:r>
              <w:rPr>
                <w:rFonts w:hint="eastAsia"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三线一单</w:t>
            </w:r>
            <w:r>
              <w:rPr>
                <w:rFonts w:hint="eastAsia"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生态环境分区管控的意见》修改单（2023年版），本项目位于环境空气一般管控区。</w:t>
            </w:r>
          </w:p>
          <w:p w14:paraId="3BB05E94">
            <w:pPr>
              <w:widowControl/>
              <w:spacing w:line="360" w:lineRule="auto"/>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2748915</wp:posOffset>
                      </wp:positionH>
                      <wp:positionV relativeFrom="paragraph">
                        <wp:posOffset>1521460</wp:posOffset>
                      </wp:positionV>
                      <wp:extent cx="705485" cy="254000"/>
                      <wp:effectExtent l="0" t="0" r="18415" b="203200"/>
                      <wp:wrapNone/>
                      <wp:docPr id="107" name="矩形标注 32"/>
                      <wp:cNvGraphicFramePr/>
                      <a:graphic xmlns:a="http://schemas.openxmlformats.org/drawingml/2006/main">
                        <a:graphicData uri="http://schemas.microsoft.com/office/word/2010/wordprocessingShape">
                          <wps:wsp>
                            <wps:cNvSpPr/>
                            <wps:spPr>
                              <a:xfrm>
                                <a:off x="0" y="0"/>
                                <a:ext cx="705485" cy="254000"/>
                              </a:xfrm>
                              <a:prstGeom prst="wedgeRectCallout">
                                <a:avLst>
                                  <a:gd name="adj1" fmla="val -25731"/>
                                  <a:gd name="adj2" fmla="val 125000"/>
                                </a:avLst>
                              </a:prstGeom>
                              <a:solidFill>
                                <a:srgbClr val="4F81BD"/>
                              </a:solidFill>
                              <a:ln w="25400" cap="flat" cmpd="sng" algn="ctr">
                                <a:solidFill>
                                  <a:srgbClr val="376092">
                                    <a:lumMod val="75000"/>
                                  </a:srgbClr>
                                </a:solidFill>
                                <a:prstDash val="solid"/>
                              </a:ln>
                            </wps:spPr>
                            <wps:txbx>
                              <w:txbxContent>
                                <w:p w14:paraId="09917DB5">
                                  <w:pPr>
                                    <w:rPr>
                                      <w:sz w:val="18"/>
                                      <w:szCs w:val="18"/>
                                    </w:rPr>
                                  </w:pPr>
                                  <w:r>
                                    <w:rPr>
                                      <w:rFonts w:hint="eastAsia"/>
                                      <w:b/>
                                      <w:bCs/>
                                      <w:sz w:val="18"/>
                                      <w:szCs w:val="18"/>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2" o:spid="_x0000_s1026" o:spt="61" type="#_x0000_t61" style="position:absolute;left:0pt;margin-left:216.45pt;margin-top:119.8pt;height:20pt;width:55.55pt;z-index:251660288;v-text-anchor:middle;mso-width-relative:page;mso-height-relative:page;" fillcolor="#4F81BD" filled="t" stroked="t" coordsize="21600,21600" o:gfxdata="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7MOEjZAAAACwEAAA8AAAAAAAAAAQAgAAAAIgAA&#10;AGRycy9kb3ducmV2LnhtbFBLAQIUABQAAAAIAIdO4kDzf9tSsgIAAHEFAAAOAAAAAAAAAAEAIAAA&#10;ACgBAABkcnMvZTJvRG9jLnhtbFBLBQYAAAAABgAGAFkBAABMBgAAAAA=&#10;" adj="5242,37800">
                      <v:fill on="t" focussize="0,0"/>
                      <v:stroke weight="2pt" color="#29486E" joinstyle="round"/>
                      <v:imagedata o:title=""/>
                      <o:lock v:ext="edit" aspectratio="f"/>
                      <v:textbox>
                        <w:txbxContent>
                          <w:p w14:paraId="09917DB5">
                            <w:pPr>
                              <w:rPr>
                                <w:sz w:val="18"/>
                                <w:szCs w:val="18"/>
                              </w:rPr>
                            </w:pPr>
                            <w:r>
                              <w:rPr>
                                <w:rFonts w:hint="eastAsia"/>
                                <w:b/>
                                <w:bCs/>
                                <w:sz w:val="18"/>
                                <w:szCs w:val="18"/>
                              </w:rPr>
                              <w:t>项目位置</w:t>
                            </w:r>
                          </w:p>
                        </w:txbxContent>
                      </v:textbox>
                    </v:shape>
                  </w:pict>
                </mc:Fallback>
              </mc:AlternateContent>
            </w:r>
            <w:r>
              <w:rPr>
                <w:rFonts w:hint="default" w:ascii="Times New Roman" w:hAnsi="Times New Roman" w:eastAsia="宋体" w:cs="Times New Roman"/>
                <w:color w:val="000000" w:themeColor="text1"/>
                <w:szCs w:val="21"/>
                <w:highlight w:val="none"/>
                <w14:textFill>
                  <w14:solidFill>
                    <w14:schemeClr w14:val="tx1"/>
                  </w14:solidFill>
                </w14:textFill>
              </w:rPr>
              <w:drawing>
                <wp:inline distT="0" distB="0" distL="0" distR="0">
                  <wp:extent cx="5013325" cy="3533140"/>
                  <wp:effectExtent l="0" t="0" r="3175" b="1016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13325" cy="3533140"/>
                          </a:xfrm>
                          <a:prstGeom prst="rect">
                            <a:avLst/>
                          </a:prstGeom>
                          <a:noFill/>
                          <a:ln>
                            <a:noFill/>
                          </a:ln>
                        </pic:spPr>
                      </pic:pic>
                    </a:graphicData>
                  </a:graphic>
                </wp:inline>
              </w:drawing>
            </w:r>
          </w:p>
          <w:p w14:paraId="5EE55888">
            <w:pPr>
              <w:pStyle w:val="36"/>
              <w:adjustRightInd w:val="0"/>
              <w:spacing w:line="360" w:lineRule="auto"/>
              <w:ind w:firstLine="361"/>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图1-2  锡林郭勒盟环境空气分区管控图</w:t>
            </w:r>
          </w:p>
          <w:p w14:paraId="7AE501AB">
            <w:pPr>
              <w:widowControl/>
              <w:spacing w:line="360" w:lineRule="auto"/>
              <w:ind w:firstLine="420" w:firstLineChars="200"/>
              <w:jc w:val="left"/>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环境空气一般管控区管控要求：贯彻实施区域性大气污染物排放标准，深化重点行业污染治理，强力推进国家和自治区确定的各项产业结构调整措施，对现有涉废气排放工业企业加强监督管理和执法检查，定期开展清洁生产审核，严格执行国家、自治区、盟下达的相关大气污染防治要求，在满足产业准入、总量控制、排放标准等管理制度要求的前提下，逐步实行项目进园，集约高效发展。</w:t>
            </w:r>
          </w:p>
          <w:p w14:paraId="137C8D66">
            <w:pPr>
              <w:widowControl/>
              <w:spacing w:line="360" w:lineRule="auto"/>
              <w:ind w:firstLine="420" w:firstLineChars="200"/>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本项目主要进行公路建设项目，运行期间严格执行区域大气污染物排放标准，不会突破环境空气质量。</w:t>
            </w:r>
          </w:p>
          <w:p w14:paraId="46CA041A">
            <w:pPr>
              <w:widowControl/>
              <w:numPr>
                <w:ilvl w:val="1"/>
                <w:numId w:val="2"/>
              </w:numPr>
              <w:spacing w:line="360" w:lineRule="auto"/>
              <w:jc w:val="left"/>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t>水环境</w:t>
            </w:r>
          </w:p>
          <w:p w14:paraId="3372043C">
            <w:pPr>
              <w:pStyle w:val="55"/>
              <w:spacing w:line="360" w:lineRule="auto"/>
              <w:ind w:firstLine="436" w:firstLineChars="200"/>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对照</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《锡林郭勒盟</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三线一单</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生态环境分区管控方案》</w:t>
            </w: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中</w:t>
            </w:r>
            <w:r>
              <w:rPr>
                <w:rFonts w:hint="eastAsia" w:ascii="Times New Roman" w:hAnsi="Times New Roman" w:cs="Times New Roman"/>
                <w:color w:val="000000" w:themeColor="text1"/>
                <w:spacing w:val="-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锡林郭勒盟</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水环境质量底线图</w:t>
            </w:r>
            <w:r>
              <w:rPr>
                <w:rFonts w:hint="eastAsia" w:ascii="Times New Roman" w:hAnsi="Times New Roman" w:cs="Times New Roman"/>
                <w:color w:val="000000" w:themeColor="text1"/>
                <w:spacing w:val="-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可知，项目所在地属于</w:t>
            </w:r>
            <w:r>
              <w:rPr>
                <w:rFonts w:hint="default" w:ascii="Times New Roman" w:hAnsi="Times New Roman" w:eastAsia="宋体" w:cs="Times New Roman"/>
                <w:color w:val="000000" w:themeColor="text1"/>
                <w:spacing w:val="11"/>
                <w:sz w:val="21"/>
                <w:szCs w:val="21"/>
                <w:highlight w:val="none"/>
                <w:lang w:eastAsia="zh-CN"/>
                <w14:textFill>
                  <w14:solidFill>
                    <w14:schemeClr w14:val="tx1"/>
                  </w14:solidFill>
                </w14:textFill>
              </w:rPr>
              <w:t>水环境属于一般管控</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区</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p>
          <w:p w14:paraId="36DBE97A">
            <w:pPr>
              <w:widowControl/>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2717165</wp:posOffset>
                      </wp:positionH>
                      <wp:positionV relativeFrom="paragraph">
                        <wp:posOffset>1488440</wp:posOffset>
                      </wp:positionV>
                      <wp:extent cx="705485" cy="254000"/>
                      <wp:effectExtent l="0" t="0" r="18415" b="203200"/>
                      <wp:wrapNone/>
                      <wp:docPr id="71" name="矩形标注 32"/>
                      <wp:cNvGraphicFramePr/>
                      <a:graphic xmlns:a="http://schemas.openxmlformats.org/drawingml/2006/main">
                        <a:graphicData uri="http://schemas.microsoft.com/office/word/2010/wordprocessingShape">
                          <wps:wsp>
                            <wps:cNvSpPr/>
                            <wps:spPr>
                              <a:xfrm>
                                <a:off x="0" y="0"/>
                                <a:ext cx="705485" cy="254000"/>
                              </a:xfrm>
                              <a:prstGeom prst="wedgeRectCallout">
                                <a:avLst>
                                  <a:gd name="adj1" fmla="val -25731"/>
                                  <a:gd name="adj2" fmla="val 125000"/>
                                </a:avLst>
                              </a:prstGeom>
                              <a:solidFill>
                                <a:srgbClr val="4F81BD"/>
                              </a:solidFill>
                              <a:ln w="25400" cap="flat" cmpd="sng" algn="ctr">
                                <a:solidFill>
                                  <a:srgbClr val="376092">
                                    <a:lumMod val="75000"/>
                                  </a:srgbClr>
                                </a:solidFill>
                                <a:prstDash val="solid"/>
                              </a:ln>
                            </wps:spPr>
                            <wps:txbx>
                              <w:txbxContent>
                                <w:p w14:paraId="360221A5">
                                  <w:pPr>
                                    <w:rPr>
                                      <w:sz w:val="18"/>
                                      <w:szCs w:val="18"/>
                                    </w:rPr>
                                  </w:pPr>
                                  <w:r>
                                    <w:rPr>
                                      <w:rFonts w:hint="eastAsia"/>
                                      <w:b/>
                                      <w:bCs/>
                                      <w:sz w:val="18"/>
                                      <w:szCs w:val="18"/>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2" o:spid="_x0000_s1026" o:spt="61" type="#_x0000_t61" style="position:absolute;left:0pt;margin-left:213.95pt;margin-top:117.2pt;height:20pt;width:55.55pt;z-index:251661312;v-text-anchor:middle;mso-width-relative:page;mso-height-relative:page;" fillcolor="#4F81BD" filled="t" stroked="t" coordsize="21600,21600" o:gfxdata="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0QXfNNkAAAALAQAADwAAAAAAAAABACAAAAAiAAAA&#10;ZHJzL2Rvd25yZXYueG1sUEsBAhQAFAAAAAgAh07iQJhBdkqxAgAAcAUAAA4AAAAAAAAAAQAgAAAA&#10;KAEAAGRycy9lMm9Eb2MueG1sUEsFBgAAAAAGAAYAWQEAAEsGAAAAAA==&#10;" adj="5242,37800">
                      <v:fill on="t" focussize="0,0"/>
                      <v:stroke weight="2pt" color="#29486E" joinstyle="round"/>
                      <v:imagedata o:title=""/>
                      <o:lock v:ext="edit" aspectratio="f"/>
                      <v:textbox>
                        <w:txbxContent>
                          <w:p w14:paraId="360221A5">
                            <w:pPr>
                              <w:rPr>
                                <w:sz w:val="18"/>
                                <w:szCs w:val="18"/>
                              </w:rPr>
                            </w:pPr>
                            <w:r>
                              <w:rPr>
                                <w:rFonts w:hint="eastAsia"/>
                                <w:b/>
                                <w:bCs/>
                                <w:sz w:val="18"/>
                                <w:szCs w:val="18"/>
                              </w:rPr>
                              <w:t>项目位置</w:t>
                            </w:r>
                          </w:p>
                        </w:txbxContent>
                      </v:textbox>
                    </v:shape>
                  </w:pict>
                </mc:Fallback>
              </mc:AlternateContent>
            </w:r>
            <w:r>
              <w:rPr>
                <w:rFonts w:hint="default" w:ascii="Times New Roman" w:hAnsi="Times New Roman" w:eastAsia="宋体" w:cs="Times New Roman"/>
                <w:color w:val="000000" w:themeColor="text1"/>
                <w:szCs w:val="21"/>
                <w:highlight w:val="none"/>
                <w14:textFill>
                  <w14:solidFill>
                    <w14:schemeClr w14:val="tx1"/>
                  </w14:solidFill>
                </w14:textFill>
              </w:rPr>
              <w:drawing>
                <wp:inline distT="0" distB="0" distL="0" distR="0">
                  <wp:extent cx="4945380" cy="3507105"/>
                  <wp:effectExtent l="0" t="0" r="7620" b="1079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45380" cy="3507105"/>
                          </a:xfrm>
                          <a:prstGeom prst="rect">
                            <a:avLst/>
                          </a:prstGeom>
                          <a:noFill/>
                          <a:ln>
                            <a:noFill/>
                          </a:ln>
                        </pic:spPr>
                      </pic:pic>
                    </a:graphicData>
                  </a:graphic>
                </wp:inline>
              </w:drawing>
            </w:r>
          </w:p>
          <w:p w14:paraId="526A506B">
            <w:pPr>
              <w:pStyle w:val="36"/>
              <w:adjustRightInd w:val="0"/>
              <w:spacing w:line="360" w:lineRule="auto"/>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图1-3  锡林郭勒盟水环境分区管控图</w:t>
            </w:r>
          </w:p>
          <w:p w14:paraId="0177AB03">
            <w:pPr>
              <w:widowControl/>
              <w:spacing w:line="360" w:lineRule="auto"/>
              <w:ind w:firstLine="420" w:firstLineChars="200"/>
              <w:jc w:val="left"/>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本项目为公路建设项目，施工期生活污水</w:t>
            </w:r>
            <w:r>
              <w:rPr>
                <w:rFonts w:hint="eastAsia" w:cs="Times New Roman"/>
                <w:color w:val="000000" w:themeColor="text1"/>
                <w:kern w:val="0"/>
                <w:szCs w:val="21"/>
                <w:highlight w:val="none"/>
                <w:lang w:val="en-US" w:eastAsia="zh-CN" w:bidi="ar"/>
                <w14:textFill>
                  <w14:solidFill>
                    <w14:schemeClr w14:val="tx1"/>
                  </w14:solidFill>
                </w14:textFill>
              </w:rPr>
              <w:t>依托施工营地临时旱厕，定期清掏</w:t>
            </w: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。项目建设及运行不会触及水环境质量底线。</w:t>
            </w:r>
          </w:p>
          <w:p w14:paraId="7B6D871A">
            <w:pPr>
              <w:widowControl/>
              <w:numPr>
                <w:ilvl w:val="1"/>
                <w:numId w:val="2"/>
              </w:numPr>
              <w:spacing w:line="360" w:lineRule="auto"/>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Cs w:val="21"/>
                <w:highlight w:val="none"/>
                <w14:textFill>
                  <w14:solidFill>
                    <w14:schemeClr w14:val="tx1"/>
                  </w14:solidFill>
                </w14:textFill>
              </w:rPr>
              <w:t>土壤质量底线</w:t>
            </w:r>
          </w:p>
          <w:p w14:paraId="182F3C92">
            <w:pPr>
              <w:pStyle w:val="55"/>
              <w:spacing w:line="360" w:lineRule="auto"/>
              <w:ind w:firstLine="436" w:firstLineChars="20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对照</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《锡林郭勒盟</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三线一单</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生态环境分区管控方案》</w:t>
            </w: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中</w:t>
            </w:r>
            <w:r>
              <w:rPr>
                <w:rFonts w:hint="eastAsia" w:ascii="Times New Roman" w:hAnsi="Times New Roman" w:cs="Times New Roman"/>
                <w:color w:val="000000" w:themeColor="text1"/>
                <w:spacing w:val="-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锡林郭勒盟</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土壤环境质量底线图</w:t>
            </w:r>
            <w:r>
              <w:rPr>
                <w:rFonts w:hint="eastAsia" w:ascii="Times New Roman" w:hAnsi="Times New Roman" w:cs="Times New Roman"/>
                <w:color w:val="000000" w:themeColor="text1"/>
                <w:spacing w:val="-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可知，项目所在地属于</w:t>
            </w:r>
            <w:r>
              <w:rPr>
                <w:rFonts w:hint="default" w:ascii="Times New Roman" w:hAnsi="Times New Roman" w:eastAsia="宋体" w:cs="Times New Roman"/>
                <w:color w:val="000000" w:themeColor="text1"/>
                <w:spacing w:val="11"/>
                <w:sz w:val="21"/>
                <w:szCs w:val="21"/>
                <w:highlight w:val="none"/>
                <w:lang w:eastAsia="zh-CN"/>
                <w14:textFill>
                  <w14:solidFill>
                    <w14:schemeClr w14:val="tx1"/>
                  </w14:solidFill>
                </w14:textFill>
              </w:rPr>
              <w:t>土地资源重点管控区</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p>
          <w:p w14:paraId="727E48EE">
            <w:pPr>
              <w:widowControl/>
              <w:spacing w:line="360" w:lineRule="auto"/>
              <w:ind w:firstLine="420" w:firstLineChars="200"/>
              <w:jc w:val="left"/>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对有土壤污染风险的建设用地地块和拟收回土地使用权的有色金属冶炼、石油加工、化工、焦化、电镀、制革、危险废物综合利用等行业企业用地，责成土地使用权人进行土壤污染状况调查评估；已经收回的，由所在地旗县级人民政府负责开展调查评估。</w:t>
            </w:r>
          </w:p>
          <w:p w14:paraId="71C0B597">
            <w:pPr>
              <w:widowControl/>
              <w:spacing w:line="360" w:lineRule="auto"/>
              <w:ind w:firstLine="420" w:firstLineChars="200"/>
              <w:jc w:val="left"/>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对污染地块名录和优先管控地块名录内的地块，推动土壤污染相关责任人应依法采取风险管控和修复措施并对其效果进行评估，未达到风险管控、修复目标的建设用地地块，禁止建设任何与风险管控，修复无关的项目。将土壤污染防治相关责任和义务、土壤污染隐患排查制度纳入土壤污染重点监管单位排污许可证，严管有毒有害物质渗漏、流失、扬散。</w:t>
            </w:r>
          </w:p>
          <w:p w14:paraId="1155286B">
            <w:pPr>
              <w:pStyle w:val="55"/>
              <w:spacing w:line="360" w:lineRule="auto"/>
              <w:ind w:firstLine="420" w:firstLineChars="20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重金属污染防治区域严格控制涉重金属行业新增产能，优化产业布局，继续淘汰涉重金属行业落后产能。企业严格执行重金属污染物排放标准，将重金属减排目标分解到重点地区和重点行业企业，督促企业制定减排计划，明确减排工程和措施，做好企业工业固体废物排放种类和数量的监控、核定工作。企业及周边5km范围内做好重金属监测工作，推动受污染地块的治理与修复。</w:t>
            </w:r>
          </w:p>
          <w:p w14:paraId="391E1D4F">
            <w:pPr>
              <w:pStyle w:val="55"/>
              <w:spacing w:line="36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highlight w:val="none"/>
                <w:lang w:eastAsia="zh-CN"/>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2886075</wp:posOffset>
                      </wp:positionH>
                      <wp:positionV relativeFrom="paragraph">
                        <wp:posOffset>1654810</wp:posOffset>
                      </wp:positionV>
                      <wp:extent cx="705485" cy="254000"/>
                      <wp:effectExtent l="0" t="0" r="18415" b="203200"/>
                      <wp:wrapNone/>
                      <wp:docPr id="70" name="矩形标注 32"/>
                      <wp:cNvGraphicFramePr/>
                      <a:graphic xmlns:a="http://schemas.openxmlformats.org/drawingml/2006/main">
                        <a:graphicData uri="http://schemas.microsoft.com/office/word/2010/wordprocessingShape">
                          <wps:wsp>
                            <wps:cNvSpPr/>
                            <wps:spPr>
                              <a:xfrm>
                                <a:off x="0" y="0"/>
                                <a:ext cx="705485" cy="254000"/>
                              </a:xfrm>
                              <a:prstGeom prst="wedgeRectCallout">
                                <a:avLst>
                                  <a:gd name="adj1" fmla="val -25731"/>
                                  <a:gd name="adj2" fmla="val 125000"/>
                                </a:avLst>
                              </a:prstGeom>
                              <a:solidFill>
                                <a:srgbClr val="4F81BD"/>
                              </a:solidFill>
                              <a:ln w="25400" cap="flat" cmpd="sng" algn="ctr">
                                <a:solidFill>
                                  <a:srgbClr val="376092">
                                    <a:lumMod val="75000"/>
                                  </a:srgbClr>
                                </a:solidFill>
                                <a:prstDash val="solid"/>
                              </a:ln>
                            </wps:spPr>
                            <wps:txbx>
                              <w:txbxContent>
                                <w:p w14:paraId="085422B6">
                                  <w:pPr>
                                    <w:rPr>
                                      <w:sz w:val="18"/>
                                      <w:szCs w:val="18"/>
                                    </w:rPr>
                                  </w:pPr>
                                  <w:r>
                                    <w:rPr>
                                      <w:rFonts w:hint="eastAsia"/>
                                      <w:b/>
                                      <w:bCs/>
                                      <w:sz w:val="18"/>
                                      <w:szCs w:val="18"/>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2" o:spid="_x0000_s1026" o:spt="61" type="#_x0000_t61" style="position:absolute;left:0pt;margin-left:227.25pt;margin-top:130.3pt;height:20pt;width:55.55pt;z-index:251662336;v-text-anchor:middle;mso-width-relative:page;mso-height-relative:page;" fillcolor="#4F81BD" filled="t" stroked="t" coordsize="21600,21600" o:gfxdata="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IBk+CNkAAAALAQAADwAAAAAAAAABACAAAAAiAAAA&#10;ZHJzL2Rvd25yZXYueG1sUEsBAhQAFAAAAAgAh07iQAihj+6xAgAAcAUAAA4AAAAAAAAAAQAgAAAA&#10;KAEAAGRycy9lMm9Eb2MueG1sUEsFBgAAAAAGAAYAWQEAAEsGAAAAAA==&#10;" adj="5242,37800">
                      <v:fill on="t" focussize="0,0"/>
                      <v:stroke weight="2pt" color="#29486E" joinstyle="round"/>
                      <v:imagedata o:title=""/>
                      <o:lock v:ext="edit" aspectratio="f"/>
                      <v:textbox>
                        <w:txbxContent>
                          <w:p w14:paraId="085422B6">
                            <w:pPr>
                              <w:rPr>
                                <w:sz w:val="18"/>
                                <w:szCs w:val="18"/>
                              </w:rPr>
                            </w:pPr>
                            <w:r>
                              <w:rPr>
                                <w:rFonts w:hint="eastAsia"/>
                                <w:b/>
                                <w:bCs/>
                                <w:sz w:val="18"/>
                                <w:szCs w:val="18"/>
                              </w:rPr>
                              <w:t>项目位置</w:t>
                            </w:r>
                          </w:p>
                        </w:txbxContent>
                      </v:textbox>
                    </v:shape>
                  </w:pict>
                </mc:Fallback>
              </mc:AlternateConten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inline distT="0" distB="0" distL="0" distR="0">
                  <wp:extent cx="5219065" cy="3769995"/>
                  <wp:effectExtent l="0" t="0" r="635" b="190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19065" cy="3769995"/>
                          </a:xfrm>
                          <a:prstGeom prst="rect">
                            <a:avLst/>
                          </a:prstGeom>
                          <a:noFill/>
                          <a:ln>
                            <a:noFill/>
                          </a:ln>
                        </pic:spPr>
                      </pic:pic>
                    </a:graphicData>
                  </a:graphic>
                </wp:inline>
              </w:drawing>
            </w:r>
          </w:p>
          <w:p w14:paraId="330CF9DE">
            <w:pPr>
              <w:pStyle w:val="36"/>
              <w:adjustRightInd w:val="0"/>
              <w:spacing w:line="360" w:lineRule="auto"/>
              <w:ind w:firstLine="361"/>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图1-4  锡林郭勒盟土壤污染风险分区管控图</w:t>
            </w:r>
          </w:p>
          <w:p w14:paraId="35BBC73B">
            <w:pPr>
              <w:pStyle w:val="55"/>
              <w:spacing w:line="360" w:lineRule="auto"/>
              <w:ind w:firstLine="400" w:firstLineChars="20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本项目为公路建设项目，不涉及土壤环境风险防控要求，不会突破土壤环境底线</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p>
          <w:p w14:paraId="300B8D6F">
            <w:pPr>
              <w:pStyle w:val="55"/>
              <w:spacing w:line="360" w:lineRule="auto"/>
              <w:ind w:firstLine="418" w:firstLineChars="200"/>
              <w:rPr>
                <w:rFonts w:hint="default" w:ascii="Times New Roman" w:hAnsi="Times New Roman" w:eastAsia="宋体" w:cs="Times New Roman"/>
                <w:b/>
                <w:bCs/>
                <w:color w:val="000000" w:themeColor="text1"/>
                <w:spacing w:val="-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1"/>
                <w:sz w:val="21"/>
                <w:szCs w:val="21"/>
                <w:highlight w:val="none"/>
                <w:lang w:eastAsia="zh-CN"/>
                <w14:textFill>
                  <w14:solidFill>
                    <w14:schemeClr w14:val="tx1"/>
                  </w14:solidFill>
                </w14:textFill>
              </w:rPr>
              <w:t>（3）资源利用上线</w:t>
            </w:r>
          </w:p>
          <w:p w14:paraId="2294F45E">
            <w:pPr>
              <w:widowControl/>
              <w:numPr>
                <w:ilvl w:val="1"/>
                <w:numId w:val="3"/>
              </w:numPr>
              <w:spacing w:line="360" w:lineRule="auto"/>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Cs w:val="21"/>
                <w:highlight w:val="none"/>
                <w14:textFill>
                  <w14:solidFill>
                    <w14:schemeClr w14:val="tx1"/>
                  </w14:solidFill>
                </w14:textFill>
              </w:rPr>
              <w:t>水资源利用上线</w:t>
            </w:r>
          </w:p>
          <w:p w14:paraId="0AF1D656">
            <w:pPr>
              <w:pStyle w:val="55"/>
              <w:spacing w:line="360" w:lineRule="auto"/>
              <w:ind w:firstLine="436" w:firstLineChars="200"/>
              <w:rPr>
                <w:rFonts w:hint="default" w:ascii="Times New Roman" w:hAnsi="Times New Roman" w:eastAsia="宋体" w:cs="Times New Roman"/>
                <w:color w:val="000000" w:themeColor="text1"/>
                <w:spacing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对照</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《锡林郭勒盟</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三线一单</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生态环境分区管控方案》</w:t>
            </w: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中</w:t>
            </w:r>
            <w:r>
              <w:rPr>
                <w:rFonts w:hint="eastAsia" w:ascii="Times New Roman" w:hAnsi="Times New Roman" w:cs="Times New Roman"/>
                <w:color w:val="000000" w:themeColor="text1"/>
                <w:spacing w:val="-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锡林郭勒盟</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水资源利用上线图</w:t>
            </w:r>
            <w:r>
              <w:rPr>
                <w:rFonts w:hint="eastAsia" w:ascii="Times New Roman" w:hAnsi="Times New Roman" w:cs="Times New Roman"/>
                <w:color w:val="000000" w:themeColor="text1"/>
                <w:spacing w:val="-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可知</w:t>
            </w:r>
            <w:r>
              <w:rPr>
                <w:rFonts w:hint="default" w:ascii="Times New Roman" w:hAnsi="Times New Roman" w:eastAsia="宋体" w:cs="Times New Roman"/>
                <w:color w:val="000000" w:themeColor="text1"/>
                <w:spacing w:val="-3"/>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pacing w:val="2"/>
                <w:sz w:val="21"/>
                <w:szCs w:val="21"/>
                <w:highlight w:val="none"/>
                <w:lang w:eastAsia="zh-CN"/>
                <w14:textFill>
                  <w14:solidFill>
                    <w14:schemeClr w14:val="tx1"/>
                  </w14:solidFill>
                </w14:textFill>
              </w:rPr>
              <w:t>项目不属于生态用水补给区和地下水开采重点管控区</w:t>
            </w:r>
            <w:r>
              <w:rPr>
                <w:rFonts w:hint="default" w:ascii="Times New Roman" w:hAnsi="Times New Roman" w:eastAsia="宋体" w:cs="Times New Roman"/>
                <w:color w:val="000000" w:themeColor="text1"/>
                <w:spacing w:val="-2"/>
                <w:sz w:val="21"/>
                <w:szCs w:val="21"/>
                <w:highlight w:val="none"/>
                <w:lang w:eastAsia="zh-CN"/>
                <w14:textFill>
                  <w14:solidFill>
                    <w14:schemeClr w14:val="tx1"/>
                  </w14:solidFill>
                </w14:textFill>
              </w:rPr>
              <w:t>，无具体要求。</w:t>
            </w:r>
          </w:p>
          <w:p w14:paraId="5A655404">
            <w:pPr>
              <w:pStyle w:val="55"/>
              <w:spacing w:line="360" w:lineRule="auto"/>
              <w:jc w:val="center"/>
              <w:rPr>
                <w:rFonts w:hint="default" w:ascii="Times New Roman" w:hAnsi="Times New Roman" w:eastAsia="宋体" w:cs="Times New Roman"/>
                <w:color w:val="000000" w:themeColor="text1"/>
                <w:spacing w:val="-2"/>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highlight w:val="none"/>
                <w:lang w:eastAsia="zh-CN"/>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2874645</wp:posOffset>
                      </wp:positionH>
                      <wp:positionV relativeFrom="paragraph">
                        <wp:posOffset>1652905</wp:posOffset>
                      </wp:positionV>
                      <wp:extent cx="705485" cy="254000"/>
                      <wp:effectExtent l="0" t="0" r="18415" b="203200"/>
                      <wp:wrapNone/>
                      <wp:docPr id="69" name="矩形标注 32"/>
                      <wp:cNvGraphicFramePr/>
                      <a:graphic xmlns:a="http://schemas.openxmlformats.org/drawingml/2006/main">
                        <a:graphicData uri="http://schemas.microsoft.com/office/word/2010/wordprocessingShape">
                          <wps:wsp>
                            <wps:cNvSpPr/>
                            <wps:spPr>
                              <a:xfrm>
                                <a:off x="0" y="0"/>
                                <a:ext cx="705485" cy="254000"/>
                              </a:xfrm>
                              <a:prstGeom prst="wedgeRectCallout">
                                <a:avLst>
                                  <a:gd name="adj1" fmla="val -25731"/>
                                  <a:gd name="adj2" fmla="val 125000"/>
                                </a:avLst>
                              </a:prstGeom>
                              <a:solidFill>
                                <a:srgbClr val="4F81BD"/>
                              </a:solidFill>
                              <a:ln w="25400" cap="flat" cmpd="sng" algn="ctr">
                                <a:solidFill>
                                  <a:srgbClr val="376092">
                                    <a:lumMod val="75000"/>
                                  </a:srgbClr>
                                </a:solidFill>
                                <a:prstDash val="solid"/>
                              </a:ln>
                            </wps:spPr>
                            <wps:txbx>
                              <w:txbxContent>
                                <w:p w14:paraId="5518D24D">
                                  <w:pPr>
                                    <w:rPr>
                                      <w:sz w:val="18"/>
                                      <w:szCs w:val="18"/>
                                    </w:rPr>
                                  </w:pPr>
                                  <w:r>
                                    <w:rPr>
                                      <w:rFonts w:hint="eastAsia"/>
                                      <w:b/>
                                      <w:bCs/>
                                      <w:sz w:val="18"/>
                                      <w:szCs w:val="18"/>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2" o:spid="_x0000_s1026" o:spt="61" type="#_x0000_t61" style="position:absolute;left:0pt;margin-left:226.35pt;margin-top:130.15pt;height:20pt;width:55.55pt;z-index:251663360;v-text-anchor:middle;mso-width-relative:page;mso-height-relative:page;" fillcolor="#4F81BD" filled="t" stroked="t" coordsize="21600,21600" o:gfxdata="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&#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86ZES2AAAAAsBAAAPAAAAAAAAAAEAIAAAACIAAABk&#10;cnMvZG93bnJldi54bWxQSwECFAAUAAAACACHTuJAezxFnbECAABwBQAADgAAAAAAAAABACAAAAAn&#10;AQAAZHJzL2Uyb0RvYy54bWxQSwUGAAAAAAYABgBZAQAASgYAAAAA&#10;" adj="5242,37800">
                      <v:fill on="t" focussize="0,0"/>
                      <v:stroke weight="2pt" color="#29486E" joinstyle="round"/>
                      <v:imagedata o:title=""/>
                      <o:lock v:ext="edit" aspectratio="f"/>
                      <v:textbox>
                        <w:txbxContent>
                          <w:p w14:paraId="5518D24D">
                            <w:pPr>
                              <w:rPr>
                                <w:sz w:val="18"/>
                                <w:szCs w:val="18"/>
                              </w:rPr>
                            </w:pPr>
                            <w:r>
                              <w:rPr>
                                <w:rFonts w:hint="eastAsia"/>
                                <w:b/>
                                <w:bCs/>
                                <w:sz w:val="18"/>
                                <w:szCs w:val="18"/>
                              </w:rPr>
                              <w:t>项目位置</w:t>
                            </w:r>
                          </w:p>
                        </w:txbxContent>
                      </v:textbox>
                    </v:shape>
                  </w:pict>
                </mc:Fallback>
              </mc:AlternateConten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inline distT="0" distB="0" distL="0" distR="0">
                  <wp:extent cx="5210175" cy="3769995"/>
                  <wp:effectExtent l="0" t="0" r="9525" b="190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10175" cy="3769995"/>
                          </a:xfrm>
                          <a:prstGeom prst="rect">
                            <a:avLst/>
                          </a:prstGeom>
                          <a:noFill/>
                          <a:ln>
                            <a:noFill/>
                          </a:ln>
                        </pic:spPr>
                      </pic:pic>
                    </a:graphicData>
                  </a:graphic>
                </wp:inline>
              </w:drawing>
            </w:r>
          </w:p>
          <w:p w14:paraId="7402CA2D">
            <w:pPr>
              <w:pStyle w:val="36"/>
              <w:adjustRightInd w:val="0"/>
              <w:ind w:firstLine="361"/>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图1-5  锡林郭勒盟生态用水补给区图</w:t>
            </w:r>
          </w:p>
          <w:p w14:paraId="1CBC653D">
            <w:pPr>
              <w:pStyle w:val="55"/>
              <w:spacing w:line="36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highlight w:val="none"/>
                <w:lang w:eastAsia="zh-CN"/>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2909570</wp:posOffset>
                      </wp:positionH>
                      <wp:positionV relativeFrom="paragraph">
                        <wp:posOffset>1633855</wp:posOffset>
                      </wp:positionV>
                      <wp:extent cx="705485" cy="254000"/>
                      <wp:effectExtent l="0" t="0" r="18415" b="203200"/>
                      <wp:wrapNone/>
                      <wp:docPr id="68" name="矩形标注 32"/>
                      <wp:cNvGraphicFramePr/>
                      <a:graphic xmlns:a="http://schemas.openxmlformats.org/drawingml/2006/main">
                        <a:graphicData uri="http://schemas.microsoft.com/office/word/2010/wordprocessingShape">
                          <wps:wsp>
                            <wps:cNvSpPr/>
                            <wps:spPr>
                              <a:xfrm>
                                <a:off x="0" y="0"/>
                                <a:ext cx="705485" cy="254000"/>
                              </a:xfrm>
                              <a:prstGeom prst="wedgeRectCallout">
                                <a:avLst>
                                  <a:gd name="adj1" fmla="val -25731"/>
                                  <a:gd name="adj2" fmla="val 125000"/>
                                </a:avLst>
                              </a:prstGeom>
                              <a:solidFill>
                                <a:srgbClr val="4F81BD"/>
                              </a:solidFill>
                              <a:ln w="25400" cap="flat" cmpd="sng" algn="ctr">
                                <a:solidFill>
                                  <a:srgbClr val="376092">
                                    <a:lumMod val="75000"/>
                                  </a:srgbClr>
                                </a:solidFill>
                                <a:prstDash val="solid"/>
                              </a:ln>
                            </wps:spPr>
                            <wps:txbx>
                              <w:txbxContent>
                                <w:p w14:paraId="32A0EF2F">
                                  <w:pPr>
                                    <w:rPr>
                                      <w:sz w:val="18"/>
                                      <w:szCs w:val="18"/>
                                    </w:rPr>
                                  </w:pPr>
                                  <w:r>
                                    <w:rPr>
                                      <w:rFonts w:hint="eastAsia"/>
                                      <w:b/>
                                      <w:bCs/>
                                      <w:sz w:val="18"/>
                                      <w:szCs w:val="18"/>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2" o:spid="_x0000_s1026" o:spt="61" type="#_x0000_t61" style="position:absolute;left:0pt;margin-left:229.1pt;margin-top:128.65pt;height:20pt;width:55.55pt;z-index:251664384;v-text-anchor:middle;mso-width-relative:page;mso-height-relative:page;" fillcolor="#4F81BD" filled="t" stroked="t" coordsize="21600,21600" o:gfxdata="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Itq8ojaAAAACwEAAA8AAAAAAAAAAQAgAAAAIgAA&#10;AGRycy9kb3ducmV2LnhtbFBLAQIUABQAAAAIAIdO4kDr3Lw5sQIAAHAFAAAOAAAAAAAAAAEAIAAA&#10;ACkBAABkcnMvZTJvRG9jLnhtbFBLBQYAAAAABgAGAFkBAABMBgAAAAA=&#10;" adj="5242,37800">
                      <v:fill on="t" focussize="0,0"/>
                      <v:stroke weight="2pt" color="#29486E" joinstyle="round"/>
                      <v:imagedata o:title=""/>
                      <o:lock v:ext="edit" aspectratio="f"/>
                      <v:textbox>
                        <w:txbxContent>
                          <w:p w14:paraId="32A0EF2F">
                            <w:pPr>
                              <w:rPr>
                                <w:sz w:val="18"/>
                                <w:szCs w:val="18"/>
                              </w:rPr>
                            </w:pPr>
                            <w:r>
                              <w:rPr>
                                <w:rFonts w:hint="eastAsia"/>
                                <w:b/>
                                <w:bCs/>
                                <w:sz w:val="18"/>
                                <w:szCs w:val="18"/>
                              </w:rPr>
                              <w:t>项目位置</w:t>
                            </w:r>
                          </w:p>
                        </w:txbxContent>
                      </v:textbox>
                    </v:shape>
                  </w:pict>
                </mc:Fallback>
              </mc:AlternateConten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inline distT="0" distB="0" distL="0" distR="0">
                  <wp:extent cx="5227320" cy="3743960"/>
                  <wp:effectExtent l="0" t="0" r="0" b="889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27320" cy="3743960"/>
                          </a:xfrm>
                          <a:prstGeom prst="rect">
                            <a:avLst/>
                          </a:prstGeom>
                          <a:noFill/>
                          <a:ln>
                            <a:noFill/>
                          </a:ln>
                        </pic:spPr>
                      </pic:pic>
                    </a:graphicData>
                  </a:graphic>
                </wp:inline>
              </w:drawing>
            </w:r>
          </w:p>
          <w:p w14:paraId="4DEA17B4">
            <w:pPr>
              <w:pStyle w:val="36"/>
              <w:adjustRightInd w:val="0"/>
              <w:spacing w:line="360" w:lineRule="auto"/>
              <w:ind w:firstLine="361"/>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图1-6  锡林郭勒地下水开采重点管控区图</w:t>
            </w:r>
          </w:p>
          <w:p w14:paraId="5DD2A319">
            <w:pPr>
              <w:pStyle w:val="55"/>
              <w:spacing w:line="360" w:lineRule="auto"/>
              <w:ind w:firstLine="400" w:firstLineChars="200"/>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本项目为公路建设项目，不涉及水环境风险防控要求。</w:t>
            </w:r>
          </w:p>
          <w:p w14:paraId="5FBB7A84">
            <w:pPr>
              <w:pStyle w:val="55"/>
              <w:spacing w:line="360" w:lineRule="auto"/>
              <w:ind w:firstLine="400" w:firstLineChars="20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因此，本项目的建设不会突破水资源利用上线</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p>
          <w:p w14:paraId="0EA034E5">
            <w:pPr>
              <w:widowControl/>
              <w:numPr>
                <w:ilvl w:val="1"/>
                <w:numId w:val="3"/>
              </w:numPr>
              <w:spacing w:line="360" w:lineRule="auto"/>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Cs w:val="21"/>
                <w:highlight w:val="none"/>
                <w14:textFill>
                  <w14:solidFill>
                    <w14:schemeClr w14:val="tx1"/>
                  </w14:solidFill>
                </w14:textFill>
              </w:rPr>
              <w:t>土地资源利用上线</w:t>
            </w:r>
          </w:p>
          <w:p w14:paraId="07A749AD">
            <w:pPr>
              <w:pStyle w:val="35"/>
              <w:ind w:firstLine="420"/>
              <w:jc w:val="left"/>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本项目属于公路建设项目，不属于高污染、高能耗、高物耗产业，本项目建设不会超出区域的资源利用上线。</w:t>
            </w:r>
          </w:p>
          <w:p w14:paraId="36FF41AE">
            <w:pPr>
              <w:widowControl/>
              <w:numPr>
                <w:ilvl w:val="1"/>
                <w:numId w:val="3"/>
              </w:numPr>
              <w:spacing w:line="360" w:lineRule="auto"/>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Cs w:val="21"/>
                <w:highlight w:val="none"/>
                <w14:textFill>
                  <w14:solidFill>
                    <w14:schemeClr w14:val="tx1"/>
                  </w14:solidFill>
                </w14:textFill>
              </w:rPr>
              <w:t>能源资源上线</w:t>
            </w:r>
          </w:p>
          <w:p w14:paraId="21E9849C">
            <w:pPr>
              <w:pStyle w:val="55"/>
              <w:spacing w:line="360" w:lineRule="auto"/>
              <w:ind w:firstLine="436" w:firstLineChars="200"/>
              <w:rPr>
                <w:rFonts w:hint="default" w:ascii="Times New Roman" w:hAnsi="Times New Roman" w:eastAsia="宋体" w:cs="Times New Roman"/>
                <w:color w:val="000000" w:themeColor="text1"/>
                <w:spacing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对照</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《锡林郭勒盟</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三线一单</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生态环境分区管控方案》</w:t>
            </w: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中</w:t>
            </w:r>
            <w:r>
              <w:rPr>
                <w:rFonts w:hint="eastAsia" w:ascii="Times New Roman" w:hAnsi="Times New Roman" w:cs="Times New Roman"/>
                <w:color w:val="000000" w:themeColor="text1"/>
                <w:spacing w:val="-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锡林郭勒盟</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能源资源利用上线图</w:t>
            </w:r>
            <w:r>
              <w:rPr>
                <w:rFonts w:hint="eastAsia" w:ascii="Times New Roman" w:hAnsi="Times New Roman" w:cs="Times New Roman"/>
                <w:color w:val="000000" w:themeColor="text1"/>
                <w:spacing w:val="-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可知</w:t>
            </w:r>
            <w:r>
              <w:rPr>
                <w:rFonts w:hint="default" w:ascii="Times New Roman" w:hAnsi="Times New Roman" w:eastAsia="宋体" w:cs="Times New Roman"/>
                <w:color w:val="000000" w:themeColor="text1"/>
                <w:spacing w:val="-3"/>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本项目不属于高污</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染燃料禁燃区。</w:t>
            </w:r>
          </w:p>
          <w:p w14:paraId="70A782E6">
            <w:pPr>
              <w:pStyle w:val="55"/>
              <w:spacing w:line="360" w:lineRule="auto"/>
              <w:jc w:val="center"/>
              <w:rPr>
                <w:rFonts w:hint="default" w:ascii="Times New Roman" w:hAnsi="Times New Roman" w:eastAsia="宋体" w:cs="Times New Roman"/>
                <w:color w:val="000000" w:themeColor="text1"/>
                <w:spacing w:val="-2"/>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highlight w:val="none"/>
                <w:lang w:eastAsia="zh-CN"/>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2877185</wp:posOffset>
                      </wp:positionH>
                      <wp:positionV relativeFrom="paragraph">
                        <wp:posOffset>1656715</wp:posOffset>
                      </wp:positionV>
                      <wp:extent cx="705485" cy="254000"/>
                      <wp:effectExtent l="0" t="0" r="18415" b="203200"/>
                      <wp:wrapNone/>
                      <wp:docPr id="67" name="矩形标注 32"/>
                      <wp:cNvGraphicFramePr/>
                      <a:graphic xmlns:a="http://schemas.openxmlformats.org/drawingml/2006/main">
                        <a:graphicData uri="http://schemas.microsoft.com/office/word/2010/wordprocessingShape">
                          <wps:wsp>
                            <wps:cNvSpPr/>
                            <wps:spPr>
                              <a:xfrm>
                                <a:off x="0" y="0"/>
                                <a:ext cx="705485" cy="254000"/>
                              </a:xfrm>
                              <a:prstGeom prst="wedgeRectCallout">
                                <a:avLst>
                                  <a:gd name="adj1" fmla="val -25731"/>
                                  <a:gd name="adj2" fmla="val 125000"/>
                                </a:avLst>
                              </a:prstGeom>
                              <a:solidFill>
                                <a:srgbClr val="4F81BD"/>
                              </a:solidFill>
                              <a:ln w="25400" cap="flat" cmpd="sng" algn="ctr">
                                <a:solidFill>
                                  <a:srgbClr val="376092">
                                    <a:lumMod val="75000"/>
                                  </a:srgbClr>
                                </a:solidFill>
                                <a:prstDash val="solid"/>
                              </a:ln>
                            </wps:spPr>
                            <wps:txbx>
                              <w:txbxContent>
                                <w:p w14:paraId="076058A5">
                                  <w:pPr>
                                    <w:rPr>
                                      <w:sz w:val="18"/>
                                      <w:szCs w:val="18"/>
                                    </w:rPr>
                                  </w:pPr>
                                  <w:r>
                                    <w:rPr>
                                      <w:rFonts w:hint="eastAsia"/>
                                      <w:b/>
                                      <w:bCs/>
                                      <w:sz w:val="18"/>
                                      <w:szCs w:val="18"/>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2" o:spid="_x0000_s1026" o:spt="61" type="#_x0000_t61" style="position:absolute;left:0pt;margin-left:226.55pt;margin-top:130.45pt;height:20pt;width:55.55pt;z-index:251665408;v-text-anchor:middle;mso-width-relative:page;mso-height-relative:page;" fillcolor="#4F81BD" filled="t" stroked="t" coordsize="21600,21600" o:gfxdata="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Gg4rCfaAAAACwEAAA8AAAAAAAAAAQAgAAAAIgAA&#10;AGRycy9kb3ducmV2LnhtbFBLAQIUABQAAAAIAIdO4kDeZCvWsQIAAHAFAAAOAAAAAAAAAAEAIAAA&#10;ACkBAABkcnMvZTJvRG9jLnhtbFBLBQYAAAAABgAGAFkBAABMBgAAAAA=&#10;" adj="5242,37800">
                      <v:fill on="t" focussize="0,0"/>
                      <v:stroke weight="2pt" color="#29486E" joinstyle="round"/>
                      <v:imagedata o:title=""/>
                      <o:lock v:ext="edit" aspectratio="f"/>
                      <v:textbox>
                        <w:txbxContent>
                          <w:p w14:paraId="076058A5">
                            <w:pPr>
                              <w:rPr>
                                <w:sz w:val="18"/>
                                <w:szCs w:val="18"/>
                              </w:rPr>
                            </w:pPr>
                            <w:r>
                              <w:rPr>
                                <w:rFonts w:hint="eastAsia"/>
                                <w:b/>
                                <w:bCs/>
                                <w:sz w:val="18"/>
                                <w:szCs w:val="18"/>
                              </w:rPr>
                              <w:t>项目位置</w:t>
                            </w:r>
                          </w:p>
                        </w:txbxContent>
                      </v:textbox>
                    </v:shape>
                  </w:pict>
                </mc:Fallback>
              </mc:AlternateContent>
            </w:r>
            <w:r>
              <w:rPr>
                <w:rFonts w:hint="default" w:ascii="Times New Roman" w:hAnsi="Times New Roman" w:eastAsia="宋体" w:cs="Times New Roman"/>
                <w:snapToGrid w:val="0"/>
                <w:color w:val="000000" w:themeColor="text1"/>
                <w:highlight w:val="none"/>
                <w:lang w:eastAsia="zh-CN"/>
                <w14:textFill>
                  <w14:solidFill>
                    <w14:schemeClr w14:val="tx1"/>
                  </w14:solidFill>
                </w14:textFill>
              </w:rPr>
              <w:drawing>
                <wp:inline distT="0" distB="0" distL="0" distR="0">
                  <wp:extent cx="5201920" cy="374396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01920" cy="3743960"/>
                          </a:xfrm>
                          <a:prstGeom prst="rect">
                            <a:avLst/>
                          </a:prstGeom>
                          <a:noFill/>
                          <a:ln>
                            <a:noFill/>
                          </a:ln>
                        </pic:spPr>
                      </pic:pic>
                    </a:graphicData>
                  </a:graphic>
                </wp:inline>
              </w:drawing>
            </w:r>
          </w:p>
          <w:p w14:paraId="6ED787D9">
            <w:pPr>
              <w:pStyle w:val="36"/>
              <w:adjustRightInd w:val="0"/>
              <w:spacing w:line="360" w:lineRule="auto"/>
              <w:ind w:firstLine="361"/>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图1-7  锡林郭勒盟高污染燃料禁燃区图</w:t>
            </w:r>
          </w:p>
          <w:p w14:paraId="7439908A">
            <w:pPr>
              <w:pStyle w:val="55"/>
              <w:spacing w:line="360" w:lineRule="auto"/>
              <w:ind w:firstLine="400" w:firstLineChars="200"/>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本项目为公路建设项目，不涉及能源资源环境风险防控要求，项目的建设不会突破能源资源利用底线</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p>
          <w:p w14:paraId="01BD1D91">
            <w:pPr>
              <w:widowControl/>
              <w:numPr>
                <w:ilvl w:val="1"/>
                <w:numId w:val="3"/>
              </w:numPr>
              <w:spacing w:line="360" w:lineRule="auto"/>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Cs w:val="21"/>
                <w:highlight w:val="none"/>
                <w14:textFill>
                  <w14:solidFill>
                    <w14:schemeClr w14:val="tx1"/>
                  </w14:solidFill>
                </w14:textFill>
              </w:rPr>
              <w:t>岸线利用上线</w:t>
            </w:r>
          </w:p>
          <w:p w14:paraId="0AD633D5">
            <w:pPr>
              <w:pStyle w:val="55"/>
              <w:spacing w:line="360" w:lineRule="auto"/>
              <w:ind w:firstLine="424" w:firstLineChars="20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本项目所在地不在岸线管控范围内。</w:t>
            </w:r>
          </w:p>
          <w:p w14:paraId="50CC5861">
            <w:pPr>
              <w:pStyle w:val="55"/>
              <w:spacing w:line="360" w:lineRule="auto"/>
              <w:ind w:firstLine="400" w:firstLineChars="20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综上，本项目的建设运行不会突破水资源利用上线、土地资</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源利用上线、能源资源上线和岸线利用上线。</w:t>
            </w:r>
          </w:p>
          <w:p w14:paraId="0004B681">
            <w:pPr>
              <w:spacing w:line="360" w:lineRule="auto"/>
              <w:ind w:firstLine="418" w:firstLineChars="200"/>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
                <w:szCs w:val="21"/>
                <w:highlight w:val="none"/>
                <w14:textFill>
                  <w14:solidFill>
                    <w14:schemeClr w14:val="tx1"/>
                  </w14:solidFill>
                </w14:textFill>
              </w:rPr>
              <w:t>（4）生态环境准入清单</w:t>
            </w:r>
          </w:p>
          <w:p w14:paraId="7F192BD2">
            <w:pPr>
              <w:spacing w:line="360" w:lineRule="auto"/>
              <w:ind w:firstLine="416" w:firstLineChars="200"/>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对照《锡林郭勒盟生态环境准入清单》，本项目属于优先保护单元，环境管控单元编码为ZH15252610008；西乌珠穆沁旗-水源养生态功能重要区，</w:t>
            </w:r>
          </w:p>
          <w:p w14:paraId="4A89DF8B">
            <w:pPr>
              <w:pStyle w:val="55"/>
              <w:spacing w:line="360" w:lineRule="auto"/>
              <w:ind w:firstLine="416" w:firstLineChars="200"/>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本项目与环境准入清单符合性分析见下表1-1。</w:t>
            </w:r>
          </w:p>
          <w:p w14:paraId="1AF8F075">
            <w:pPr>
              <w:widowControl/>
              <w:jc w:val="center"/>
              <w:rPr>
                <w:rFonts w:hint="default" w:ascii="Times New Roman" w:hAnsi="Times New Roman" w:eastAsia="宋体" w:cs="Times New Roman"/>
                <w:b/>
                <w:bCs/>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18"/>
                <w:szCs w:val="18"/>
                <w:highlight w:val="none"/>
                <w:lang w:bidi="ar"/>
                <w14:textFill>
                  <w14:solidFill>
                    <w14:schemeClr w14:val="tx1"/>
                  </w14:solidFill>
                </w14:textFill>
              </w:rPr>
              <w:t>表1-1 环境准入清单符合性分析</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643"/>
              <w:gridCol w:w="3563"/>
              <w:gridCol w:w="2426"/>
              <w:gridCol w:w="460"/>
            </w:tblGrid>
            <w:tr w14:paraId="5A3D4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tcBorders>
                    <w:tl2br w:val="nil"/>
                    <w:tr2bl w:val="nil"/>
                  </w:tcBorders>
                  <w:vAlign w:val="center"/>
                </w:tcPr>
                <w:p w14:paraId="1F771D1D">
                  <w:pPr>
                    <w:pStyle w:val="79"/>
                    <w:rPr>
                      <w:rFonts w:hint="default" w:ascii="Times New Roman" w:hAnsi="Times New Roman" w:eastAsia="宋体" w:cs="Times New Roman"/>
                      <w:b/>
                      <w:bCs/>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14:textFill>
                        <w14:solidFill>
                          <w14:schemeClr w14:val="tx1"/>
                        </w14:solidFill>
                      </w14:textFill>
                    </w:rPr>
                    <w:t>管控单元名称</w:t>
                  </w:r>
                </w:p>
              </w:tc>
              <w:tc>
                <w:tcPr>
                  <w:tcW w:w="2700" w:type="pct"/>
                  <w:gridSpan w:val="2"/>
                  <w:tcBorders>
                    <w:tl2br w:val="nil"/>
                    <w:tr2bl w:val="nil"/>
                  </w:tcBorders>
                  <w:vAlign w:val="center"/>
                </w:tcPr>
                <w:p w14:paraId="1FD685A2">
                  <w:pPr>
                    <w:pStyle w:val="79"/>
                    <w:rPr>
                      <w:rFonts w:hint="default" w:ascii="Times New Roman" w:hAnsi="Times New Roman" w:eastAsia="宋体" w:cs="Times New Roman"/>
                      <w:b/>
                      <w:bCs/>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14:textFill>
                        <w14:solidFill>
                          <w14:schemeClr w14:val="tx1"/>
                        </w14:solidFill>
                      </w14:textFill>
                    </w:rPr>
                    <w:t>管控要求</w:t>
                  </w:r>
                </w:p>
              </w:tc>
              <w:tc>
                <w:tcPr>
                  <w:tcW w:w="1557" w:type="pct"/>
                  <w:tcBorders>
                    <w:tl2br w:val="nil"/>
                    <w:tr2bl w:val="nil"/>
                  </w:tcBorders>
                  <w:vAlign w:val="center"/>
                </w:tcPr>
                <w:p w14:paraId="2226243D">
                  <w:pPr>
                    <w:pStyle w:val="79"/>
                    <w:rPr>
                      <w:rFonts w:hint="default" w:ascii="Times New Roman" w:hAnsi="Times New Roman" w:eastAsia="宋体" w:cs="Times New Roman"/>
                      <w:b/>
                      <w:bCs/>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14:textFill>
                        <w14:solidFill>
                          <w14:schemeClr w14:val="tx1"/>
                        </w14:solidFill>
                      </w14:textFill>
                    </w:rPr>
                    <w:t>本项目</w:t>
                  </w:r>
                </w:p>
              </w:tc>
              <w:tc>
                <w:tcPr>
                  <w:tcW w:w="295" w:type="pct"/>
                  <w:tcBorders>
                    <w:tl2br w:val="nil"/>
                    <w:tr2bl w:val="nil"/>
                  </w:tcBorders>
                  <w:vAlign w:val="center"/>
                </w:tcPr>
                <w:p w14:paraId="32BDC723">
                  <w:pPr>
                    <w:pStyle w:val="79"/>
                    <w:rPr>
                      <w:rFonts w:hint="default" w:ascii="Times New Roman" w:hAnsi="Times New Roman" w:eastAsia="宋体" w:cs="Times New Roman"/>
                      <w:b/>
                      <w:bCs/>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14:textFill>
                        <w14:solidFill>
                          <w14:schemeClr w14:val="tx1"/>
                        </w14:solidFill>
                      </w14:textFill>
                    </w:rPr>
                    <w:t>符合性</w:t>
                  </w:r>
                </w:p>
              </w:tc>
            </w:tr>
            <w:tr w14:paraId="55AAF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tcBorders>
                    <w:tl2br w:val="nil"/>
                    <w:tr2bl w:val="nil"/>
                  </w:tcBorders>
                  <w:vAlign w:val="center"/>
                </w:tcPr>
                <w:p w14:paraId="1F29CB7F">
                  <w:pPr>
                    <w:pStyle w:val="79"/>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t>西乌珠穆沁旗-水源养生态功能重要区</w:t>
                  </w:r>
                </w:p>
              </w:tc>
              <w:tc>
                <w:tcPr>
                  <w:tcW w:w="412" w:type="pct"/>
                  <w:tcBorders>
                    <w:tl2br w:val="nil"/>
                    <w:tr2bl w:val="nil"/>
                  </w:tcBorders>
                  <w:vAlign w:val="center"/>
                </w:tcPr>
                <w:p w14:paraId="0B36084A">
                  <w:pPr>
                    <w:pStyle w:val="79"/>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t>空间布局约束</w:t>
                  </w:r>
                </w:p>
              </w:tc>
              <w:tc>
                <w:tcPr>
                  <w:tcW w:w="2287" w:type="pct"/>
                  <w:tcBorders>
                    <w:tl2br w:val="nil"/>
                    <w:tr2bl w:val="nil"/>
                  </w:tcBorders>
                  <w:vAlign w:val="center"/>
                </w:tcPr>
                <w:p w14:paraId="4514ACC9">
                  <w:pPr>
                    <w:pStyle w:val="79"/>
                    <w:jc w:val="left"/>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 xml:space="preserve">执行锡林郭勒盟总体准入要求中第八条关于饮用水水源地空间布局约束的 </w:t>
                  </w:r>
                </w:p>
                <w:p w14:paraId="2322C004">
                  <w:pPr>
                    <w:pStyle w:val="79"/>
                    <w:jc w:val="left"/>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 xml:space="preserve">准入要求。 </w:t>
                  </w:r>
                </w:p>
                <w:p w14:paraId="3EADFA4F">
                  <w:pPr>
                    <w:pStyle w:val="79"/>
                    <w:jc w:val="left"/>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在牧区饮水安全工程的水源地保护区或保护范围内禁止修建畜禽养殖场、 厕所、渗水坑、污水沟道、设置排污口，禁止排放有毒有害物、掩埋弃置动物 尸体或者堆放垃圾、粪便等污染物，不得擅自修建与供水设施无关的建（构） 筑物，不得擅自从事挖坑（沟、井）、取土、堆渣、爆破、打桩等危害牧区饮 水安全工程及其设施安全、水量水质安全的活动，禁止新建、改建、扩建与供水设施和保护水源无关的建设项目，及其他法律、法规规定的其他可能污染饮用水水源的行为。</w:t>
                  </w:r>
                </w:p>
                <w:p w14:paraId="318862B9">
                  <w:pPr>
                    <w:pStyle w:val="79"/>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p>
              </w:tc>
              <w:tc>
                <w:tcPr>
                  <w:tcW w:w="1557" w:type="pct"/>
                  <w:tcBorders>
                    <w:tl2br w:val="nil"/>
                    <w:tr2bl w:val="nil"/>
                  </w:tcBorders>
                  <w:vAlign w:val="center"/>
                </w:tcPr>
                <w:p w14:paraId="4D452F94">
                  <w:pPr>
                    <w:pStyle w:val="7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根据西乌珠穆沁旗出具的认定文件，项目占地不涉及饮用水源保护区，项目为公路建设，不属于管控要求禁止建设的行为</w:t>
                  </w:r>
                </w:p>
              </w:tc>
              <w:tc>
                <w:tcPr>
                  <w:tcW w:w="295" w:type="pct"/>
                  <w:tcBorders>
                    <w:tl2br w:val="nil"/>
                    <w:tr2bl w:val="nil"/>
                  </w:tcBorders>
                  <w:vAlign w:val="center"/>
                </w:tcPr>
                <w:p w14:paraId="4DE47E8E">
                  <w:pPr>
                    <w:pStyle w:val="79"/>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t>符合</w:t>
                  </w:r>
                </w:p>
              </w:tc>
            </w:tr>
          </w:tbl>
          <w:p w14:paraId="43341226">
            <w:pPr>
              <w:pStyle w:val="35"/>
              <w:ind w:firstLine="420"/>
              <w:rPr>
                <w:rFonts w:hint="default" w:ascii="Times New Roman" w:hAnsi="Times New Roman" w:eastAsia="宋体" w:cs="Times New Roman"/>
                <w:b/>
                <w:bCs/>
                <w:snapToGrid w:val="0"/>
                <w:color w:val="000000" w:themeColor="text1"/>
                <w:highlight w:val="none"/>
                <w14:textFill>
                  <w14:solidFill>
                    <w14:schemeClr w14:val="tx1"/>
                  </w14:solidFill>
                </w14:textFill>
              </w:rPr>
            </w:pPr>
            <w:r>
              <w:rPr>
                <w:rFonts w:hint="default" w:ascii="Times New Roman" w:hAnsi="Times New Roman" w:eastAsia="宋体" w:cs="Times New Roman"/>
                <w:b/>
                <w:bCs/>
                <w:snapToGrid w:val="0"/>
                <w:color w:val="000000" w:themeColor="text1"/>
                <w:highlight w:val="none"/>
                <w14:textFill>
                  <w14:solidFill>
                    <w14:schemeClr w14:val="tx1"/>
                  </w14:solidFill>
                </w14:textFill>
              </w:rPr>
              <w:t>四、与《锡林郭勒盟</w:t>
            </w:r>
            <w:r>
              <w:rPr>
                <w:rFonts w:hint="eastAsia" w:cs="Times New Roman"/>
                <w:b/>
                <w:bCs/>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bCs/>
                <w:snapToGrid w:val="0"/>
                <w:color w:val="000000" w:themeColor="text1"/>
                <w:highlight w:val="none"/>
                <w14:textFill>
                  <w14:solidFill>
                    <w14:schemeClr w14:val="tx1"/>
                  </w14:solidFill>
                </w14:textFill>
              </w:rPr>
              <w:t>十四五</w:t>
            </w:r>
            <w:r>
              <w:rPr>
                <w:rFonts w:hint="eastAsia" w:cs="Times New Roman"/>
                <w:b/>
                <w:bCs/>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bCs/>
                <w:snapToGrid w:val="0"/>
                <w:color w:val="000000" w:themeColor="text1"/>
                <w:highlight w:val="none"/>
                <w14:textFill>
                  <w14:solidFill>
                    <w14:schemeClr w14:val="tx1"/>
                  </w14:solidFill>
                </w14:textFill>
              </w:rPr>
              <w:t>生态环境保护规划》符合性分析</w:t>
            </w:r>
          </w:p>
          <w:p w14:paraId="2C48D476">
            <w:pPr>
              <w:pStyle w:val="35"/>
              <w:ind w:firstLine="420"/>
              <w:rPr>
                <w:rFonts w:hint="eastAsia" w:ascii="Times New Roman" w:hAnsi="Times New Roman" w:eastAsia="宋体" w:cs="Times New Roman"/>
                <w:snapToGrid w:val="0"/>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根据《锡林郭勒盟</w:t>
            </w:r>
            <w:r>
              <w:rPr>
                <w:rFonts w:hint="eastAsia"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十四五</w:t>
            </w:r>
            <w:r>
              <w:rPr>
                <w:rFonts w:hint="eastAsia"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生态环境保护规划》第三章第一节2.严格落实生态环境分区管控：</w:t>
            </w:r>
            <w:r>
              <w:rPr>
                <w:rFonts w:hint="eastAsia"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全面实施‘三线一单’（生态保护红线、环境质量底线、资源利用上线、生态环境准入清单）生态环境分区管控，对划定的生态保护红线区域按照规定严格管制，进一步推动违法违规侵占生态空间活动的退出和修复。根据国家主体功能区定位优化重大基础设施、重大生产力和公共资源布局，形成主体功能定位清晰的重点开发区域、限制开发区域和禁止开发区域三大空间格局，最大限度保护生态环境。在锡林浩特市和二连浩特市两个重点开发区域提高产业和人口集聚度。在限制开发区人口相对集聚的乡镇实行‘点状开发’，控制建设用地增长规模。严禁开展不符合主体功能定位的各类开发活动，履行合法合规审批手续，采用可持续发展方式，适度开展旅游、农牧业和林业生产等活动。</w:t>
            </w:r>
            <w:r>
              <w:rPr>
                <w:rFonts w:hint="eastAsia" w:cs="Times New Roman"/>
                <w:snapToGrid w:val="0"/>
                <w:color w:val="000000" w:themeColor="text1"/>
                <w:highlight w:val="none"/>
                <w:lang w:eastAsia="zh-CN"/>
                <w14:textFill>
                  <w14:solidFill>
                    <w14:schemeClr w14:val="tx1"/>
                  </w14:solidFill>
                </w14:textFill>
              </w:rPr>
              <w:t>”</w:t>
            </w:r>
          </w:p>
          <w:p w14:paraId="3648FE4D">
            <w:pPr>
              <w:pStyle w:val="35"/>
              <w:ind w:firstLine="420"/>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本项目是西乌珠穆沁旗</w:t>
            </w:r>
            <w:r>
              <w:rPr>
                <w:rFonts w:hint="eastAsia"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十四五</w:t>
            </w:r>
            <w:r>
              <w:rPr>
                <w:rFonts w:hint="eastAsia"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期间西乌珠穆沁旗旅游公路建设重点项目之一，是当地政府深入贯彻落实旅游发展战略的一项重要举措，对改善当地交通运输条件，促进社会经济发展，增加广大老百姓幸福感和获得感，满足人民对美好生活的需求等均具有重要意义。本项目的建设符合锡林郭勒盟</w:t>
            </w:r>
            <w:r>
              <w:rPr>
                <w:rFonts w:hint="eastAsia"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十四五</w:t>
            </w:r>
            <w:r>
              <w:rPr>
                <w:rFonts w:hint="eastAsia"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生态环境保护规划。</w:t>
            </w:r>
          </w:p>
          <w:p w14:paraId="608662E0">
            <w:pPr>
              <w:pStyle w:val="35"/>
              <w:ind w:firstLine="422"/>
              <w:rPr>
                <w:rFonts w:hint="default" w:ascii="Times New Roman" w:hAnsi="Times New Roman" w:eastAsia="宋体" w:cs="Times New Roman"/>
                <w:b/>
                <w:bCs/>
                <w:snapToGrid w:val="0"/>
                <w:color w:val="000000" w:themeColor="text1"/>
                <w:highlight w:val="none"/>
                <w14:textFill>
                  <w14:solidFill>
                    <w14:schemeClr w14:val="tx1"/>
                  </w14:solidFill>
                </w14:textFill>
              </w:rPr>
            </w:pPr>
            <w:r>
              <w:rPr>
                <w:rFonts w:hint="default" w:ascii="Times New Roman" w:hAnsi="Times New Roman" w:eastAsia="宋体" w:cs="Times New Roman"/>
                <w:b/>
                <w:bCs/>
                <w:snapToGrid w:val="0"/>
                <w:color w:val="000000" w:themeColor="text1"/>
                <w:highlight w:val="none"/>
                <w14:textFill>
                  <w14:solidFill>
                    <w14:schemeClr w14:val="tx1"/>
                  </w14:solidFill>
                </w14:textFill>
              </w:rPr>
              <w:t>五、与《内蒙古自治区</w:t>
            </w:r>
            <w:r>
              <w:rPr>
                <w:rFonts w:hint="eastAsia" w:cs="Times New Roman"/>
                <w:b/>
                <w:bCs/>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bCs/>
                <w:snapToGrid w:val="0"/>
                <w:color w:val="000000" w:themeColor="text1"/>
                <w:highlight w:val="none"/>
                <w14:textFill>
                  <w14:solidFill>
                    <w14:schemeClr w14:val="tx1"/>
                  </w14:solidFill>
                </w14:textFill>
              </w:rPr>
              <w:t>十四五</w:t>
            </w:r>
            <w:r>
              <w:rPr>
                <w:rFonts w:hint="eastAsia" w:cs="Times New Roman"/>
                <w:b/>
                <w:bCs/>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bCs/>
                <w:snapToGrid w:val="0"/>
                <w:color w:val="000000" w:themeColor="text1"/>
                <w:highlight w:val="none"/>
                <w14:textFill>
                  <w14:solidFill>
                    <w14:schemeClr w14:val="tx1"/>
                  </w14:solidFill>
                </w14:textFill>
              </w:rPr>
              <w:t>生态环境保护规划》符合性分析</w:t>
            </w:r>
          </w:p>
          <w:p w14:paraId="53A07170">
            <w:pPr>
              <w:pStyle w:val="35"/>
              <w:ind w:firstLine="420"/>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《规划》进一步确定了</w:t>
            </w:r>
            <w:r>
              <w:rPr>
                <w:rFonts w:hint="eastAsia"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十四五</w:t>
            </w:r>
            <w:r>
              <w:rPr>
                <w:rFonts w:hint="eastAsia"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生态环境质量、绿色化发展、生态系统质量和环境风险防范四大类21项具体指标，其中约束性指标12项，预期性指标9项，确保生态环境保护工作可量化、能执行。</w:t>
            </w:r>
            <w:r>
              <w:rPr>
                <w:rFonts w:hint="eastAsia"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十四五</w:t>
            </w:r>
            <w:r>
              <w:rPr>
                <w:rFonts w:hint="eastAsia"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时期，内蒙古生态环境保护将全力推动经济社会高质量发展、加快推进碳达峰碳中和进程、持续改善大气环境、稳步改善水生态环境、改善土壤和农村牧区环境、提升生态系统质量和稳定性、强化生态环境风险防控、构建现代环境治理体系、推动形成绿色生活方式九大重点任务，并针对每方面任务都细化提出一系列重大工程，为《规划》任务落地落细落实提供重要抓手和有力依托。</w:t>
            </w:r>
          </w:p>
          <w:p w14:paraId="36C0FF4B">
            <w:pPr>
              <w:pStyle w:val="35"/>
              <w:ind w:firstLine="420"/>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本项目建设能够促进当地旅游业发展，带动第三产业繁荣，增加就业机会和居民收入，推动经济多元化发展。在施工过程中采取有效的生态修复措施，及时进行植被恢复等，可将对生态系统的影响降至最低，符合规划中提升生态系统质量和稳定性的要求.</w:t>
            </w:r>
          </w:p>
          <w:p w14:paraId="0FF89FFE">
            <w:pPr>
              <w:pStyle w:val="35"/>
              <w:ind w:firstLine="420"/>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本项目建设能够加强与周边地区的交通联系，促进区域间的协调发展，实现资源共享和优势互补，共同推进生态环境保护和经济社会发展，符合规划中构建区域协调发展新格局的理念.</w:t>
            </w:r>
          </w:p>
          <w:p w14:paraId="14EAD07F">
            <w:pPr>
              <w:pStyle w:val="35"/>
              <w:ind w:firstLine="422"/>
              <w:rPr>
                <w:rFonts w:hint="default" w:ascii="Times New Roman" w:hAnsi="Times New Roman" w:eastAsia="宋体" w:cs="Times New Roman"/>
                <w:b/>
                <w:bCs/>
                <w:snapToGrid w:val="0"/>
                <w:color w:val="000000" w:themeColor="text1"/>
                <w:highlight w:val="none"/>
                <w14:textFill>
                  <w14:solidFill>
                    <w14:schemeClr w14:val="tx1"/>
                  </w14:solidFill>
                </w14:textFill>
              </w:rPr>
            </w:pPr>
            <w:r>
              <w:rPr>
                <w:rFonts w:hint="default" w:ascii="Times New Roman" w:hAnsi="Times New Roman" w:eastAsia="宋体" w:cs="Times New Roman"/>
                <w:b/>
                <w:bCs/>
                <w:snapToGrid w:val="0"/>
                <w:color w:val="000000" w:themeColor="text1"/>
                <w:highlight w:val="none"/>
                <w14:textFill>
                  <w14:solidFill>
                    <w14:schemeClr w14:val="tx1"/>
                  </w14:solidFill>
                </w14:textFill>
              </w:rPr>
              <w:t>六、与《锡林郭勒盟生态环境局关于落实沙区开发建设项目环境影响评价制度的通知》符合性分析</w:t>
            </w:r>
          </w:p>
          <w:p w14:paraId="338F856B">
            <w:pPr>
              <w:pStyle w:val="35"/>
              <w:ind w:firstLine="420"/>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根据《锡林郭勒盟生态环境局关于落实沙区开发建设项目环境影响评价制度的通知》(锡署环字[2020]246号)，为贯彻落实习近平</w:t>
            </w:r>
            <w:bookmarkStart w:id="4" w:name="_GoBack"/>
            <w:bookmarkEnd w:id="4"/>
            <w:r>
              <w:rPr>
                <w:rFonts w:hint="default" w:ascii="Times New Roman" w:hAnsi="Times New Roman" w:eastAsia="宋体" w:cs="Times New Roman"/>
                <w:snapToGrid w:val="0"/>
                <w:color w:val="000000" w:themeColor="text1"/>
                <w:highlight w:val="none"/>
                <w14:textFill>
                  <w14:solidFill>
                    <w14:schemeClr w14:val="tx1"/>
                  </w14:solidFill>
                </w14:textFill>
              </w:rPr>
              <w:t>生态文明思想和考察内蒙古重要讲话精神，协同推进我盟经济高质量发展和生态环境高水平保护，进一步发挥环评源头预防作用，推进我盟防沙治沙工作顺利开展，现就在沙化土地范围内开发项目开展环境影响评价工作的有关事宜通知如下：</w:t>
            </w:r>
          </w:p>
          <w:p w14:paraId="227B0144">
            <w:pPr>
              <w:pStyle w:val="35"/>
              <w:ind w:firstLine="420"/>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(1)防沙治沙范围根据《全国防沙治沙规划(2021-2030)》，我盟列入防沙治沙范围的包括浑善达克沙地(涉及阿巴嘎旗、正蓝旗、多伦县、苏尼特右旗、苏尼特左旗、镶黄旗、正镶白旗、二连浩特市、太仆寺旗)和乌珠穆沁沙地(涉及锡林浩特市、西乌珠穆沁旗、东乌珠穆沁旗)。</w:t>
            </w:r>
          </w:p>
          <w:p w14:paraId="06FBCEFD">
            <w:pPr>
              <w:pStyle w:val="35"/>
              <w:ind w:firstLine="420"/>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(2)工作依据</w:t>
            </w:r>
          </w:p>
          <w:p w14:paraId="332BD4CB">
            <w:pPr>
              <w:pStyle w:val="35"/>
              <w:ind w:firstLine="420"/>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《中华人民共和国防沙治沙法》规定</w:t>
            </w:r>
            <w:r>
              <w:rPr>
                <w:rFonts w:hint="eastAsia"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在沙化土地范围内从事开发建设活动的，必须事先就该项目可能对当地及相关地区生态产生的影响进行环境影响评价，依法提交环境影响报告；环境影响报告应当包括有关防沙治沙的内容</w:t>
            </w:r>
            <w:r>
              <w:rPr>
                <w:rFonts w:hint="eastAsia"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w:t>
            </w:r>
          </w:p>
          <w:p w14:paraId="3AA11095">
            <w:pPr>
              <w:pStyle w:val="35"/>
              <w:ind w:firstLine="420"/>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(3)本项目情况</w:t>
            </w:r>
          </w:p>
          <w:p w14:paraId="7C4231F5">
            <w:pPr>
              <w:pStyle w:val="35"/>
              <w:ind w:firstLine="420"/>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本项目建设地点位于</w:t>
            </w:r>
            <w:r>
              <w:rPr>
                <w:rFonts w:hint="eastAsia"/>
                <w:color w:val="000000" w:themeColor="text1"/>
                <w:szCs w:val="21"/>
                <w:highlight w:val="none"/>
                <w14:textFill>
                  <w14:solidFill>
                    <w14:schemeClr w14:val="tx1"/>
                  </w14:solidFill>
                </w14:textFill>
              </w:rPr>
              <w:t>内蒙古自治区锡林郭勒盟西乌珠穆沁旗浩勒图高勒镇境</w:t>
            </w:r>
            <w:r>
              <w:rPr>
                <w:rFonts w:hint="eastAsia" w:cs="宋体"/>
                <w:b/>
                <w:bCs/>
                <w:color w:val="000000" w:themeColor="text1"/>
                <w:szCs w:val="21"/>
                <w:highlight w:val="none"/>
                <w14:textFill>
                  <w14:solidFill>
                    <w14:schemeClr w14:val="tx1"/>
                  </w14:solidFill>
                </w14:textFill>
              </w:rPr>
              <w:t>乌珠穆沁白牛核心育种场创建和认定进场道路</w:t>
            </w:r>
            <w:r>
              <w:rPr>
                <w:rFonts w:hint="default" w:ascii="Times New Roman" w:hAnsi="Times New Roman" w:eastAsia="宋体" w:cs="Times New Roman"/>
                <w:snapToGrid w:val="0"/>
                <w:color w:val="000000" w:themeColor="text1"/>
                <w:highlight w:val="none"/>
                <w14:textFill>
                  <w14:solidFill>
                    <w14:schemeClr w14:val="tx1"/>
                  </w14:solidFill>
                </w14:textFill>
              </w:rPr>
              <w:t>，针对项目区生态现状进行现状调查，由调查情况可知，项目区域占地类型主要为天然牧草地。</w:t>
            </w:r>
          </w:p>
          <w:p w14:paraId="2737EE9D">
            <w:pPr>
              <w:pStyle w:val="35"/>
              <w:ind w:firstLine="420"/>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(4)工作要求</w:t>
            </w:r>
          </w:p>
          <w:p w14:paraId="12B5D12A">
            <w:pPr>
              <w:pStyle w:val="35"/>
              <w:ind w:firstLine="420"/>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要求项目实施过程加强对沙区植被的保护，减少对沙化土地的破坏，避免沙化土地进一步发生。本项目为道路建设项目，生产设施及构(建)筑物进行拆除，对项目区及周边扰动区域均需要进行土地平整、生态恢复，避免区域发生沙化，保持地表的稳定状态。</w:t>
            </w:r>
          </w:p>
          <w:p w14:paraId="0B53AFF6">
            <w:pPr>
              <w:pStyle w:val="35"/>
              <w:ind w:firstLine="420"/>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本项目完工后，取土场、施工便道等临时占地进行平整后覆盖表土，采取自然加人工方式分区块进行植被恢复，植被覆盖率不低于利用前水平。</w:t>
            </w:r>
          </w:p>
          <w:p w14:paraId="1C26E619">
            <w:pPr>
              <w:pStyle w:val="35"/>
              <w:ind w:firstLine="422"/>
              <w:rPr>
                <w:rFonts w:hint="default" w:ascii="Times New Roman" w:hAnsi="Times New Roman" w:eastAsia="宋体" w:cs="Times New Roman"/>
                <w:b/>
                <w:bCs/>
                <w:snapToGrid w:val="0"/>
                <w:color w:val="000000" w:themeColor="text1"/>
                <w:highlight w:val="none"/>
                <w14:textFill>
                  <w14:solidFill>
                    <w14:schemeClr w14:val="tx1"/>
                  </w14:solidFill>
                </w14:textFill>
              </w:rPr>
            </w:pPr>
            <w:r>
              <w:rPr>
                <w:rFonts w:hint="default" w:ascii="Times New Roman" w:hAnsi="Times New Roman" w:eastAsia="宋体" w:cs="Times New Roman"/>
                <w:b/>
                <w:bCs/>
                <w:snapToGrid w:val="0"/>
                <w:color w:val="000000" w:themeColor="text1"/>
                <w:highlight w:val="none"/>
                <w14:textFill>
                  <w14:solidFill>
                    <w14:schemeClr w14:val="tx1"/>
                  </w14:solidFill>
                </w14:textFill>
              </w:rPr>
              <w:t>八、与《西乌珠穆沁旗国土空间总体规划（2021-2035年）》符合性分析</w:t>
            </w:r>
          </w:p>
          <w:p w14:paraId="23EB9E88">
            <w:pPr>
              <w:pStyle w:val="35"/>
              <w:ind w:firstLine="420"/>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四、要素支撑体系与韧性安全（一）综合交通体系畅达高效构建以通用机场、铁路、公路运输通道为支撑的城市对外交通体系，促进各种运输方式的合理配置、高效衔接，保障西乌珠穆沁旗资源要素的集聚与扩散。公路优化公路网结构，继续提升旗域路网质量，升级改造牧区公路等级，实施较窄路面拓宽改造工程，形成覆盖全面、功能完善、衔接顺畅、运行可靠的公路网架构。</w:t>
            </w:r>
          </w:p>
          <w:p w14:paraId="261C09E2">
            <w:pPr>
              <w:pStyle w:val="35"/>
              <w:ind w:firstLine="420"/>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本项目的建设有利于发展西乌珠穆沁旗草原文化旅游事业，符合《西乌珠穆沁旗国土空间总体规划（2021-2035年）》中带动西乌旗走现代现代低碳畜牧产业道路，打造内蒙古草畜产业示范基地的要求。</w:t>
            </w:r>
          </w:p>
          <w:p w14:paraId="1378C633">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118E1021">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120D6B6D">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61C35A67">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1E7012B6">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4C8A9C2B">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7C960578">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225CC35B">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5BBF5026">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5572B6B1">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2CD78BEE">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641FE4F4">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369F4706">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1774779D">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6A1D91FB">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0B76431F">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52F9B62E">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50CEEC36">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2D48A3DE">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p w14:paraId="10DCCDEB">
            <w:pPr>
              <w:pStyle w:val="55"/>
              <w:spacing w:line="360" w:lineRule="auto"/>
              <w:ind w:firstLine="420" w:firstLineChars="200"/>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r>
    </w:tbl>
    <w:p w14:paraId="0A76DF1C">
      <w:pPr>
        <w:spacing w:line="360" w:lineRule="auto"/>
        <w:rPr>
          <w:rFonts w:hint="default" w:ascii="Times New Roman" w:hAnsi="Times New Roman" w:eastAsia="宋体" w:cs="Times New Roman"/>
          <w:color w:val="000000" w:themeColor="text1"/>
          <w:sz w:val="30"/>
          <w:highlight w:val="none"/>
          <w14:textFill>
            <w14:solidFill>
              <w14:schemeClr w14:val="tx1"/>
            </w14:solidFill>
          </w14:textFill>
        </w:rPr>
      </w:pPr>
    </w:p>
    <w:p w14:paraId="50B9C4D1">
      <w:pPr>
        <w:spacing w:line="360" w:lineRule="auto"/>
        <w:outlineLvl w:val="0"/>
        <w:rPr>
          <w:rFonts w:hint="default" w:ascii="Times New Roman" w:hAnsi="Times New Roman" w:eastAsia="宋体" w:cs="Times New Roman"/>
          <w:color w:val="000000" w:themeColor="text1"/>
          <w:sz w:val="30"/>
          <w:highlight w:val="none"/>
          <w14:textFill>
            <w14:solidFill>
              <w14:schemeClr w14:val="tx1"/>
            </w14:solidFill>
          </w14:textFill>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3998597">
      <w:pPr>
        <w:pStyle w:val="26"/>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t>二、建设内容</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7"/>
        <w:gridCol w:w="8105"/>
      </w:tblGrid>
      <w:tr w14:paraId="49E32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245" w:type="pct"/>
            <w:vAlign w:val="center"/>
          </w:tcPr>
          <w:p w14:paraId="3C1833D3">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地理位置</w:t>
            </w:r>
          </w:p>
        </w:tc>
        <w:tc>
          <w:tcPr>
            <w:tcW w:w="4754" w:type="pct"/>
            <w:vAlign w:val="center"/>
          </w:tcPr>
          <w:p w14:paraId="5F93139D">
            <w:pPr>
              <w:widowControl/>
              <w:spacing w:line="360" w:lineRule="auto"/>
              <w:ind w:firstLine="480" w:firstLineChars="200"/>
              <w:jc w:val="left"/>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乌珠穆沁白牛核心育种场创建和认定项目进场道路工程位于内蒙古锡林郭勒盟西乌珠穆沁旗浩勒图高勒镇境内，线路总体呈西—东走向，起点坐标：东经 117°47′13.81″，北纬 44°8′25.90″，桩号 K0+000；终点坐标：东经 117°50′53.81″，北纬 44°8′43.47″，桩 号 K5+652.557；路线全长 5.653 公里。</w:t>
            </w:r>
          </w:p>
        </w:tc>
      </w:tr>
      <w:tr w14:paraId="6BD4AE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vAlign w:val="center"/>
          </w:tcPr>
          <w:p w14:paraId="324FAC49">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项目组成及规模</w:t>
            </w:r>
          </w:p>
        </w:tc>
        <w:tc>
          <w:tcPr>
            <w:tcW w:w="4754" w:type="pct"/>
            <w:vMerge w:val="restart"/>
            <w:vAlign w:val="center"/>
          </w:tcPr>
          <w:p w14:paraId="0ABC05A3">
            <w:pPr>
              <w:pStyle w:val="17"/>
              <w:spacing w:before="0" w:after="0" w:line="360" w:lineRule="auto"/>
              <w:ind w:right="0" w:firstLine="480" w:firstLineChars="200"/>
              <w:rPr>
                <w:rFonts w:hint="default" w:ascii="Times New Roman" w:hAnsi="Times New Roman" w:eastAsia="宋体" w:cs="Times New Roman"/>
                <w:color w:val="000000" w:themeColor="text1"/>
                <w:kern w:val="0"/>
                <w:sz w:val="24"/>
                <w:highlight w:val="none"/>
                <w:lang w:bidi="ar"/>
                <w14:textFill>
                  <w14:solidFill>
                    <w14:schemeClr w14:val="tx1"/>
                  </w14:solidFill>
                </w14:textFill>
              </w:rPr>
            </w:pPr>
            <w:r>
              <w:rPr>
                <w:rFonts w:hint="eastAsia" w:cs="Times New Roman"/>
                <w:color w:val="000000" w:themeColor="text1"/>
                <w:kern w:val="0"/>
                <w:sz w:val="24"/>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建设内容</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 xml:space="preserve"> </w:t>
            </w:r>
          </w:p>
          <w:p w14:paraId="31CFC8B6">
            <w:pPr>
              <w:pStyle w:val="17"/>
              <w:spacing w:before="0" w:after="0" w:line="360" w:lineRule="auto"/>
              <w:ind w:right="0" w:firstLine="480" w:firstLineChars="200"/>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本项目路线全长 5.653 公里，路基宽度 7.5m，路线全长 5.653 公里，设计速度 20 公里/小时。全线设过水路面 1 处、平面交叉 2 处。</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道路等级</w:t>
            </w:r>
            <w:r>
              <w:rPr>
                <w:rFonts w:hint="eastAsia" w:cs="Times New Roman"/>
                <w:color w:val="000000" w:themeColor="text1"/>
                <w:sz w:val="24"/>
                <w:szCs w:val="24"/>
                <w:highlight w:val="none"/>
                <w:lang w:val="en-US" w:eastAsia="zh-CN" w:bidi="ar"/>
                <w14:textFill>
                  <w14:solidFill>
                    <w14:schemeClr w14:val="tx1"/>
                  </w14:solidFill>
                </w14:textFill>
              </w:rPr>
              <w:t>为</w:t>
            </w: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四级公路</w:t>
            </w:r>
            <w:r>
              <w:rPr>
                <w:rFonts w:hint="eastAsia" w:cs="Times New Roman"/>
                <w:color w:val="000000" w:themeColor="text1"/>
                <w:sz w:val="24"/>
                <w:szCs w:val="24"/>
                <w:highlight w:val="none"/>
                <w:lang w:val="en-US" w:eastAsia="zh-CN" w:bidi="ar"/>
                <w14:textFill>
                  <w14:solidFill>
                    <w14:schemeClr w14:val="tx1"/>
                  </w14:solidFill>
                </w14:textFill>
              </w:rPr>
              <w:t>。</w:t>
            </w:r>
          </w:p>
          <w:p w14:paraId="692113B4">
            <w:pPr>
              <w:widowControl/>
              <w:spacing w:line="360" w:lineRule="auto"/>
              <w:ind w:firstLine="480" w:firstLineChars="200"/>
              <w:rPr>
                <w:rFonts w:hint="default" w:ascii="Times New Roman" w:hAnsi="Times New Roman" w:eastAsia="宋体" w:cs="Times New Roman"/>
                <w:color w:val="000000" w:themeColor="text1"/>
                <w:kern w:val="0"/>
                <w:sz w:val="24"/>
                <w:highlight w:val="none"/>
                <w:lang w:bidi="ar"/>
                <w14:textFill>
                  <w14:solidFill>
                    <w14:schemeClr w14:val="tx1"/>
                  </w14:solidFill>
                </w14:textFill>
              </w:rPr>
            </w:pPr>
            <w:r>
              <w:rPr>
                <w:rFonts w:hint="eastAsia" w:cs="Times New Roman"/>
                <w:color w:val="000000" w:themeColor="text1"/>
                <w:kern w:val="0"/>
                <w:sz w:val="24"/>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总投资：</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项目总投资 545.21 万元，其中土建投资 414.94 万元；</w:t>
            </w:r>
          </w:p>
          <w:p w14:paraId="7445A232">
            <w:pPr>
              <w:widowControl/>
              <w:spacing w:line="360" w:lineRule="auto"/>
              <w:ind w:firstLine="482" w:firstLineChars="200"/>
              <w:jc w:val="left"/>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cs="Times New Roman"/>
                <w:b/>
                <w:bCs/>
                <w:color w:val="000000" w:themeColor="text1"/>
                <w:kern w:val="0"/>
                <w:sz w:val="24"/>
                <w:highlight w:val="none"/>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新建公路建设内容</w:t>
            </w:r>
          </w:p>
          <w:p w14:paraId="05088278">
            <w:pPr>
              <w:widowControl/>
              <w:spacing w:line="360" w:lineRule="auto"/>
              <w:ind w:firstLine="482" w:firstLineChars="200"/>
              <w:jc w:val="left"/>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cs="Times New Roman"/>
                <w:b/>
                <w:bCs/>
                <w:color w:val="000000" w:themeColor="text1"/>
                <w:kern w:val="0"/>
                <w:sz w:val="24"/>
                <w:highlight w:val="none"/>
                <w:lang w:val="en-US" w:eastAsia="zh-CN" w:bidi="ar"/>
                <w14:textFill>
                  <w14:solidFill>
                    <w14:schemeClr w14:val="tx1"/>
                  </w14:solidFill>
                </w14:textFill>
              </w:rPr>
              <w:t>3.1</w:t>
            </w: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项目组成</w:t>
            </w:r>
          </w:p>
          <w:p w14:paraId="02C4051C">
            <w:pPr>
              <w:widowControl/>
              <w:spacing w:line="360" w:lineRule="auto"/>
              <w:ind w:firstLine="480" w:firstLineChars="200"/>
              <w:jc w:val="left"/>
              <w:rPr>
                <w:rFonts w:hint="default" w:ascii="Times New Roman" w:hAnsi="Times New Roman" w:eastAsia="宋体" w:cs="Times New Roman"/>
                <w:color w:val="000000" w:themeColor="text1"/>
                <w:kern w:val="0"/>
                <w:sz w:val="24"/>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本项目建设内容详见下表2-1。</w:t>
            </w:r>
          </w:p>
          <w:p w14:paraId="1BA95B8D">
            <w:pPr>
              <w:widowControl/>
              <w:jc w:val="center"/>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t>表2-1建设内容组成一览表</w:t>
            </w:r>
          </w:p>
          <w:tbl>
            <w:tblPr>
              <w:tblStyle w:val="30"/>
              <w:tblW w:w="76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1025"/>
              <w:gridCol w:w="5635"/>
            </w:tblGrid>
            <w:tr w14:paraId="4404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Align w:val="center"/>
                </w:tcPr>
                <w:p w14:paraId="1EAC3FF2">
                  <w:pPr>
                    <w:widowControl/>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类别</w:t>
                  </w:r>
                </w:p>
              </w:tc>
              <w:tc>
                <w:tcPr>
                  <w:tcW w:w="1025" w:type="dxa"/>
                  <w:vAlign w:val="center"/>
                </w:tcPr>
                <w:p w14:paraId="467D843A">
                  <w:pPr>
                    <w:widowControl/>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工程名称</w:t>
                  </w:r>
                </w:p>
              </w:tc>
              <w:tc>
                <w:tcPr>
                  <w:tcW w:w="5635" w:type="dxa"/>
                  <w:vAlign w:val="center"/>
                </w:tcPr>
                <w:p w14:paraId="4BD6B3FA">
                  <w:pPr>
                    <w:widowControl/>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建设内容</w:t>
                  </w:r>
                </w:p>
              </w:tc>
            </w:tr>
            <w:tr w14:paraId="0015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restart"/>
                  <w:vAlign w:val="center"/>
                </w:tcPr>
                <w:p w14:paraId="5C301517">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主体工程</w:t>
                  </w:r>
                </w:p>
              </w:tc>
              <w:tc>
                <w:tcPr>
                  <w:tcW w:w="1025" w:type="dxa"/>
                  <w:vAlign w:val="center"/>
                </w:tcPr>
                <w:p w14:paraId="0208327D">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路线</w:t>
                  </w:r>
                </w:p>
              </w:tc>
              <w:tc>
                <w:tcPr>
                  <w:tcW w:w="5635" w:type="dxa"/>
                  <w:vAlign w:val="center"/>
                </w:tcPr>
                <w:p w14:paraId="556926D0">
                  <w:pPr>
                    <w:widowControl/>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路线全长 5.653 公里，路基宽度 7.5m，路线全长 5.653 公里</w:t>
                  </w:r>
                </w:p>
              </w:tc>
            </w:tr>
            <w:tr w14:paraId="77ED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continue"/>
                  <w:vAlign w:val="center"/>
                </w:tcPr>
                <w:p w14:paraId="51CE4B51">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25" w:type="dxa"/>
                  <w:vAlign w:val="center"/>
                </w:tcPr>
                <w:p w14:paraId="6EF24546">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路基工程</w:t>
                  </w:r>
                </w:p>
              </w:tc>
              <w:tc>
                <w:tcPr>
                  <w:tcW w:w="5635" w:type="dxa"/>
                  <w:vAlign w:val="center"/>
                </w:tcPr>
                <w:p w14:paraId="60B247D7">
                  <w:pPr>
                    <w:widowControl/>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全线采用整体式路基，路基宽度 7.5 米，路面宽度 4.5 米，土路肩 2×1.5 米。行车道横坡采用 0%，两侧土路肩路拱横坡采用 3.0%。</w:t>
                  </w:r>
                </w:p>
              </w:tc>
            </w:tr>
            <w:tr w14:paraId="74F5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continue"/>
                  <w:vAlign w:val="center"/>
                </w:tcPr>
                <w:p w14:paraId="42344D11">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25" w:type="dxa"/>
                  <w:vAlign w:val="center"/>
                </w:tcPr>
                <w:p w14:paraId="7E4877A8">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路面工程</w:t>
                  </w:r>
                </w:p>
              </w:tc>
              <w:tc>
                <w:tcPr>
                  <w:tcW w:w="5635" w:type="dxa"/>
                  <w:vAlign w:val="center"/>
                </w:tcPr>
                <w:p w14:paraId="29736174">
                  <w:pPr>
                    <w:widowControl/>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全线路面采用水泥混凝土面层的路面结构，路面结构形式从上到下：18 厘米厚水泥混凝土面层，20 厘米厚石渣粒功能层，路面总厚度 38 厘米。</w:t>
                  </w:r>
                </w:p>
              </w:tc>
            </w:tr>
            <w:tr w14:paraId="648B6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continue"/>
                  <w:vAlign w:val="center"/>
                </w:tcPr>
                <w:p w14:paraId="44166DC2">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25" w:type="dxa"/>
                  <w:vAlign w:val="center"/>
                </w:tcPr>
                <w:p w14:paraId="5964C2B7">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过水路面</w:t>
                  </w:r>
                </w:p>
              </w:tc>
              <w:tc>
                <w:tcPr>
                  <w:tcW w:w="5635" w:type="dxa"/>
                  <w:vAlign w:val="center"/>
                </w:tcPr>
                <w:p w14:paraId="3BDE1019">
                  <w:pPr>
                    <w:widowControl/>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全线设过水路面 1 处，起讫桩号 K3+330～K3+380，长度 50m，宽度与路基同宽。</w:t>
                  </w:r>
                </w:p>
              </w:tc>
            </w:tr>
            <w:tr w14:paraId="50B4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continue"/>
                  <w:vAlign w:val="center"/>
                </w:tcPr>
                <w:p w14:paraId="1A183359">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25" w:type="dxa"/>
                  <w:vAlign w:val="center"/>
                </w:tcPr>
                <w:p w14:paraId="299B1141">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交叉工程</w:t>
                  </w:r>
                </w:p>
                <w:p w14:paraId="4A745FDA">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35" w:type="dxa"/>
                  <w:vAlign w:val="center"/>
                </w:tcPr>
                <w:p w14:paraId="5A8A08DF">
                  <w:pPr>
                    <w:widowControl/>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全线共设平交 2 处，全部为与道路交叉，均采取加铺转角的形式，宽度与路基同宽。</w:t>
                  </w:r>
                </w:p>
              </w:tc>
            </w:tr>
            <w:tr w14:paraId="40E3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restart"/>
                  <w:vAlign w:val="center"/>
                </w:tcPr>
                <w:p w14:paraId="18822C32">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附属工程</w:t>
                  </w:r>
                </w:p>
              </w:tc>
              <w:tc>
                <w:tcPr>
                  <w:tcW w:w="1025" w:type="dxa"/>
                  <w:vMerge w:val="restart"/>
                  <w:vAlign w:val="center"/>
                </w:tcPr>
                <w:p w14:paraId="444FEB5F">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排水工程</w:t>
                  </w:r>
                </w:p>
              </w:tc>
              <w:tc>
                <w:tcPr>
                  <w:tcW w:w="5635" w:type="dxa"/>
                  <w:vAlign w:val="center"/>
                </w:tcPr>
                <w:p w14:paraId="34822F09">
                  <w:pPr>
                    <w:widowControl/>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在新建路基挖方路段设置 C25 预制混凝土浅碟形边沟，尺寸为：25cm（高）× 100cm（宽），出水口接排水沟或构造物泄水。</w:t>
                  </w:r>
                </w:p>
              </w:tc>
            </w:tr>
            <w:tr w14:paraId="4780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continue"/>
                  <w:vAlign w:val="center"/>
                </w:tcPr>
                <w:p w14:paraId="5B67C0D4">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25" w:type="dxa"/>
                  <w:vMerge w:val="continue"/>
                  <w:vAlign w:val="center"/>
                </w:tcPr>
                <w:p w14:paraId="69CD94D4">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635" w:type="dxa"/>
                  <w:vAlign w:val="center"/>
                </w:tcPr>
                <w:p w14:paraId="7ADF1D59">
                  <w:pPr>
                    <w:widowControl/>
                    <w:ind w:firstLine="420"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路面排水采用散排方式，路面水由路拱向两侧自然分散排除。</w:t>
                  </w:r>
                </w:p>
              </w:tc>
            </w:tr>
            <w:tr w14:paraId="7121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continue"/>
                  <w:vAlign w:val="center"/>
                </w:tcPr>
                <w:p w14:paraId="2FA36626">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25" w:type="dxa"/>
                  <w:vAlign w:val="center"/>
                </w:tcPr>
                <w:p w14:paraId="664489A2">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路基防护</w:t>
                  </w:r>
                </w:p>
              </w:tc>
              <w:tc>
                <w:tcPr>
                  <w:tcW w:w="5635" w:type="dxa"/>
                  <w:vAlign w:val="center"/>
                </w:tcPr>
                <w:p w14:paraId="6DB6D914">
                  <w:pPr>
                    <w:widowControl/>
                    <w:ind w:firstLine="420"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路堤：路基填土路段采用植草边坡防护。 </w:t>
                  </w:r>
                </w:p>
                <w:p w14:paraId="3C9B24C8">
                  <w:pPr>
                    <w:widowControl/>
                    <w:ind w:firstLine="420"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路堑：路堑边坡采用植草防护。</w:t>
                  </w:r>
                </w:p>
              </w:tc>
            </w:tr>
            <w:tr w14:paraId="6F2D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restart"/>
                  <w:vAlign w:val="center"/>
                </w:tcPr>
                <w:p w14:paraId="11A724B7">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临时工程</w:t>
                  </w:r>
                </w:p>
              </w:tc>
              <w:tc>
                <w:tcPr>
                  <w:tcW w:w="1025" w:type="dxa"/>
                  <w:vAlign w:val="center"/>
                </w:tcPr>
                <w:p w14:paraId="343E02F6">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取、弃土场</w:t>
                  </w:r>
                </w:p>
              </w:tc>
              <w:tc>
                <w:tcPr>
                  <w:tcW w:w="5635" w:type="dxa"/>
                  <w:vAlign w:val="center"/>
                </w:tcPr>
                <w:p w14:paraId="6D2B4D92">
                  <w:pPr>
                    <w:widowControl/>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全线共设置取土场 1 处，位于桩号 K0+000 右侧约 2km 处，地理坐标：东经 117°45′53.59″，北纬 44°8′53.58″，占地类型为草地，占地面积为 2.14hm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49B5B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continue"/>
                  <w:vAlign w:val="center"/>
                </w:tcPr>
                <w:p w14:paraId="3847CD04">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25" w:type="dxa"/>
                  <w:vAlign w:val="center"/>
                </w:tcPr>
                <w:p w14:paraId="155C04BE">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施工场地</w:t>
                  </w:r>
                </w:p>
              </w:tc>
              <w:tc>
                <w:tcPr>
                  <w:tcW w:w="5635" w:type="dxa"/>
                  <w:vAlign w:val="center"/>
                </w:tcPr>
                <w:p w14:paraId="7C3B71D6">
                  <w:pPr>
                    <w:widowControl/>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全线共设置施工场地（包含拌和站及生活区）1 处，施工生活区与拌和站同址建设，位于桩号 K0+000 处右侧，地理坐标：东经 117°47′11.61″，北纬 44°8′25.06″，占地类型为草地，占地面积为 0.40hm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7A84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continue"/>
                  <w:vAlign w:val="center"/>
                </w:tcPr>
                <w:p w14:paraId="6D4734A5">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25" w:type="dxa"/>
                  <w:vAlign w:val="center"/>
                </w:tcPr>
                <w:p w14:paraId="278472AA">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施工便道</w:t>
                  </w:r>
                </w:p>
              </w:tc>
              <w:tc>
                <w:tcPr>
                  <w:tcW w:w="5635" w:type="dxa"/>
                  <w:vAlign w:val="center"/>
                </w:tcPr>
                <w:p w14:paraId="7D167BD0">
                  <w:pPr>
                    <w:widowControl/>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在利用既有道路的基础上，共修建施工便道 6.4km；</w:t>
                  </w:r>
                </w:p>
              </w:tc>
            </w:tr>
            <w:tr w14:paraId="3279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continue"/>
                  <w:vAlign w:val="center"/>
                </w:tcPr>
                <w:p w14:paraId="14F28DF6">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25" w:type="dxa"/>
                  <w:vAlign w:val="center"/>
                </w:tcPr>
                <w:p w14:paraId="5F893CD6">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表土堆放场</w:t>
                  </w:r>
                </w:p>
              </w:tc>
              <w:tc>
                <w:tcPr>
                  <w:tcW w:w="5635" w:type="dxa"/>
                  <w:vAlign w:val="center"/>
                </w:tcPr>
                <w:p w14:paraId="05016951">
                  <w:pPr>
                    <w:widowControl/>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设置表土堆放区 1 处，位于路线桩号 K0+670 右侧，用于堆放路基及施工便道剥离的表土，共堆放表土 1.69 万 m</w:t>
                  </w:r>
                  <w:r>
                    <w:rPr>
                      <w:rFonts w:hint="default"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，堆高 3m，边坡 1：1，临时占地 0.64hm</w:t>
                  </w:r>
                  <w:r>
                    <w:rPr>
                      <w:rFonts w:hint="default"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，占地类型为草地。</w:t>
                  </w:r>
                </w:p>
              </w:tc>
            </w:tr>
            <w:tr w14:paraId="5688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continue"/>
                  <w:vAlign w:val="center"/>
                </w:tcPr>
                <w:p w14:paraId="31787764">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25" w:type="dxa"/>
                  <w:vAlign w:val="center"/>
                </w:tcPr>
                <w:p w14:paraId="0AD39931">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供水工程</w:t>
                  </w:r>
                </w:p>
              </w:tc>
              <w:tc>
                <w:tcPr>
                  <w:tcW w:w="5635" w:type="dxa"/>
                  <w:vAlign w:val="center"/>
                </w:tcPr>
                <w:p w14:paraId="0F839699">
                  <w:pPr>
                    <w:widowControl/>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项目施工用水就近取用，采用水车拉运解决。</w:t>
                  </w:r>
                </w:p>
              </w:tc>
            </w:tr>
            <w:tr w14:paraId="2331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continue"/>
                  <w:vAlign w:val="center"/>
                </w:tcPr>
                <w:p w14:paraId="6B0D762E">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25" w:type="dxa"/>
                  <w:vAlign w:val="center"/>
                </w:tcPr>
                <w:p w14:paraId="0CFB1AAF">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供电工程</w:t>
                  </w:r>
                </w:p>
              </w:tc>
              <w:tc>
                <w:tcPr>
                  <w:tcW w:w="5635" w:type="dxa"/>
                  <w:vAlign w:val="center"/>
                </w:tcPr>
                <w:p w14:paraId="3E39F66B">
                  <w:pPr>
                    <w:widowControl/>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施工生产生活区供电电源就近接电，由附近的 10kV 线路引接，长度 200m，架电杆 6 基，占地 0.01hm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；路基施工零星用电采用发电机发电解决。</w:t>
                  </w:r>
                </w:p>
              </w:tc>
            </w:tr>
            <w:tr w14:paraId="521B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1" w:type="dxa"/>
                  <w:vMerge w:val="restart"/>
                  <w:vAlign w:val="center"/>
                </w:tcPr>
                <w:p w14:paraId="6B96A822">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施工期环保工程</w:t>
                  </w:r>
                </w:p>
              </w:tc>
              <w:tc>
                <w:tcPr>
                  <w:tcW w:w="1025" w:type="dxa"/>
                  <w:vAlign w:val="center"/>
                </w:tcPr>
                <w:p w14:paraId="1E4EAC08">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废气治理</w:t>
                  </w:r>
                </w:p>
              </w:tc>
              <w:tc>
                <w:tcPr>
                  <w:tcW w:w="5635" w:type="dxa"/>
                  <w:vAlign w:val="center"/>
                </w:tcPr>
                <w:p w14:paraId="1735C08A">
                  <w:pPr>
                    <w:widowControl/>
                    <w:ind w:firstLine="420"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扬尘采取洒水抑尘、加强车辆管理、表土堆设施防风抑尘网苫盖、大风天气停止施工、取土场采用防风抑尘网苫盖等措施减轻影响；运输车辆废气采取定期对车辆保养，使用正规厂家生产的车辆降低车辆废气对周边环境的影响；</w:t>
                  </w:r>
                  <w:r>
                    <w:rPr>
                      <w:rFonts w:hint="eastAsia" w:cs="Times New Roman"/>
                      <w:color w:val="000000" w:themeColor="text1"/>
                      <w:sz w:val="21"/>
                      <w:szCs w:val="21"/>
                      <w:highlight w:val="none"/>
                      <w:lang w:val="en-US" w:eastAsia="zh-CN"/>
                      <w14:textFill>
                        <w14:solidFill>
                          <w14:schemeClr w14:val="tx1"/>
                        </w14:solidFill>
                      </w14:textFill>
                    </w:rPr>
                    <w:t>拌合站水泥采用水泥仓封闭储存，仓顶自带收尘器处理，拌合搅拌过程自带除尘器，收集的粉尘自动用于混凝土搅拌原料使用。石子、沙子的存储在大风天气采用苫布进行苫盖处理。</w:t>
                  </w:r>
                </w:p>
              </w:tc>
            </w:tr>
            <w:tr w14:paraId="6950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continue"/>
                  <w:vAlign w:val="center"/>
                </w:tcPr>
                <w:p w14:paraId="73E88970">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25" w:type="dxa"/>
                  <w:vAlign w:val="center"/>
                </w:tcPr>
                <w:p w14:paraId="5A96A08B">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废水治理</w:t>
                  </w:r>
                </w:p>
              </w:tc>
              <w:tc>
                <w:tcPr>
                  <w:tcW w:w="5635" w:type="dxa"/>
                  <w:vAlign w:val="center"/>
                </w:tcPr>
                <w:p w14:paraId="155E4837">
                  <w:pPr>
                    <w:widowControl/>
                    <w:ind w:firstLine="420"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施工期：</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生活污水</w:t>
                  </w:r>
                  <w:r>
                    <w:rPr>
                      <w:rFonts w:hint="eastAsia" w:cs="Times New Roman"/>
                      <w:color w:val="000000" w:themeColor="text1"/>
                      <w:kern w:val="0"/>
                      <w:sz w:val="21"/>
                      <w:szCs w:val="21"/>
                      <w:highlight w:val="none"/>
                      <w:lang w:val="en-US" w:eastAsia="zh-CN" w:bidi="ar"/>
                      <w14:textFill>
                        <w14:solidFill>
                          <w14:schemeClr w14:val="tx1"/>
                        </w14:solidFill>
                      </w14:textFill>
                    </w:rPr>
                    <w:t>依托附近牧户旱厕，定期清掏</w:t>
                  </w:r>
                </w:p>
              </w:tc>
            </w:tr>
            <w:tr w14:paraId="1F8D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continue"/>
                  <w:vAlign w:val="center"/>
                </w:tcPr>
                <w:p w14:paraId="04ED8481">
                  <w:pPr>
                    <w:widowControl/>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25" w:type="dxa"/>
                  <w:vAlign w:val="center"/>
                </w:tcPr>
                <w:p w14:paraId="614128B6">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噪声治理</w:t>
                  </w:r>
                </w:p>
              </w:tc>
              <w:tc>
                <w:tcPr>
                  <w:tcW w:w="5635" w:type="dxa"/>
                  <w:vAlign w:val="center"/>
                </w:tcPr>
                <w:p w14:paraId="4C62A2D6">
                  <w:pPr>
                    <w:widowControl/>
                    <w:ind w:firstLine="420"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施工选用低噪声设备；减速慢行；禁止夜间施工；合理规划施工场地等防噪措施。</w:t>
                  </w:r>
                </w:p>
              </w:tc>
            </w:tr>
            <w:tr w14:paraId="17B2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continue"/>
                  <w:vAlign w:val="center"/>
                </w:tcPr>
                <w:p w14:paraId="4CD40325">
                  <w:pPr>
                    <w:widowControl/>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25" w:type="dxa"/>
                  <w:vAlign w:val="center"/>
                </w:tcPr>
                <w:p w14:paraId="5122A282">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w:t>
                  </w:r>
                </w:p>
              </w:tc>
              <w:tc>
                <w:tcPr>
                  <w:tcW w:w="5635" w:type="dxa"/>
                  <w:vAlign w:val="center"/>
                </w:tcPr>
                <w:p w14:paraId="13E8FDD6">
                  <w:pPr>
                    <w:widowControl/>
                    <w:ind w:firstLine="420"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施工期：生活垃圾等固体废物集中堆放，定期清运；</w:t>
                  </w:r>
                  <w:r>
                    <w:rPr>
                      <w:rFonts w:hint="eastAsia" w:cs="Times New Roman"/>
                      <w:color w:val="000000" w:themeColor="text1"/>
                      <w:sz w:val="21"/>
                      <w:szCs w:val="21"/>
                      <w:highlight w:val="none"/>
                      <w:lang w:val="en-US" w:eastAsia="zh-CN"/>
                      <w14:textFill>
                        <w14:solidFill>
                          <w14:schemeClr w14:val="tx1"/>
                        </w14:solidFill>
                      </w14:textFill>
                    </w:rPr>
                    <w:t>施工过程无弃土。</w:t>
                  </w:r>
                </w:p>
              </w:tc>
            </w:tr>
            <w:tr w14:paraId="32EE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Merge w:val="continue"/>
                  <w:vAlign w:val="center"/>
                </w:tcPr>
                <w:p w14:paraId="3EBBDE3F">
                  <w:pPr>
                    <w:widowControl/>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25" w:type="dxa"/>
                  <w:vAlign w:val="center"/>
                </w:tcPr>
                <w:p w14:paraId="4FF24A3C">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生态恢复措施</w:t>
                  </w:r>
                </w:p>
              </w:tc>
              <w:tc>
                <w:tcPr>
                  <w:tcW w:w="5635" w:type="dxa"/>
                  <w:vAlign w:val="center"/>
                </w:tcPr>
                <w:p w14:paraId="3A2C031A">
                  <w:pPr>
                    <w:adjustRightInd w:val="0"/>
                    <w:snapToGrid w:val="0"/>
                    <w:jc w:val="left"/>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施工前，对路基范围内可剥离表土路段实施表土剥离，集中堆放到表土堆放场并采 </w:t>
                  </w:r>
                </w:p>
                <w:p w14:paraId="4C9148E3">
                  <w:pPr>
                    <w:adjustRightInd w:val="0"/>
                    <w:snapToGrid w:val="0"/>
                    <w:jc w:val="left"/>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取密目网临时防护；施工结束后对路基两侧边坡、防护带等区域进行土地整治（含覆土）， 并实施种草恢复植被。</w:t>
                  </w:r>
                </w:p>
                <w:p w14:paraId="6F7F103E">
                  <w:pPr>
                    <w:adjustRightInd w:val="0"/>
                    <w:snapToGrid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施工前对</w:t>
                  </w:r>
                  <w:r>
                    <w:rPr>
                      <w:rFonts w:hint="eastAsia" w:cs="Times New Roman"/>
                      <w:color w:val="000000" w:themeColor="text1"/>
                      <w:sz w:val="21"/>
                      <w:szCs w:val="21"/>
                      <w:highlight w:val="none"/>
                      <w:lang w:val="en-US" w:eastAsia="zh-CN"/>
                      <w14:textFill>
                        <w14:solidFill>
                          <w14:schemeClr w14:val="tx1"/>
                        </w14:solidFill>
                      </w14:textFill>
                    </w:rPr>
                    <w:t>施工营地、取土场、施工便道、表土堆场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占地区域实施表土剥离，表土集中堆放于区内空地，并采取密目网临时防 护；施工结束后对场地实施土地整治（含覆土），并实施种草恢复植被。</w:t>
                  </w:r>
                </w:p>
              </w:tc>
            </w:tr>
            <w:tr w14:paraId="607A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1" w:type="dxa"/>
                  <w:vAlign w:val="center"/>
                </w:tcPr>
                <w:p w14:paraId="14109337">
                  <w:pPr>
                    <w:widowControl/>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运营期环保工程</w:t>
                  </w:r>
                </w:p>
              </w:tc>
              <w:tc>
                <w:tcPr>
                  <w:tcW w:w="1025" w:type="dxa"/>
                  <w:vAlign w:val="center"/>
                </w:tcPr>
                <w:p w14:paraId="3D4FF298">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噪声治理</w:t>
                  </w:r>
                </w:p>
              </w:tc>
              <w:tc>
                <w:tcPr>
                  <w:tcW w:w="5635" w:type="dxa"/>
                  <w:vAlign w:val="center"/>
                </w:tcPr>
                <w:p w14:paraId="7AC704E9">
                  <w:pPr>
                    <w:widowControl/>
                    <w:ind w:firstLine="420"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机动车辆通过敏感点时减少鸣笛次数；在居民区附近设置限速标志、禁止鸣笛指示牌等。</w:t>
                  </w:r>
                </w:p>
              </w:tc>
            </w:tr>
          </w:tbl>
          <w:p w14:paraId="1B4896AA">
            <w:pPr>
              <w:adjustRightInd w:val="0"/>
              <w:snapToGrid w:val="0"/>
              <w:spacing w:line="360" w:lineRule="auto"/>
              <w:ind w:firstLine="482" w:firstLineChars="200"/>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3.2</w:t>
            </w:r>
            <w:r>
              <w:rPr>
                <w:rFonts w:hint="default" w:ascii="Times New Roman" w:hAnsi="Times New Roman" w:eastAsia="宋体" w:cs="Times New Roman"/>
                <w:b/>
                <w:bCs/>
                <w:color w:val="000000" w:themeColor="text1"/>
                <w:kern w:val="0"/>
                <w:sz w:val="24"/>
                <w:highlight w:val="none"/>
                <w14:textFill>
                  <w14:solidFill>
                    <w14:schemeClr w14:val="tx1"/>
                  </w14:solidFill>
                </w14:textFill>
              </w:rPr>
              <w:t>路基工程</w:t>
            </w:r>
          </w:p>
          <w:p w14:paraId="1A8DE9C9">
            <w:pPr>
              <w:adjustRightInd w:val="0"/>
              <w:snapToGrid w:val="0"/>
              <w:spacing w:line="360" w:lineRule="auto"/>
              <w:ind w:firstLine="482" w:firstLineChars="200"/>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（1）路基横断面布置</w:t>
            </w:r>
          </w:p>
          <w:p w14:paraId="34E8FF45">
            <w:pPr>
              <w:adjustRightInd w:val="0"/>
              <w:snapToGrid w:val="0"/>
              <w:spacing w:line="360" w:lineRule="auto"/>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全线采用整体式路基，路基宽度 7.5 米，路面宽度 4.5 米，土路肩 2×1.5 米。行车 </w:t>
            </w:r>
          </w:p>
          <w:p w14:paraId="548D799E">
            <w:pPr>
              <w:adjustRightInd w:val="0"/>
              <w:snapToGrid w:val="0"/>
              <w:spacing w:line="360" w:lineRule="auto"/>
              <w:jc w:val="both"/>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道横坡采用 0%，两侧土路肩路拱横坡采用 3.0%。</w:t>
            </w:r>
          </w:p>
          <w:p w14:paraId="2EA5132D">
            <w:pPr>
              <w:adjustRightInd w:val="0"/>
              <w:snapToGrid w:val="0"/>
              <w:spacing w:line="360" w:lineRule="auto"/>
              <w:jc w:val="center"/>
              <w:rPr>
                <w:rFonts w:hint="default" w:ascii="Times New Roman" w:hAnsi="Times New Roman" w:eastAsia="宋体" w:cs="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090795" cy="4015740"/>
                  <wp:effectExtent l="0" t="0" r="1905" b="1016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20"/>
                          <a:stretch>
                            <a:fillRect/>
                          </a:stretch>
                        </pic:blipFill>
                        <pic:spPr>
                          <a:xfrm>
                            <a:off x="0" y="0"/>
                            <a:ext cx="5090795" cy="4015740"/>
                          </a:xfrm>
                          <a:prstGeom prst="rect">
                            <a:avLst/>
                          </a:prstGeom>
                          <a:noFill/>
                          <a:ln>
                            <a:noFill/>
                          </a:ln>
                        </pic:spPr>
                      </pic:pic>
                    </a:graphicData>
                  </a:graphic>
                </wp:inline>
              </w:drawing>
            </w:r>
          </w:p>
          <w:p w14:paraId="5F687B65">
            <w:pPr>
              <w:adjustRightInd w:val="0"/>
              <w:snapToGrid w:val="0"/>
              <w:spacing w:line="360" w:lineRule="auto"/>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图2</w:t>
            </w:r>
            <w:r>
              <w:rPr>
                <w:rFonts w:hint="eastAsia" w:cs="Times New Roman"/>
                <w:b/>
                <w:bCs/>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highlight w:val="none"/>
                <w14:textFill>
                  <w14:solidFill>
                    <w14:schemeClr w14:val="tx1"/>
                  </w14:solidFill>
                </w14:textFill>
              </w:rPr>
              <w:t>路基标准横断面图</w:t>
            </w:r>
          </w:p>
          <w:p w14:paraId="3B25AE40">
            <w:pPr>
              <w:widowControl/>
              <w:spacing w:line="360" w:lineRule="auto"/>
              <w:ind w:firstLine="403"/>
              <w:jc w:val="left"/>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 xml:space="preserve">（2）路基高度 </w:t>
            </w:r>
          </w:p>
          <w:p w14:paraId="5551B11F">
            <w:pPr>
              <w:widowControl/>
              <w:spacing w:line="360" w:lineRule="auto"/>
              <w:ind w:firstLine="403"/>
              <w:jc w:val="left"/>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 xml:space="preserve">全线以填方路基为主，填方路段长 5.273km，平均填高 0.96m，最大填高 1.81m（桩号 K4+980）；挖方路段长 0.38km，平均挖深 0.62m，最大挖深 3.20m（桩号 K3+300）。 </w:t>
            </w:r>
          </w:p>
          <w:p w14:paraId="5FDB9401">
            <w:pPr>
              <w:widowControl/>
              <w:spacing w:line="360" w:lineRule="auto"/>
              <w:ind w:firstLine="403"/>
              <w:jc w:val="left"/>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 xml:space="preserve">（3）路基边坡坡度 </w:t>
            </w:r>
          </w:p>
          <w:p w14:paraId="6472DEFD">
            <w:pPr>
              <w:widowControl/>
              <w:spacing w:line="360" w:lineRule="auto"/>
              <w:ind w:firstLine="403"/>
              <w:jc w:val="left"/>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 xml:space="preserve">全线路堤边坡坡度为 1：1.5，挖方路基边坡为 1:1。 </w:t>
            </w:r>
          </w:p>
          <w:p w14:paraId="6CE6321E">
            <w:pPr>
              <w:widowControl/>
              <w:spacing w:line="360" w:lineRule="auto"/>
              <w:ind w:firstLine="403"/>
              <w:jc w:val="left"/>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 xml:space="preserve">（4）路基边坡防护 </w:t>
            </w:r>
          </w:p>
          <w:p w14:paraId="1C384776">
            <w:pPr>
              <w:widowControl/>
              <w:spacing w:line="360" w:lineRule="auto"/>
              <w:ind w:firstLine="403"/>
              <w:jc w:val="left"/>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 xml:space="preserve">路堤：路基填土路段采用植草边坡防护。 </w:t>
            </w:r>
          </w:p>
          <w:p w14:paraId="33A8249D">
            <w:pPr>
              <w:widowControl/>
              <w:spacing w:line="360" w:lineRule="auto"/>
              <w:ind w:firstLine="403"/>
              <w:jc w:val="left"/>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 xml:space="preserve">路堑：路堑边坡采用植草防护。 </w:t>
            </w:r>
          </w:p>
          <w:p w14:paraId="585E5931">
            <w:pPr>
              <w:widowControl/>
              <w:spacing w:line="360" w:lineRule="auto"/>
              <w:ind w:firstLine="403"/>
              <w:jc w:val="left"/>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 xml:space="preserve">（5）路基路面排水系统 </w:t>
            </w:r>
          </w:p>
          <w:p w14:paraId="7DE071FD">
            <w:pPr>
              <w:widowControl/>
              <w:spacing w:line="360" w:lineRule="auto"/>
              <w:ind w:firstLine="403"/>
              <w:jc w:val="left"/>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 xml:space="preserve">本项目路基填土高度较低，全部采用路基散排方式排水。 </w:t>
            </w:r>
          </w:p>
          <w:p w14:paraId="4C8717D4">
            <w:pPr>
              <w:widowControl/>
              <w:spacing w:line="360" w:lineRule="auto"/>
              <w:ind w:firstLine="403"/>
              <w:jc w:val="left"/>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 xml:space="preserve">（6）特殊路基处理 </w:t>
            </w:r>
          </w:p>
          <w:p w14:paraId="1E25011A">
            <w:pPr>
              <w:widowControl/>
              <w:spacing w:line="360" w:lineRule="auto"/>
              <w:ind w:firstLine="403"/>
              <w:jc w:val="left"/>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经调查，全线有低填浅挖路段 783m，采用路基基底换填石渣的方法来处理。特殊土开挖 3893.22m</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，换填石渣 3893.22m</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，换填的软土及腐殖土用于路基两侧绿化。</w:t>
            </w:r>
          </w:p>
          <w:p w14:paraId="7B39B3FB">
            <w:pPr>
              <w:widowControl/>
              <w:spacing w:line="360" w:lineRule="auto"/>
              <w:ind w:firstLine="482" w:firstLineChars="200"/>
              <w:jc w:val="left"/>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3.3</w:t>
            </w:r>
            <w:r>
              <w:rPr>
                <w:rFonts w:hint="default" w:ascii="Times New Roman" w:hAnsi="Times New Roman" w:eastAsia="宋体" w:cs="Times New Roman"/>
                <w:b/>
                <w:bCs/>
                <w:color w:val="000000" w:themeColor="text1"/>
                <w:sz w:val="24"/>
                <w:highlight w:val="none"/>
                <w14:textFill>
                  <w14:solidFill>
                    <w14:schemeClr w14:val="tx1"/>
                  </w14:solidFill>
                </w14:textFill>
              </w:rPr>
              <w:t>路面工程</w:t>
            </w:r>
          </w:p>
          <w:p w14:paraId="5A15D9AC">
            <w:pPr>
              <w:widowControl/>
              <w:spacing w:line="360" w:lineRule="auto"/>
              <w:ind w:firstLine="48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全线路面采用水泥混凝土面层的路面结构，路面结构形式从上到下：18 厘米厚水泥混凝土面层，20 厘米厚石渣粒功能层，路面总厚度 38 厘米。</w:t>
            </w:r>
          </w:p>
          <w:p w14:paraId="61C2C9B6">
            <w:pPr>
              <w:widowControl/>
              <w:spacing w:line="360" w:lineRule="auto"/>
              <w:ind w:firstLine="48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55820" cy="3529965"/>
                  <wp:effectExtent l="0" t="0" r="5080" b="635"/>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21"/>
                          <a:stretch>
                            <a:fillRect/>
                          </a:stretch>
                        </pic:blipFill>
                        <pic:spPr>
                          <a:xfrm>
                            <a:off x="0" y="0"/>
                            <a:ext cx="4655820" cy="3529965"/>
                          </a:xfrm>
                          <a:prstGeom prst="rect">
                            <a:avLst/>
                          </a:prstGeom>
                          <a:noFill/>
                          <a:ln>
                            <a:noFill/>
                          </a:ln>
                        </pic:spPr>
                      </pic:pic>
                    </a:graphicData>
                  </a:graphic>
                </wp:inline>
              </w:drawing>
            </w:r>
          </w:p>
          <w:p w14:paraId="60038EB5">
            <w:pPr>
              <w:widowControl/>
              <w:spacing w:line="360" w:lineRule="auto"/>
              <w:ind w:firstLine="480"/>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图2-2 路面工程图</w:t>
            </w:r>
          </w:p>
          <w:p w14:paraId="03374322">
            <w:pPr>
              <w:widowControl/>
              <w:spacing w:line="360" w:lineRule="auto"/>
              <w:ind w:firstLine="48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914650" cy="2940050"/>
                  <wp:effectExtent l="0" t="0" r="6350" b="635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22"/>
                          <a:stretch>
                            <a:fillRect/>
                          </a:stretch>
                        </pic:blipFill>
                        <pic:spPr>
                          <a:xfrm>
                            <a:off x="0" y="0"/>
                            <a:ext cx="2914650" cy="2940050"/>
                          </a:xfrm>
                          <a:prstGeom prst="rect">
                            <a:avLst/>
                          </a:prstGeom>
                          <a:noFill/>
                          <a:ln>
                            <a:noFill/>
                          </a:ln>
                        </pic:spPr>
                      </pic:pic>
                    </a:graphicData>
                  </a:graphic>
                </wp:inline>
              </w:drawing>
            </w:r>
          </w:p>
          <w:p w14:paraId="59579141">
            <w:pPr>
              <w:widowControl/>
              <w:spacing w:line="360" w:lineRule="auto"/>
              <w:ind w:firstLine="480"/>
              <w:jc w:val="center"/>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图2-3 路面结构图</w:t>
            </w:r>
          </w:p>
          <w:p w14:paraId="024279BE">
            <w:pPr>
              <w:widowControl/>
              <w:spacing w:line="360" w:lineRule="auto"/>
              <w:ind w:firstLine="482" w:firstLineChars="200"/>
              <w:jc w:val="left"/>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3.3</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路基两侧绿化 </w:t>
            </w:r>
          </w:p>
          <w:p w14:paraId="311C0AD5">
            <w:pPr>
              <w:widowControl/>
              <w:spacing w:line="360" w:lineRule="auto"/>
              <w:ind w:firstLine="480" w:firstLineChars="200"/>
              <w:jc w:val="left"/>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 xml:space="preserve">根据路基标准断面设计，公路两侧边坡及到界桩区域进行种草。 </w:t>
            </w:r>
          </w:p>
          <w:p w14:paraId="788DA3F2">
            <w:pPr>
              <w:widowControl/>
              <w:spacing w:line="360" w:lineRule="auto"/>
              <w:ind w:firstLine="482" w:firstLineChars="200"/>
              <w:jc w:val="left"/>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3.4</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过水路面 </w:t>
            </w:r>
          </w:p>
          <w:p w14:paraId="0DF94CDE">
            <w:pPr>
              <w:widowControl/>
              <w:spacing w:line="360" w:lineRule="auto"/>
              <w:ind w:firstLine="480" w:firstLineChars="200"/>
              <w:jc w:val="left"/>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 xml:space="preserve">全线设过水路面 1 处，起讫桩号 K3+330～K3+380，长度 50m，宽度与路基同宽。 </w:t>
            </w:r>
          </w:p>
          <w:p w14:paraId="36CF1EB9">
            <w:pPr>
              <w:widowControl/>
              <w:spacing w:line="360" w:lineRule="auto"/>
              <w:ind w:firstLine="482" w:firstLineChars="200"/>
              <w:jc w:val="left"/>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3.5</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交叉工程 </w:t>
            </w:r>
          </w:p>
          <w:p w14:paraId="48278226">
            <w:pPr>
              <w:widowControl/>
              <w:spacing w:line="360" w:lineRule="auto"/>
              <w:ind w:firstLine="480" w:firstLineChars="20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全线共设平交 2 处，全部为与道路交叉，均采取加铺转角的形式，宽度与路基同宽。</w:t>
            </w:r>
          </w:p>
          <w:p w14:paraId="4417D2E4">
            <w:pPr>
              <w:widowControl/>
              <w:spacing w:line="360" w:lineRule="auto"/>
              <w:ind w:firstLine="482" w:firstLineChars="200"/>
              <w:jc w:val="left"/>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3.6 工程占地及拆迁情况</w:t>
            </w:r>
          </w:p>
          <w:p w14:paraId="75D8D75E">
            <w:pPr>
              <w:widowControl/>
              <w:spacing w:line="360" w:lineRule="auto"/>
              <w:ind w:firstLine="480" w:firstLineChars="20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经现场调查结合施工图设计，本工程路基工程占地情况统计见表 2-</w:t>
            </w:r>
            <w:r>
              <w:rPr>
                <w:rFonts w:hint="eastAsia" w:cs="Times New Roman"/>
                <w:b w:val="0"/>
                <w:bCs w:val="0"/>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49166C02">
            <w:pPr>
              <w:widowControl/>
              <w:spacing w:line="360" w:lineRule="auto"/>
              <w:ind w:firstLine="482" w:firstLineChars="20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 xml:space="preserve">表2-2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本工程路基工程占地情况</w:t>
            </w:r>
          </w:p>
          <w:tbl>
            <w:tblPr>
              <w:tblStyle w:val="30"/>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83"/>
              <w:gridCol w:w="2281"/>
              <w:gridCol w:w="846"/>
              <w:gridCol w:w="828"/>
              <w:gridCol w:w="849"/>
              <w:gridCol w:w="1400"/>
            </w:tblGrid>
            <w:tr w14:paraId="4D596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2513" w:type="pct"/>
                  <w:gridSpan w:val="2"/>
                  <w:vMerge w:val="restart"/>
                  <w:tcBorders>
                    <w:top w:val="single" w:color="474747" w:sz="8" w:space="0"/>
                    <w:left w:val="single" w:color="474747" w:sz="8" w:space="0"/>
                    <w:bottom w:val="single" w:color="888E93" w:sz="8" w:space="0"/>
                    <w:right w:val="single" w:color="888E93" w:sz="8" w:space="0"/>
                  </w:tcBorders>
                  <w:shd w:val="clear" w:color="auto" w:fill="D9D9D9"/>
                  <w:vAlign w:val="center"/>
                </w:tcPr>
                <w:p w14:paraId="73377B31">
                  <w:pPr>
                    <w:keepNext w:val="0"/>
                    <w:keepLines w:val="0"/>
                    <w:widowControl/>
                    <w:suppressLineNumbers w:val="0"/>
                    <w:jc w:val="left"/>
                    <w:textAlignment w:val="center"/>
                    <w:rPr>
                      <w:rFonts w:ascii="仿宋" w:hAnsi="仿宋" w:eastAsia="仿宋" w:cs="仿宋"/>
                      <w:b w:val="0"/>
                      <w:bCs w:val="0"/>
                      <w:i w:val="0"/>
                      <w:iCs w:val="0"/>
                      <w:color w:val="000000" w:themeColor="text1"/>
                      <w:sz w:val="21"/>
                      <w:szCs w:val="21"/>
                      <w:highlight w:val="none"/>
                      <w:u w:val="none"/>
                      <w14:textFill>
                        <w14:solidFill>
                          <w14:schemeClr w14:val="tx1"/>
                        </w14:solidFill>
                      </w14:textFill>
                    </w:rPr>
                  </w:pPr>
                  <w:r>
                    <w:rPr>
                      <w:rFonts w:hint="eastAsia" w:ascii="仿宋" w:hAnsi="仿宋" w:eastAsia="仿宋" w:cs="仿宋"/>
                      <w:b w:val="0"/>
                      <w:bCs w:val="0"/>
                      <w:i w:val="0"/>
                      <w:iCs w:val="0"/>
                      <w:color w:val="000000" w:themeColor="text1"/>
                      <w:kern w:val="0"/>
                      <w:sz w:val="21"/>
                      <w:szCs w:val="21"/>
                      <w:highlight w:val="none"/>
                      <w:u w:val="none"/>
                      <w:lang w:val="en-US" w:eastAsia="zh-CN" w:bidi="ar"/>
                      <w14:textFill>
                        <w14:solidFill>
                          <w14:schemeClr w14:val="tx1"/>
                        </w14:solidFill>
                      </w14:textFill>
                    </w:rPr>
                    <w:t>项目组成</w:t>
                  </w:r>
                </w:p>
              </w:tc>
              <w:tc>
                <w:tcPr>
                  <w:tcW w:w="1599" w:type="pct"/>
                  <w:gridSpan w:val="3"/>
                  <w:tcBorders>
                    <w:top w:val="single" w:color="474747" w:sz="8" w:space="0"/>
                    <w:left w:val="single" w:color="888E93" w:sz="8" w:space="0"/>
                    <w:bottom w:val="single" w:color="888E93" w:sz="8" w:space="0"/>
                    <w:right w:val="single" w:color="888E93" w:sz="8" w:space="0"/>
                  </w:tcBorders>
                  <w:shd w:val="clear" w:color="auto" w:fill="D9D9D9"/>
                  <w:vAlign w:val="center"/>
                </w:tcPr>
                <w:p w14:paraId="03BBAEA2">
                  <w:pPr>
                    <w:keepNext w:val="0"/>
                    <w:keepLines w:val="0"/>
                    <w:widowControl/>
                    <w:suppressLineNumbers w:val="0"/>
                    <w:jc w:val="left"/>
                    <w:textAlignment w:val="center"/>
                    <w:rPr>
                      <w:rFonts w:hint="eastAsia" w:ascii="仿宋" w:hAnsi="仿宋" w:eastAsia="仿宋" w:cs="仿宋"/>
                      <w:b w:val="0"/>
                      <w:bCs w:val="0"/>
                      <w:i w:val="0"/>
                      <w:iCs w:val="0"/>
                      <w:color w:val="000000" w:themeColor="text1"/>
                      <w:sz w:val="21"/>
                      <w:szCs w:val="21"/>
                      <w:highlight w:val="none"/>
                      <w:u w:val="none"/>
                      <w14:textFill>
                        <w14:solidFill>
                          <w14:schemeClr w14:val="tx1"/>
                        </w14:solidFill>
                      </w14:textFill>
                    </w:rPr>
                  </w:pPr>
                  <w:r>
                    <w:rPr>
                      <w:rFonts w:hint="eastAsia" w:ascii="仿宋" w:hAnsi="仿宋" w:eastAsia="仿宋" w:cs="仿宋"/>
                      <w:b w:val="0"/>
                      <w:bCs w:val="0"/>
                      <w:i w:val="0"/>
                      <w:iCs w:val="0"/>
                      <w:color w:val="000000" w:themeColor="text1"/>
                      <w:kern w:val="0"/>
                      <w:sz w:val="21"/>
                      <w:szCs w:val="21"/>
                      <w:highlight w:val="none"/>
                      <w:u w:val="none"/>
                      <w:lang w:val="en-US" w:eastAsia="zh-CN" w:bidi="ar"/>
                      <w14:textFill>
                        <w14:solidFill>
                          <w14:schemeClr w14:val="tx1"/>
                        </w14:solidFill>
                      </w14:textFill>
                    </w:rPr>
                    <w:t>占地性质</w:t>
                  </w:r>
                </w:p>
              </w:tc>
              <w:tc>
                <w:tcPr>
                  <w:tcW w:w="887" w:type="pct"/>
                  <w:tcBorders>
                    <w:top w:val="single" w:color="474747" w:sz="8" w:space="0"/>
                    <w:left w:val="single" w:color="888E93" w:sz="8" w:space="0"/>
                    <w:bottom w:val="single" w:color="888E93" w:sz="8" w:space="0"/>
                    <w:right w:val="single" w:color="474747" w:sz="8" w:space="0"/>
                  </w:tcBorders>
                  <w:shd w:val="clear" w:color="auto" w:fill="D9D9D9"/>
                  <w:vAlign w:val="center"/>
                </w:tcPr>
                <w:p w14:paraId="3E594E71">
                  <w:pPr>
                    <w:keepNext w:val="0"/>
                    <w:keepLines w:val="0"/>
                    <w:widowControl/>
                    <w:suppressLineNumbers w:val="0"/>
                    <w:jc w:val="left"/>
                    <w:textAlignment w:val="center"/>
                    <w:rPr>
                      <w:rFonts w:hint="eastAsia" w:ascii="仿宋" w:hAnsi="仿宋" w:eastAsia="仿宋" w:cs="仿宋"/>
                      <w:b w:val="0"/>
                      <w:bCs w:val="0"/>
                      <w:i w:val="0"/>
                      <w:iCs w:val="0"/>
                      <w:color w:val="000000" w:themeColor="text1"/>
                      <w:sz w:val="21"/>
                      <w:szCs w:val="21"/>
                      <w:highlight w:val="none"/>
                      <w:u w:val="none"/>
                      <w14:textFill>
                        <w14:solidFill>
                          <w14:schemeClr w14:val="tx1"/>
                        </w14:solidFill>
                      </w14:textFill>
                    </w:rPr>
                  </w:pPr>
                  <w:r>
                    <w:rPr>
                      <w:rFonts w:hint="eastAsia" w:ascii="仿宋" w:hAnsi="仿宋" w:eastAsia="仿宋" w:cs="仿宋"/>
                      <w:b w:val="0"/>
                      <w:bCs w:val="0"/>
                      <w:i w:val="0"/>
                      <w:iCs w:val="0"/>
                      <w:color w:val="000000" w:themeColor="text1"/>
                      <w:kern w:val="0"/>
                      <w:sz w:val="21"/>
                      <w:szCs w:val="21"/>
                      <w:highlight w:val="none"/>
                      <w:u w:val="none"/>
                      <w:lang w:val="en-US" w:eastAsia="zh-CN" w:bidi="ar"/>
                      <w14:textFill>
                        <w14:solidFill>
                          <w14:schemeClr w14:val="tx1"/>
                        </w14:solidFill>
                      </w14:textFill>
                    </w:rPr>
                    <w:t>占地类型</w:t>
                  </w:r>
                </w:p>
              </w:tc>
            </w:tr>
            <w:tr w14:paraId="3233C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2513" w:type="pct"/>
                  <w:gridSpan w:val="2"/>
                  <w:vMerge w:val="continue"/>
                  <w:tcBorders>
                    <w:top w:val="single" w:color="474747" w:sz="8" w:space="0"/>
                    <w:left w:val="single" w:color="474747" w:sz="8" w:space="0"/>
                    <w:bottom w:val="single" w:color="888E93" w:sz="8" w:space="0"/>
                    <w:right w:val="single" w:color="888E93" w:sz="8" w:space="0"/>
                  </w:tcBorders>
                  <w:shd w:val="clear" w:color="auto" w:fill="D9D9D9"/>
                  <w:vAlign w:val="center"/>
                </w:tcPr>
                <w:p w14:paraId="273BDBA2">
                  <w:pPr>
                    <w:jc w:val="left"/>
                    <w:rPr>
                      <w:rFonts w:hint="eastAsia" w:ascii="仿宋" w:hAnsi="仿宋" w:eastAsia="仿宋" w:cs="仿宋"/>
                      <w:b w:val="0"/>
                      <w:bCs w:val="0"/>
                      <w:i w:val="0"/>
                      <w:iCs w:val="0"/>
                      <w:color w:val="000000" w:themeColor="text1"/>
                      <w:sz w:val="21"/>
                      <w:szCs w:val="21"/>
                      <w:highlight w:val="none"/>
                      <w:u w:val="none"/>
                      <w14:textFill>
                        <w14:solidFill>
                          <w14:schemeClr w14:val="tx1"/>
                        </w14:solidFill>
                      </w14:textFill>
                    </w:rPr>
                  </w:pPr>
                </w:p>
              </w:tc>
              <w:tc>
                <w:tcPr>
                  <w:tcW w:w="53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F2360BC">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1"/>
                      <w:szCs w:val="21"/>
                      <w:highlight w:val="none"/>
                      <w:u w:val="none"/>
                      <w14:textFill>
                        <w14:solidFill>
                          <w14:schemeClr w14:val="tx1"/>
                        </w14:solidFill>
                      </w14:textFill>
                    </w:rPr>
                  </w:pPr>
                  <w:r>
                    <w:rPr>
                      <w:rFonts w:hint="eastAsia" w:ascii="仿宋" w:hAnsi="仿宋" w:eastAsia="仿宋" w:cs="仿宋"/>
                      <w:b w:val="0"/>
                      <w:bCs w:val="0"/>
                      <w:i w:val="0"/>
                      <w:iCs w:val="0"/>
                      <w:color w:val="000000" w:themeColor="text1"/>
                      <w:kern w:val="0"/>
                      <w:sz w:val="21"/>
                      <w:szCs w:val="21"/>
                      <w:highlight w:val="none"/>
                      <w:u w:val="none"/>
                      <w:lang w:val="en-US" w:eastAsia="zh-CN" w:bidi="ar"/>
                      <w14:textFill>
                        <w14:solidFill>
                          <w14:schemeClr w14:val="tx1"/>
                        </w14:solidFill>
                      </w14:textFill>
                    </w:rPr>
                    <w:t>永久</w:t>
                  </w:r>
                </w:p>
              </w:tc>
              <w:tc>
                <w:tcPr>
                  <w:tcW w:w="52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46E28DA">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1"/>
                      <w:szCs w:val="21"/>
                      <w:highlight w:val="none"/>
                      <w:u w:val="none"/>
                      <w14:textFill>
                        <w14:solidFill>
                          <w14:schemeClr w14:val="tx1"/>
                        </w14:solidFill>
                      </w14:textFill>
                    </w:rPr>
                  </w:pPr>
                  <w:r>
                    <w:rPr>
                      <w:rFonts w:hint="eastAsia" w:ascii="仿宋" w:hAnsi="仿宋" w:eastAsia="仿宋" w:cs="仿宋"/>
                      <w:b w:val="0"/>
                      <w:bCs w:val="0"/>
                      <w:i w:val="0"/>
                      <w:iCs w:val="0"/>
                      <w:color w:val="000000" w:themeColor="text1"/>
                      <w:kern w:val="0"/>
                      <w:sz w:val="21"/>
                      <w:szCs w:val="21"/>
                      <w:highlight w:val="none"/>
                      <w:u w:val="none"/>
                      <w:lang w:val="en-US" w:eastAsia="zh-CN" w:bidi="ar"/>
                      <w14:textFill>
                        <w14:solidFill>
                          <w14:schemeClr w14:val="tx1"/>
                        </w14:solidFill>
                      </w14:textFill>
                    </w:rPr>
                    <w:t>临时</w:t>
                  </w:r>
                </w:p>
              </w:tc>
              <w:tc>
                <w:tcPr>
                  <w:tcW w:w="53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606B9DE0">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1"/>
                      <w:szCs w:val="21"/>
                      <w:highlight w:val="none"/>
                      <w:u w:val="none"/>
                      <w14:textFill>
                        <w14:solidFill>
                          <w14:schemeClr w14:val="tx1"/>
                        </w14:solidFill>
                      </w14:textFill>
                    </w:rPr>
                  </w:pPr>
                  <w:r>
                    <w:rPr>
                      <w:rFonts w:hint="eastAsia" w:ascii="仿宋" w:hAnsi="仿宋" w:eastAsia="仿宋" w:cs="仿宋"/>
                      <w:b w:val="0"/>
                      <w:bCs w:val="0"/>
                      <w:i w:val="0"/>
                      <w:iCs w:val="0"/>
                      <w:color w:val="000000" w:themeColor="text1"/>
                      <w:kern w:val="0"/>
                      <w:sz w:val="21"/>
                      <w:szCs w:val="21"/>
                      <w:highlight w:val="none"/>
                      <w:u w:val="none"/>
                      <w:lang w:val="en-US" w:eastAsia="zh-CN" w:bidi="ar"/>
                      <w14:textFill>
                        <w14:solidFill>
                          <w14:schemeClr w14:val="tx1"/>
                        </w14:solidFill>
                      </w14:textFill>
                    </w:rPr>
                    <w:t>合计</w:t>
                  </w:r>
                </w:p>
              </w:tc>
              <w:tc>
                <w:tcPr>
                  <w:tcW w:w="887"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47EA4A42">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1"/>
                      <w:szCs w:val="21"/>
                      <w:highlight w:val="none"/>
                      <w:u w:val="none"/>
                      <w14:textFill>
                        <w14:solidFill>
                          <w14:schemeClr w14:val="tx1"/>
                        </w14:solidFill>
                      </w14:textFill>
                    </w:rPr>
                  </w:pPr>
                  <w:r>
                    <w:rPr>
                      <w:rFonts w:hint="eastAsia" w:ascii="仿宋" w:hAnsi="仿宋" w:eastAsia="仿宋" w:cs="仿宋"/>
                      <w:b w:val="0"/>
                      <w:bCs w:val="0"/>
                      <w:i w:val="0"/>
                      <w:iCs w:val="0"/>
                      <w:color w:val="000000" w:themeColor="text1"/>
                      <w:kern w:val="0"/>
                      <w:sz w:val="21"/>
                      <w:szCs w:val="21"/>
                      <w:highlight w:val="none"/>
                      <w:u w:val="none"/>
                      <w:lang w:val="en-US" w:eastAsia="zh-CN" w:bidi="ar"/>
                      <w14:textFill>
                        <w14:solidFill>
                          <w14:schemeClr w14:val="tx1"/>
                        </w14:solidFill>
                      </w14:textFill>
                    </w:rPr>
                    <w:t>草地</w:t>
                  </w:r>
                </w:p>
              </w:tc>
            </w:tr>
            <w:tr w14:paraId="4F49E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67" w:type="pct"/>
                  <w:vMerge w:val="restart"/>
                  <w:tcBorders>
                    <w:top w:val="single" w:color="888E93" w:sz="8" w:space="0"/>
                    <w:left w:val="single" w:color="474747" w:sz="8" w:space="0"/>
                    <w:bottom w:val="single" w:color="888E93" w:sz="8" w:space="0"/>
                    <w:right w:val="single" w:color="888E93" w:sz="8" w:space="0"/>
                  </w:tcBorders>
                  <w:shd w:val="clear" w:color="auto" w:fill="FFFFFF"/>
                  <w:vAlign w:val="center"/>
                </w:tcPr>
                <w:p w14:paraId="00D246DA">
                  <w:pPr>
                    <w:keepNext w:val="0"/>
                    <w:keepLines w:val="0"/>
                    <w:widowControl/>
                    <w:suppressLineNumbers w:val="0"/>
                    <w:jc w:val="left"/>
                    <w:textAlignment w:val="center"/>
                    <w:rPr>
                      <w:rFonts w:hint="eastAsia" w:ascii="仿宋" w:hAnsi="仿宋" w:eastAsia="仿宋" w:cs="仿宋"/>
                      <w:b w:val="0"/>
                      <w:bCs w:val="0"/>
                      <w:i w:val="0"/>
                      <w:iCs w:val="0"/>
                      <w:color w:val="000000" w:themeColor="text1"/>
                      <w:sz w:val="21"/>
                      <w:szCs w:val="21"/>
                      <w:highlight w:val="none"/>
                      <w:u w:val="none"/>
                      <w14:textFill>
                        <w14:solidFill>
                          <w14:schemeClr w14:val="tx1"/>
                        </w14:solidFill>
                      </w14:textFill>
                    </w:rPr>
                  </w:pPr>
                  <w:r>
                    <w:rPr>
                      <w:rFonts w:hint="eastAsia" w:ascii="仿宋" w:hAnsi="仿宋" w:eastAsia="仿宋" w:cs="仿宋"/>
                      <w:b w:val="0"/>
                      <w:bCs w:val="0"/>
                      <w:i w:val="0"/>
                      <w:iCs w:val="0"/>
                      <w:color w:val="000000" w:themeColor="text1"/>
                      <w:kern w:val="0"/>
                      <w:sz w:val="21"/>
                      <w:szCs w:val="21"/>
                      <w:highlight w:val="none"/>
                      <w:u w:val="none"/>
                      <w:lang w:val="en-US" w:eastAsia="zh-CN" w:bidi="ar"/>
                      <w14:textFill>
                        <w14:solidFill>
                          <w14:schemeClr w14:val="tx1"/>
                        </w14:solidFill>
                      </w14:textFill>
                    </w:rPr>
                    <w:t>路基工程区</w:t>
                  </w:r>
                </w:p>
              </w:tc>
              <w:tc>
                <w:tcPr>
                  <w:tcW w:w="144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5A319A9">
                  <w:pPr>
                    <w:keepNext w:val="0"/>
                    <w:keepLines w:val="0"/>
                    <w:widowControl/>
                    <w:suppressLineNumbers w:val="0"/>
                    <w:jc w:val="left"/>
                    <w:textAlignment w:val="center"/>
                    <w:rPr>
                      <w:rFonts w:hint="eastAsia" w:ascii="仿宋" w:hAnsi="仿宋" w:eastAsia="仿宋" w:cs="仿宋"/>
                      <w:b w:val="0"/>
                      <w:bCs w:val="0"/>
                      <w:i w:val="0"/>
                      <w:iCs w:val="0"/>
                      <w:color w:val="000000" w:themeColor="text1"/>
                      <w:sz w:val="21"/>
                      <w:szCs w:val="21"/>
                      <w:highlight w:val="none"/>
                      <w:u w:val="none"/>
                      <w14:textFill>
                        <w14:solidFill>
                          <w14:schemeClr w14:val="tx1"/>
                        </w14:solidFill>
                      </w14:textFill>
                    </w:rPr>
                  </w:pPr>
                  <w:r>
                    <w:rPr>
                      <w:rFonts w:hint="eastAsia" w:ascii="仿宋" w:hAnsi="仿宋" w:eastAsia="仿宋" w:cs="仿宋"/>
                      <w:b w:val="0"/>
                      <w:bCs w:val="0"/>
                      <w:i w:val="0"/>
                      <w:iCs w:val="0"/>
                      <w:color w:val="000000" w:themeColor="text1"/>
                      <w:kern w:val="0"/>
                      <w:sz w:val="21"/>
                      <w:szCs w:val="21"/>
                      <w:highlight w:val="none"/>
                      <w:u w:val="none"/>
                      <w:lang w:val="en-US" w:eastAsia="zh-CN" w:bidi="ar"/>
                      <w14:textFill>
                        <w14:solidFill>
                          <w14:schemeClr w14:val="tx1"/>
                        </w14:solidFill>
                      </w14:textFill>
                    </w:rPr>
                    <w:t>路基</w:t>
                  </w:r>
                </w:p>
              </w:tc>
              <w:tc>
                <w:tcPr>
                  <w:tcW w:w="53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2802BD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4.24</w:t>
                  </w:r>
                </w:p>
              </w:tc>
              <w:tc>
                <w:tcPr>
                  <w:tcW w:w="52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A4DE7C1">
                  <w:pPr>
                    <w:jc w:val="center"/>
                    <w:rPr>
                      <w:rFonts w:hint="eastAsia" w:ascii="微软雅黑" w:hAnsi="微软雅黑" w:eastAsia="微软雅黑" w:cs="微软雅黑"/>
                      <w:b w:val="0"/>
                      <w:bCs w:val="0"/>
                      <w:i w:val="0"/>
                      <w:iCs w:val="0"/>
                      <w:color w:val="000000" w:themeColor="text1"/>
                      <w:sz w:val="21"/>
                      <w:szCs w:val="21"/>
                      <w:highlight w:val="none"/>
                      <w:u w:val="none"/>
                      <w14:textFill>
                        <w14:solidFill>
                          <w14:schemeClr w14:val="tx1"/>
                        </w14:solidFill>
                      </w14:textFill>
                    </w:rPr>
                  </w:pPr>
                </w:p>
              </w:tc>
              <w:tc>
                <w:tcPr>
                  <w:tcW w:w="53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783A8B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4.24</w:t>
                  </w:r>
                </w:p>
              </w:tc>
              <w:tc>
                <w:tcPr>
                  <w:tcW w:w="887"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0501348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4.24</w:t>
                  </w:r>
                </w:p>
              </w:tc>
            </w:tr>
            <w:tr w14:paraId="77574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67" w:type="pct"/>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42B77FCE">
                  <w:pPr>
                    <w:jc w:val="left"/>
                    <w:rPr>
                      <w:rFonts w:hint="eastAsia" w:ascii="仿宋" w:hAnsi="仿宋" w:eastAsia="仿宋" w:cs="仿宋"/>
                      <w:b w:val="0"/>
                      <w:bCs w:val="0"/>
                      <w:i w:val="0"/>
                      <w:iCs w:val="0"/>
                      <w:color w:val="000000" w:themeColor="text1"/>
                      <w:sz w:val="21"/>
                      <w:szCs w:val="21"/>
                      <w:highlight w:val="none"/>
                      <w:u w:val="none"/>
                      <w14:textFill>
                        <w14:solidFill>
                          <w14:schemeClr w14:val="tx1"/>
                        </w14:solidFill>
                      </w14:textFill>
                    </w:rPr>
                  </w:pPr>
                </w:p>
              </w:tc>
              <w:tc>
                <w:tcPr>
                  <w:tcW w:w="144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2AE0290">
                  <w:pPr>
                    <w:keepNext w:val="0"/>
                    <w:keepLines w:val="0"/>
                    <w:widowControl/>
                    <w:suppressLineNumbers w:val="0"/>
                    <w:jc w:val="left"/>
                    <w:textAlignment w:val="center"/>
                    <w:rPr>
                      <w:rFonts w:hint="eastAsia" w:ascii="仿宋" w:hAnsi="仿宋" w:eastAsia="仿宋" w:cs="仿宋"/>
                      <w:b w:val="0"/>
                      <w:bCs w:val="0"/>
                      <w:i w:val="0"/>
                      <w:iCs w:val="0"/>
                      <w:color w:val="000000" w:themeColor="text1"/>
                      <w:sz w:val="21"/>
                      <w:szCs w:val="21"/>
                      <w:highlight w:val="none"/>
                      <w:u w:val="none"/>
                      <w14:textFill>
                        <w14:solidFill>
                          <w14:schemeClr w14:val="tx1"/>
                        </w14:solidFill>
                      </w14:textFill>
                    </w:rPr>
                  </w:pPr>
                  <w:r>
                    <w:rPr>
                      <w:rFonts w:hint="eastAsia" w:ascii="仿宋" w:hAnsi="仿宋" w:eastAsia="仿宋" w:cs="仿宋"/>
                      <w:b w:val="0"/>
                      <w:bCs w:val="0"/>
                      <w:i w:val="0"/>
                      <w:iCs w:val="0"/>
                      <w:color w:val="000000" w:themeColor="text1"/>
                      <w:kern w:val="0"/>
                      <w:sz w:val="21"/>
                      <w:szCs w:val="21"/>
                      <w:highlight w:val="none"/>
                      <w:u w:val="none"/>
                      <w:lang w:val="en-US" w:eastAsia="zh-CN" w:bidi="ar"/>
                      <w14:textFill>
                        <w14:solidFill>
                          <w14:schemeClr w14:val="tx1"/>
                        </w14:solidFill>
                      </w14:textFill>
                    </w:rPr>
                    <w:t>边坡</w:t>
                  </w:r>
                </w:p>
              </w:tc>
              <w:tc>
                <w:tcPr>
                  <w:tcW w:w="53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66901E5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1.58</w:t>
                  </w:r>
                </w:p>
              </w:tc>
              <w:tc>
                <w:tcPr>
                  <w:tcW w:w="52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A3CFB04">
                  <w:pPr>
                    <w:jc w:val="center"/>
                    <w:rPr>
                      <w:rFonts w:hint="eastAsia" w:ascii="微软雅黑" w:hAnsi="微软雅黑" w:eastAsia="微软雅黑" w:cs="微软雅黑"/>
                      <w:b w:val="0"/>
                      <w:bCs w:val="0"/>
                      <w:i w:val="0"/>
                      <w:iCs w:val="0"/>
                      <w:color w:val="000000" w:themeColor="text1"/>
                      <w:sz w:val="21"/>
                      <w:szCs w:val="21"/>
                      <w:highlight w:val="none"/>
                      <w:u w:val="none"/>
                      <w14:textFill>
                        <w14:solidFill>
                          <w14:schemeClr w14:val="tx1"/>
                        </w14:solidFill>
                      </w14:textFill>
                    </w:rPr>
                  </w:pPr>
                </w:p>
              </w:tc>
              <w:tc>
                <w:tcPr>
                  <w:tcW w:w="53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7714C0B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1.58</w:t>
                  </w:r>
                </w:p>
              </w:tc>
              <w:tc>
                <w:tcPr>
                  <w:tcW w:w="887"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4176CCC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1.58</w:t>
                  </w:r>
                </w:p>
              </w:tc>
            </w:tr>
            <w:tr w14:paraId="162BA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67" w:type="pct"/>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5C739765">
                  <w:pPr>
                    <w:jc w:val="left"/>
                    <w:rPr>
                      <w:rFonts w:hint="eastAsia" w:ascii="仿宋" w:hAnsi="仿宋" w:eastAsia="仿宋" w:cs="仿宋"/>
                      <w:b w:val="0"/>
                      <w:bCs w:val="0"/>
                      <w:i w:val="0"/>
                      <w:iCs w:val="0"/>
                      <w:color w:val="000000" w:themeColor="text1"/>
                      <w:sz w:val="21"/>
                      <w:szCs w:val="21"/>
                      <w:highlight w:val="none"/>
                      <w:u w:val="none"/>
                      <w14:textFill>
                        <w14:solidFill>
                          <w14:schemeClr w14:val="tx1"/>
                        </w14:solidFill>
                      </w14:textFill>
                    </w:rPr>
                  </w:pPr>
                </w:p>
              </w:tc>
              <w:tc>
                <w:tcPr>
                  <w:tcW w:w="144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549A252">
                  <w:pPr>
                    <w:keepNext w:val="0"/>
                    <w:keepLines w:val="0"/>
                    <w:widowControl/>
                    <w:suppressLineNumbers w:val="0"/>
                    <w:jc w:val="left"/>
                    <w:textAlignment w:val="center"/>
                    <w:rPr>
                      <w:rFonts w:hint="eastAsia" w:ascii="仿宋" w:hAnsi="仿宋" w:eastAsia="仿宋" w:cs="仿宋"/>
                      <w:b w:val="0"/>
                      <w:bCs w:val="0"/>
                      <w:i w:val="0"/>
                      <w:iCs w:val="0"/>
                      <w:color w:val="000000" w:themeColor="text1"/>
                      <w:sz w:val="21"/>
                      <w:szCs w:val="21"/>
                      <w:highlight w:val="none"/>
                      <w:u w:val="none"/>
                      <w14:textFill>
                        <w14:solidFill>
                          <w14:schemeClr w14:val="tx1"/>
                        </w14:solidFill>
                      </w14:textFill>
                    </w:rPr>
                  </w:pPr>
                  <w:r>
                    <w:rPr>
                      <w:rFonts w:hint="eastAsia" w:ascii="仿宋" w:hAnsi="仿宋" w:eastAsia="仿宋" w:cs="仿宋"/>
                      <w:b w:val="0"/>
                      <w:bCs w:val="0"/>
                      <w:i w:val="0"/>
                      <w:iCs w:val="0"/>
                      <w:color w:val="000000" w:themeColor="text1"/>
                      <w:kern w:val="0"/>
                      <w:sz w:val="21"/>
                      <w:szCs w:val="21"/>
                      <w:highlight w:val="none"/>
                      <w:u w:val="none"/>
                      <w:lang w:val="en-US" w:eastAsia="zh-CN" w:bidi="ar"/>
                      <w14:textFill>
                        <w14:solidFill>
                          <w14:schemeClr w14:val="tx1"/>
                        </w14:solidFill>
                      </w14:textFill>
                    </w:rPr>
                    <w:t>路基两侧至界桩</w:t>
                  </w:r>
                </w:p>
              </w:tc>
              <w:tc>
                <w:tcPr>
                  <w:tcW w:w="53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28B289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1.13</w:t>
                  </w:r>
                </w:p>
              </w:tc>
              <w:tc>
                <w:tcPr>
                  <w:tcW w:w="52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6538C09D">
                  <w:pPr>
                    <w:jc w:val="center"/>
                    <w:rPr>
                      <w:rFonts w:hint="eastAsia" w:ascii="微软雅黑" w:hAnsi="微软雅黑" w:eastAsia="微软雅黑" w:cs="微软雅黑"/>
                      <w:b w:val="0"/>
                      <w:bCs w:val="0"/>
                      <w:i w:val="0"/>
                      <w:iCs w:val="0"/>
                      <w:color w:val="000000" w:themeColor="text1"/>
                      <w:sz w:val="21"/>
                      <w:szCs w:val="21"/>
                      <w:highlight w:val="none"/>
                      <w:u w:val="none"/>
                      <w14:textFill>
                        <w14:solidFill>
                          <w14:schemeClr w14:val="tx1"/>
                        </w14:solidFill>
                      </w14:textFill>
                    </w:rPr>
                  </w:pPr>
                </w:p>
              </w:tc>
              <w:tc>
                <w:tcPr>
                  <w:tcW w:w="53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3C8A946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1.13</w:t>
                  </w:r>
                </w:p>
              </w:tc>
              <w:tc>
                <w:tcPr>
                  <w:tcW w:w="887"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237A177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1.13</w:t>
                  </w:r>
                </w:p>
              </w:tc>
            </w:tr>
            <w:tr w14:paraId="111BD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513" w:type="pct"/>
                  <w:gridSpan w:val="2"/>
                  <w:tcBorders>
                    <w:top w:val="single" w:color="888E93" w:sz="8" w:space="0"/>
                    <w:left w:val="single" w:color="474747" w:sz="8" w:space="0"/>
                    <w:bottom w:val="single" w:color="474747" w:sz="8" w:space="0"/>
                    <w:right w:val="single" w:color="888E93" w:sz="8" w:space="0"/>
                  </w:tcBorders>
                  <w:shd w:val="clear" w:color="auto" w:fill="FFFFFF"/>
                  <w:vAlign w:val="center"/>
                </w:tcPr>
                <w:p w14:paraId="759B0BA7">
                  <w:pPr>
                    <w:keepNext w:val="0"/>
                    <w:keepLines w:val="0"/>
                    <w:widowControl/>
                    <w:suppressLineNumbers w:val="0"/>
                    <w:jc w:val="left"/>
                    <w:textAlignment w:val="center"/>
                    <w:rPr>
                      <w:rFonts w:hint="eastAsia" w:ascii="仿宋" w:hAnsi="仿宋" w:eastAsia="仿宋" w:cs="仿宋"/>
                      <w:b w:val="0"/>
                      <w:bCs w:val="0"/>
                      <w:i w:val="0"/>
                      <w:iCs w:val="0"/>
                      <w:color w:val="000000" w:themeColor="text1"/>
                      <w:sz w:val="21"/>
                      <w:szCs w:val="21"/>
                      <w:highlight w:val="none"/>
                      <w:u w:val="none"/>
                      <w14:textFill>
                        <w14:solidFill>
                          <w14:schemeClr w14:val="tx1"/>
                        </w14:solidFill>
                      </w14:textFill>
                    </w:rPr>
                  </w:pPr>
                  <w:r>
                    <w:rPr>
                      <w:rFonts w:hint="eastAsia" w:ascii="仿宋" w:hAnsi="仿宋" w:eastAsia="仿宋" w:cs="仿宋"/>
                      <w:b w:val="0"/>
                      <w:bCs w:val="0"/>
                      <w:i w:val="0"/>
                      <w:iCs w:val="0"/>
                      <w:color w:val="000000" w:themeColor="text1"/>
                      <w:kern w:val="0"/>
                      <w:sz w:val="21"/>
                      <w:szCs w:val="21"/>
                      <w:highlight w:val="none"/>
                      <w:u w:val="none"/>
                      <w:lang w:val="en-US" w:eastAsia="zh-CN" w:bidi="ar"/>
                      <w14:textFill>
                        <w14:solidFill>
                          <w14:schemeClr w14:val="tx1"/>
                        </w14:solidFill>
                      </w14:textFill>
                    </w:rPr>
                    <w:t>合计</w:t>
                  </w:r>
                </w:p>
              </w:tc>
              <w:tc>
                <w:tcPr>
                  <w:tcW w:w="536"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07860D0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6.95</w:t>
                  </w:r>
                </w:p>
              </w:tc>
              <w:tc>
                <w:tcPr>
                  <w:tcW w:w="525"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29608031">
                  <w:pPr>
                    <w:jc w:val="center"/>
                    <w:rPr>
                      <w:rFonts w:hint="eastAsia" w:ascii="微软雅黑" w:hAnsi="微软雅黑" w:eastAsia="微软雅黑" w:cs="微软雅黑"/>
                      <w:b w:val="0"/>
                      <w:bCs w:val="0"/>
                      <w:i w:val="0"/>
                      <w:iCs w:val="0"/>
                      <w:color w:val="000000" w:themeColor="text1"/>
                      <w:sz w:val="21"/>
                      <w:szCs w:val="21"/>
                      <w:highlight w:val="none"/>
                      <w:u w:val="none"/>
                      <w14:textFill>
                        <w14:solidFill>
                          <w14:schemeClr w14:val="tx1"/>
                        </w14:solidFill>
                      </w14:textFill>
                    </w:rPr>
                  </w:pPr>
                </w:p>
              </w:tc>
              <w:tc>
                <w:tcPr>
                  <w:tcW w:w="536"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65DA50E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6.95</w:t>
                  </w:r>
                </w:p>
              </w:tc>
              <w:tc>
                <w:tcPr>
                  <w:tcW w:w="887" w:type="pct"/>
                  <w:tcBorders>
                    <w:top w:val="single" w:color="888E93" w:sz="8" w:space="0"/>
                    <w:left w:val="single" w:color="888E93" w:sz="8" w:space="0"/>
                    <w:bottom w:val="single" w:color="474747" w:sz="8" w:space="0"/>
                    <w:right w:val="single" w:color="474747" w:sz="8" w:space="0"/>
                  </w:tcBorders>
                  <w:shd w:val="clear" w:color="auto" w:fill="FFFFFF"/>
                  <w:vAlign w:val="center"/>
                </w:tcPr>
                <w:p w14:paraId="7F44115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6.95</w:t>
                  </w:r>
                </w:p>
              </w:tc>
            </w:tr>
          </w:tbl>
          <w:p w14:paraId="7B263DBA">
            <w:pPr>
              <w:adjustRightInd w:val="0"/>
              <w:snapToGrid w:val="0"/>
              <w:spacing w:line="360" w:lineRule="auto"/>
              <w:ind w:firstLine="482" w:firstLineChars="20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道路工程不涉及拆迁工程。</w:t>
            </w:r>
          </w:p>
          <w:p w14:paraId="629E9D73">
            <w:pPr>
              <w:adjustRightInd w:val="0"/>
              <w:snapToGrid w:val="0"/>
              <w:spacing w:line="360" w:lineRule="auto"/>
              <w:ind w:firstLine="482" w:firstLineChars="200"/>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3.</w:t>
            </w:r>
            <w:r>
              <w:rPr>
                <w:rFonts w:hint="eastAsia" w:cs="Times New Roman"/>
                <w:b/>
                <w:bCs/>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highlight w:val="none"/>
                <w14:textFill>
                  <w14:solidFill>
                    <w14:schemeClr w14:val="tx1"/>
                  </w14:solidFill>
                </w14:textFill>
              </w:rPr>
              <w:t>取、弃土场</w:t>
            </w:r>
            <w:r>
              <w:rPr>
                <w:rFonts w:hint="eastAsia" w:cs="Times New Roman"/>
                <w:b/>
                <w:bCs/>
                <w:color w:val="000000" w:themeColor="text1"/>
                <w:sz w:val="24"/>
                <w:highlight w:val="none"/>
                <w:lang w:val="en-US" w:eastAsia="zh-CN"/>
                <w14:textFill>
                  <w14:solidFill>
                    <w14:schemeClr w14:val="tx1"/>
                  </w14:solidFill>
                </w14:textFill>
              </w:rPr>
              <w:t>情况</w:t>
            </w:r>
          </w:p>
          <w:p w14:paraId="70F63539">
            <w:pPr>
              <w:adjustRightInd w:val="0"/>
              <w:snapToGrid w:val="0"/>
              <w:spacing w:line="360" w:lineRule="auto"/>
              <w:ind w:firstLine="420" w:firstLineChars="200"/>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本公路路基工程以填方为主，根据工程土石方填挖数量统计，全线共设置取土场 1 </w:t>
            </w:r>
          </w:p>
          <w:p w14:paraId="726D8D38">
            <w:pPr>
              <w:adjustRightInd w:val="0"/>
              <w:snapToGrid w:val="0"/>
              <w:spacing w:line="360" w:lineRule="auto"/>
              <w:jc w:val="lef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处，位于桩号 K0+000 右侧约 2km 处，地理坐标：东经 117°45′53.59″，北纬 44°8′53.58″， 占地类型为草地，占地面积为 2.14hm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。经现场调查，取土场类型为坡面型，上游无汇 水，土质为碎石土和片块石。取土开挖深度约为 1m，取土边坡 1:2，取土量 1.38 万 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 坡面取土，最终取土坑坑底和原地表高差在 0.6m 左右。</w:t>
            </w:r>
          </w:p>
          <w:p w14:paraId="7EA0F505">
            <w:pPr>
              <w:adjustRightInd w:val="0"/>
              <w:snapToGrid w:val="0"/>
              <w:spacing w:line="360" w:lineRule="auto"/>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取土场拐点坐标见表 2-</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、基本情况见表 2-</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。取土场地形图见图 </w:t>
            </w:r>
            <w:r>
              <w:rPr>
                <w:rFonts w:hint="eastAsia" w:cs="Times New Roman"/>
                <w:color w:val="000000" w:themeColor="text1"/>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4C7C036C">
            <w:pPr>
              <w:adjustRightInd w:val="0"/>
              <w:snapToGrid w:val="0"/>
              <w:spacing w:line="360" w:lineRule="auto"/>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mc:AlternateContent>
                <mc:Choice Requires="wpg">
                  <w:drawing>
                    <wp:anchor distT="0" distB="0" distL="114300" distR="114300" simplePos="0" relativeHeight="251667456" behindDoc="0" locked="0" layoutInCell="1" allowOverlap="1">
                      <wp:simplePos x="0" y="0"/>
                      <wp:positionH relativeFrom="column">
                        <wp:posOffset>4459605</wp:posOffset>
                      </wp:positionH>
                      <wp:positionV relativeFrom="paragraph">
                        <wp:posOffset>97155</wp:posOffset>
                      </wp:positionV>
                      <wp:extent cx="398145" cy="972185"/>
                      <wp:effectExtent l="0" t="0" r="1905" b="18415"/>
                      <wp:wrapNone/>
                      <wp:docPr id="123" name="组合 123"/>
                      <wp:cNvGraphicFramePr/>
                      <a:graphic xmlns:a="http://schemas.openxmlformats.org/drawingml/2006/main">
                        <a:graphicData uri="http://schemas.microsoft.com/office/word/2010/wordprocessingGroup">
                          <wpg:wgp>
                            <wpg:cNvGrpSpPr/>
                            <wpg:grpSpPr>
                              <a:xfrm>
                                <a:off x="0" y="0"/>
                                <a:ext cx="398145" cy="972185"/>
                                <a:chOff x="14469" y="2333071"/>
                                <a:chExt cx="915" cy="2232"/>
                              </a:xfrm>
                            </wpg:grpSpPr>
                            <pic:pic xmlns:pic="http://schemas.openxmlformats.org/drawingml/2006/picture">
                              <pic:nvPicPr>
                                <pic:cNvPr id="124" name="图片 6"/>
                                <pic:cNvPicPr>
                                  <a:picLocks noChangeAspect="1"/>
                                </pic:cNvPicPr>
                              </pic:nvPicPr>
                              <pic:blipFill>
                                <a:blip r:embed="rId23"/>
                                <a:stretch>
                                  <a:fillRect/>
                                </a:stretch>
                              </pic:blipFill>
                              <pic:spPr>
                                <a:xfrm>
                                  <a:off x="14469" y="2333071"/>
                                  <a:ext cx="913" cy="879"/>
                                </a:xfrm>
                                <a:prstGeom prst="rect">
                                  <a:avLst/>
                                </a:prstGeom>
                                <a:noFill/>
                                <a:ln>
                                  <a:noFill/>
                                </a:ln>
                              </pic:spPr>
                            </pic:pic>
                            <pic:pic xmlns:pic="http://schemas.openxmlformats.org/drawingml/2006/picture">
                              <pic:nvPicPr>
                                <pic:cNvPr id="125" name="图片 7"/>
                                <pic:cNvPicPr>
                                  <a:picLocks noChangeAspect="1"/>
                                </pic:cNvPicPr>
                              </pic:nvPicPr>
                              <pic:blipFill>
                                <a:blip r:embed="rId24"/>
                                <a:stretch>
                                  <a:fillRect/>
                                </a:stretch>
                              </pic:blipFill>
                              <pic:spPr>
                                <a:xfrm>
                                  <a:off x="14488" y="2333921"/>
                                  <a:ext cx="897" cy="1383"/>
                                </a:xfrm>
                                <a:prstGeom prst="rect">
                                  <a:avLst/>
                                </a:prstGeom>
                                <a:noFill/>
                                <a:ln>
                                  <a:noFill/>
                                </a:ln>
                              </pic:spPr>
                            </pic:pic>
                          </wpg:wgp>
                        </a:graphicData>
                      </a:graphic>
                    </wp:anchor>
                  </w:drawing>
                </mc:Choice>
                <mc:Fallback>
                  <w:pict>
                    <v:group id="_x0000_s1026" o:spid="_x0000_s1026" o:spt="203" style="position:absolute;left:0pt;margin-left:351.15pt;margin-top:7.65pt;height:76.55pt;width:31.35pt;z-index:251667456;mso-width-relative:page;mso-height-relative:page;" coordorigin="14469,2333071" coordsize="915,2232" o:gfxdata="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">
                      <o:lock v:ext="edit" aspectratio="f"/>
                      <v:shape id="图片 6" o:spid="_x0000_s1026" o:spt="75" type="#_x0000_t75" style="position:absolute;left:14469;top:2333071;height:879;width:913;" filled="f" o:preferrelative="t" stroked="f" coordsize="21600,21600" o:gfxdata="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j0HrgAAADcAAAA&#10;DwAAAAAAAAABACAAAAAiAAAAZHJzL2Rvd25yZXYueG1sUEsBAhQAFAAAAAgAh07iQDMvBZ47AAAA&#10;OQAAABAAAAAAAAAAAQAgAAAABwEAAGRycy9zaGFwZXhtbC54bWxQSwUGAAAAAAYABgBbAQAAsQMA&#10;AAAA&#10;">
                        <v:fill on="f" focussize="0,0"/>
                        <v:stroke on="f"/>
                        <v:imagedata r:id="rId23" o:title=""/>
                        <o:lock v:ext="edit" aspectratio="t"/>
                      </v:shape>
                      <v:shape id="图片 7" o:spid="_x0000_s1026" o:spt="75" type="#_x0000_t75" style="position:absolute;left:14488;top:2333921;height:1383;width:897;" filled="f" o:preferrelative="t" stroked="f" coordsize="21600,21600" o:gfxdata="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wNztugAAANwA&#10;AAAPAAAAAAAAAAEAIAAAACIAAABkcnMvZG93bnJldi54bWxQSwECFAAUAAAACACHTuJAMy8FnjsA&#10;AAA5AAAAEAAAAAAAAAABACAAAAAJAQAAZHJzL3NoYXBleG1sLnhtbFBLBQYAAAAABgAGAFsBAACz&#10;AwAAAAA=&#10;">
                        <v:fill on="f" focussize="0,0"/>
                        <v:stroke on="f"/>
                        <v:imagedata r:id="rId24" o:title=""/>
                        <o:lock v:ext="edit" aspectratio="t"/>
                      </v:shape>
                    </v:group>
                  </w:pict>
                </mc:Fallback>
              </mc:AlternateContent>
            </w:r>
            <w:r>
              <w:rPr>
                <w:color w:val="000000" w:themeColor="text1"/>
                <w:highlight w:val="none"/>
                <w14:textFill>
                  <w14:solidFill>
                    <w14:schemeClr w14:val="tx1"/>
                  </w14:solidFill>
                </w14:textFill>
              </w:rPr>
              <w:drawing>
                <wp:inline distT="0" distB="0" distL="114300" distR="114300">
                  <wp:extent cx="5033010" cy="4004945"/>
                  <wp:effectExtent l="0" t="0" r="8890" b="825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25"/>
                          <a:stretch>
                            <a:fillRect/>
                          </a:stretch>
                        </pic:blipFill>
                        <pic:spPr>
                          <a:xfrm>
                            <a:off x="0" y="0"/>
                            <a:ext cx="5033010" cy="4004945"/>
                          </a:xfrm>
                          <a:prstGeom prst="rect">
                            <a:avLst/>
                          </a:prstGeom>
                          <a:noFill/>
                          <a:ln>
                            <a:noFill/>
                          </a:ln>
                        </pic:spPr>
                      </pic:pic>
                    </a:graphicData>
                  </a:graphic>
                </wp:inline>
              </w:drawing>
            </w:r>
          </w:p>
          <w:p w14:paraId="6E40F175">
            <w:pPr>
              <w:adjustRightInd w:val="0"/>
              <w:snapToGrid w:val="0"/>
              <w:spacing w:line="360" w:lineRule="auto"/>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图2-</w:t>
            </w:r>
            <w:r>
              <w:rPr>
                <w:rFonts w:hint="eastAsia" w:cs="Times New Roman"/>
                <w:b/>
                <w:bCs/>
                <w:color w:val="000000" w:themeColor="text1"/>
                <w:highlight w:val="none"/>
                <w:lang w:val="en-US" w:eastAsia="zh-CN"/>
                <w14:textFill>
                  <w14:solidFill>
                    <w14:schemeClr w14:val="tx1"/>
                  </w14:solidFill>
                </w14:textFill>
              </w:rPr>
              <w:t>4取弃土场位情况图</w:t>
            </w:r>
          </w:p>
          <w:p w14:paraId="509D0C97">
            <w:pPr>
              <w:adjustRightInd w:val="0"/>
              <w:snapToGrid w:val="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表2-</w:t>
            </w:r>
            <w:r>
              <w:rPr>
                <w:rFonts w:hint="eastAsia"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取土场拐点坐标表</w:t>
            </w:r>
          </w:p>
          <w:p w14:paraId="506F547C">
            <w:pPr>
              <w:adjustRightInd w:val="0"/>
              <w:snapToGrid w:val="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bl>
            <w:tblPr>
              <w:tblStyle w:val="30"/>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07"/>
              <w:gridCol w:w="3446"/>
              <w:gridCol w:w="2933"/>
            </w:tblGrid>
            <w:tr w14:paraId="5D655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955" w:type="pct"/>
                  <w:tcBorders>
                    <w:top w:val="single" w:color="474747" w:sz="8" w:space="0"/>
                    <w:left w:val="single" w:color="474747" w:sz="8" w:space="0"/>
                    <w:bottom w:val="single" w:color="888E93" w:sz="8" w:space="0"/>
                    <w:right w:val="single" w:color="888E93" w:sz="8" w:space="0"/>
                  </w:tcBorders>
                  <w:shd w:val="clear" w:color="auto" w:fill="FFFFFF"/>
                  <w:vAlign w:val="center"/>
                </w:tcPr>
                <w:p w14:paraId="62751148">
                  <w:pPr>
                    <w:keepNext w:val="0"/>
                    <w:keepLines w:val="0"/>
                    <w:widowControl/>
                    <w:suppressLineNumbers w:val="0"/>
                    <w:jc w:val="center"/>
                    <w:textAlignment w:val="center"/>
                    <w:rPr>
                      <w:rFonts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序号</w:t>
                  </w:r>
                </w:p>
              </w:tc>
              <w:tc>
                <w:tcPr>
                  <w:tcW w:w="2184" w:type="pct"/>
                  <w:tcBorders>
                    <w:top w:val="single" w:color="474747" w:sz="8" w:space="0"/>
                    <w:left w:val="single" w:color="888E93" w:sz="8" w:space="0"/>
                    <w:bottom w:val="single" w:color="888E93" w:sz="8" w:space="0"/>
                    <w:right w:val="single" w:color="888E93" w:sz="8" w:space="0"/>
                  </w:tcBorders>
                  <w:shd w:val="clear" w:color="auto" w:fill="FFFFFF"/>
                  <w:vAlign w:val="center"/>
                </w:tcPr>
                <w:p w14:paraId="755A2EC0">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东经</w:t>
                  </w:r>
                </w:p>
              </w:tc>
              <w:tc>
                <w:tcPr>
                  <w:tcW w:w="1859" w:type="pct"/>
                  <w:tcBorders>
                    <w:top w:val="single" w:color="474747" w:sz="8" w:space="0"/>
                    <w:left w:val="single" w:color="888E93" w:sz="8" w:space="0"/>
                    <w:bottom w:val="single" w:color="888E93" w:sz="8" w:space="0"/>
                    <w:right w:val="single" w:color="474747" w:sz="8" w:space="0"/>
                  </w:tcBorders>
                  <w:shd w:val="clear" w:color="auto" w:fill="FFFFFF"/>
                  <w:vAlign w:val="center"/>
                </w:tcPr>
                <w:p w14:paraId="4989E904">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北纬</w:t>
                  </w:r>
                </w:p>
              </w:tc>
            </w:tr>
            <w:tr w14:paraId="69283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955"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1103B8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2184"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D7E6D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117°45′49.51″</w:t>
                  </w:r>
                </w:p>
              </w:tc>
              <w:tc>
                <w:tcPr>
                  <w:tcW w:w="1859"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09DC9C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44°8′54.53″</w:t>
                  </w:r>
                </w:p>
              </w:tc>
            </w:tr>
            <w:tr w14:paraId="06C4B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955"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2CCC8B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2184"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101DDAA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117°45′57.23″</w:t>
                  </w:r>
                </w:p>
              </w:tc>
              <w:tc>
                <w:tcPr>
                  <w:tcW w:w="1859"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5FE0F1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44°8′56.99″</w:t>
                  </w:r>
                </w:p>
              </w:tc>
            </w:tr>
            <w:tr w14:paraId="25C70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955"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1ACE48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2184"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7A4CD1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117°45′58.09″</w:t>
                  </w:r>
                </w:p>
              </w:tc>
              <w:tc>
                <w:tcPr>
                  <w:tcW w:w="1859"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1F245D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44°8′53.34″</w:t>
                  </w:r>
                </w:p>
              </w:tc>
            </w:tr>
            <w:tr w14:paraId="586ED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955" w:type="pct"/>
                  <w:tcBorders>
                    <w:top w:val="single" w:color="888E93" w:sz="8" w:space="0"/>
                    <w:left w:val="single" w:color="474747" w:sz="8" w:space="0"/>
                    <w:bottom w:val="single" w:color="474747" w:sz="8" w:space="0"/>
                    <w:right w:val="single" w:color="888E93" w:sz="8" w:space="0"/>
                  </w:tcBorders>
                  <w:shd w:val="clear" w:color="auto" w:fill="FFFFFF"/>
                  <w:vAlign w:val="center"/>
                </w:tcPr>
                <w:p w14:paraId="445C7D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2184"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3A5A7B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117°45′50.48″</w:t>
                  </w:r>
                </w:p>
              </w:tc>
              <w:tc>
                <w:tcPr>
                  <w:tcW w:w="1859" w:type="pct"/>
                  <w:tcBorders>
                    <w:top w:val="single" w:color="888E93" w:sz="8" w:space="0"/>
                    <w:left w:val="single" w:color="888E93" w:sz="8" w:space="0"/>
                    <w:bottom w:val="single" w:color="474747" w:sz="8" w:space="0"/>
                    <w:right w:val="single" w:color="474747" w:sz="8" w:space="0"/>
                  </w:tcBorders>
                  <w:shd w:val="clear" w:color="auto" w:fill="FFFFFF"/>
                  <w:vAlign w:val="center"/>
                </w:tcPr>
                <w:p w14:paraId="23D48B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44°8′50.66″</w:t>
                  </w:r>
                </w:p>
              </w:tc>
            </w:tr>
          </w:tbl>
          <w:p w14:paraId="256F5344">
            <w:pPr>
              <w:adjustRightInd w:val="0"/>
              <w:snapToGrid w:val="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表2-4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本工程取土场基本情况表</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3"/>
              <w:gridCol w:w="868"/>
              <w:gridCol w:w="440"/>
              <w:gridCol w:w="439"/>
              <w:gridCol w:w="1362"/>
              <w:gridCol w:w="965"/>
              <w:gridCol w:w="767"/>
              <w:gridCol w:w="668"/>
              <w:gridCol w:w="930"/>
              <w:gridCol w:w="414"/>
              <w:gridCol w:w="612"/>
            </w:tblGrid>
            <w:tr w14:paraId="3FD1B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413" w:type="dxa"/>
                  <w:vMerge w:val="restart"/>
                  <w:tcBorders>
                    <w:top w:val="single" w:color="474747" w:sz="8" w:space="0"/>
                    <w:left w:val="single" w:color="474747" w:sz="8" w:space="0"/>
                    <w:bottom w:val="single" w:color="888E93" w:sz="8" w:space="0"/>
                    <w:right w:val="single" w:color="888E93" w:sz="8" w:space="0"/>
                  </w:tcBorders>
                  <w:shd w:val="clear" w:color="auto" w:fill="D9D9D9"/>
                  <w:vAlign w:val="center"/>
                </w:tcPr>
                <w:p w14:paraId="74C904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名称</w:t>
                  </w:r>
                </w:p>
              </w:tc>
              <w:tc>
                <w:tcPr>
                  <w:tcW w:w="868" w:type="dxa"/>
                  <w:vMerge w:val="restart"/>
                  <w:tcBorders>
                    <w:top w:val="single" w:color="474747" w:sz="8" w:space="0"/>
                    <w:left w:val="single" w:color="888E93" w:sz="8" w:space="0"/>
                    <w:bottom w:val="single" w:color="888E93" w:sz="8" w:space="0"/>
                    <w:right w:val="single" w:color="888E93" w:sz="8" w:space="0"/>
                  </w:tcBorders>
                  <w:shd w:val="clear" w:color="auto" w:fill="D9D9D9"/>
                  <w:vAlign w:val="center"/>
                </w:tcPr>
                <w:p w14:paraId="2022D6F8">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上路桩号</w:t>
                  </w:r>
                </w:p>
              </w:tc>
              <w:tc>
                <w:tcPr>
                  <w:tcW w:w="879" w:type="dxa"/>
                  <w:gridSpan w:val="2"/>
                  <w:tcBorders>
                    <w:top w:val="single" w:color="474747" w:sz="8" w:space="0"/>
                    <w:left w:val="single" w:color="888E93" w:sz="8" w:space="0"/>
                    <w:bottom w:val="single" w:color="888E93" w:sz="8" w:space="0"/>
                    <w:right w:val="single" w:color="888E93" w:sz="8" w:space="0"/>
                  </w:tcBorders>
                  <w:shd w:val="clear" w:color="auto" w:fill="D9D9D9"/>
                  <w:vAlign w:val="center"/>
                </w:tcPr>
                <w:p w14:paraId="6499436E">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位置（km）</w:t>
                  </w:r>
                </w:p>
              </w:tc>
              <w:tc>
                <w:tcPr>
                  <w:tcW w:w="1362" w:type="dxa"/>
                  <w:vMerge w:val="restart"/>
                  <w:tcBorders>
                    <w:top w:val="single" w:color="474747" w:sz="8" w:space="0"/>
                    <w:left w:val="single" w:color="888E93" w:sz="8" w:space="0"/>
                    <w:bottom w:val="single" w:color="888E93" w:sz="8" w:space="0"/>
                    <w:right w:val="single" w:color="888E93" w:sz="8" w:space="0"/>
                  </w:tcBorders>
                  <w:shd w:val="clear" w:color="auto" w:fill="D9D9D9"/>
                  <w:vAlign w:val="center"/>
                </w:tcPr>
                <w:p w14:paraId="5819DDED">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中心坐标</w:t>
                  </w:r>
                </w:p>
              </w:tc>
              <w:tc>
                <w:tcPr>
                  <w:tcW w:w="2400" w:type="dxa"/>
                  <w:gridSpan w:val="3"/>
                  <w:tcBorders>
                    <w:top w:val="single" w:color="474747" w:sz="8" w:space="0"/>
                    <w:left w:val="single" w:color="888E93" w:sz="8" w:space="0"/>
                    <w:bottom w:val="single" w:color="888E93" w:sz="8" w:space="0"/>
                    <w:right w:val="single" w:color="888E93" w:sz="8" w:space="0"/>
                  </w:tcBorders>
                  <w:shd w:val="clear" w:color="auto" w:fill="D9D9D9"/>
                  <w:vAlign w:val="center"/>
                </w:tcPr>
                <w:p w14:paraId="152660BA">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取土设计指标</w:t>
                  </w:r>
                </w:p>
              </w:tc>
              <w:tc>
                <w:tcPr>
                  <w:tcW w:w="930" w:type="dxa"/>
                  <w:vMerge w:val="restart"/>
                  <w:tcBorders>
                    <w:top w:val="single" w:color="474747" w:sz="8" w:space="0"/>
                    <w:left w:val="single" w:color="888E93" w:sz="8" w:space="0"/>
                    <w:right w:val="single" w:color="888E93" w:sz="8" w:space="0"/>
                  </w:tcBorders>
                  <w:shd w:val="clear" w:color="auto" w:fill="D9D9D9"/>
                  <w:vAlign w:val="center"/>
                </w:tcPr>
                <w:p w14:paraId="5AC480C5">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汇水面积</w:t>
                  </w:r>
                </w:p>
                <w:p w14:paraId="6027D12F">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（km</w:t>
                  </w:r>
                  <w:r>
                    <w:rPr>
                      <w:rFonts w:hint="eastAsia"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2</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14" w:type="dxa"/>
                  <w:vMerge w:val="restart"/>
                  <w:tcBorders>
                    <w:top w:val="single" w:color="474747" w:sz="8" w:space="0"/>
                    <w:left w:val="single" w:color="888E93" w:sz="8" w:space="0"/>
                    <w:bottom w:val="single" w:color="888E93" w:sz="8" w:space="0"/>
                    <w:right w:val="single" w:color="888E93" w:sz="8" w:space="0"/>
                  </w:tcBorders>
                  <w:shd w:val="clear" w:color="auto" w:fill="D9D9D9"/>
                  <w:vAlign w:val="center"/>
                </w:tcPr>
                <w:p w14:paraId="370EA88D">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下游敏感点</w:t>
                  </w:r>
                </w:p>
              </w:tc>
              <w:tc>
                <w:tcPr>
                  <w:tcW w:w="612" w:type="dxa"/>
                  <w:vMerge w:val="restart"/>
                  <w:tcBorders>
                    <w:top w:val="single" w:color="474747" w:sz="8" w:space="0"/>
                    <w:left w:val="single" w:color="888E93" w:sz="8" w:space="0"/>
                    <w:bottom w:val="single" w:color="888E93" w:sz="8" w:space="0"/>
                    <w:right w:val="single" w:color="888E93" w:sz="8" w:space="0"/>
                  </w:tcBorders>
                  <w:shd w:val="clear" w:color="auto" w:fill="D9D9D9"/>
                  <w:vAlign w:val="center"/>
                </w:tcPr>
                <w:p w14:paraId="5233DEAE">
                  <w:pPr>
                    <w:keepNext w:val="0"/>
                    <w:keepLines w:val="0"/>
                    <w:widowControl/>
                    <w:suppressLineNumbers w:val="0"/>
                    <w:jc w:val="left"/>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地形特点（类型）</w:t>
                  </w:r>
                </w:p>
              </w:tc>
            </w:tr>
            <w:tr w14:paraId="26D7C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413" w:type="dxa"/>
                  <w:vMerge w:val="continue"/>
                  <w:tcBorders>
                    <w:top w:val="single" w:color="474747" w:sz="8" w:space="0"/>
                    <w:left w:val="single" w:color="474747" w:sz="8" w:space="0"/>
                    <w:bottom w:val="single" w:color="888E93" w:sz="8" w:space="0"/>
                    <w:right w:val="single" w:color="888E93" w:sz="8" w:space="0"/>
                  </w:tcBorders>
                  <w:shd w:val="clear" w:color="auto" w:fill="D9D9D9"/>
                  <w:vAlign w:val="center"/>
                </w:tcPr>
                <w:p w14:paraId="349F9975">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868" w:type="dxa"/>
                  <w:vMerge w:val="continue"/>
                  <w:tcBorders>
                    <w:top w:val="single" w:color="474747" w:sz="8" w:space="0"/>
                    <w:left w:val="single" w:color="888E93" w:sz="8" w:space="0"/>
                    <w:bottom w:val="single" w:color="888E93" w:sz="8" w:space="0"/>
                    <w:right w:val="single" w:color="888E93" w:sz="8" w:space="0"/>
                  </w:tcBorders>
                  <w:shd w:val="clear" w:color="auto" w:fill="D9D9D9"/>
                  <w:vAlign w:val="center"/>
                </w:tcPr>
                <w:p w14:paraId="36ED6A51">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40" w:type="dxa"/>
                  <w:vMerge w:val="restart"/>
                  <w:tcBorders>
                    <w:top w:val="single" w:color="888E93" w:sz="8" w:space="0"/>
                    <w:left w:val="single" w:color="888E93" w:sz="8" w:space="0"/>
                    <w:bottom w:val="single" w:color="888E93" w:sz="8" w:space="0"/>
                    <w:right w:val="single" w:color="888E93" w:sz="8" w:space="0"/>
                  </w:tcBorders>
                  <w:shd w:val="clear" w:color="auto" w:fill="FFFFFF"/>
                  <w:vAlign w:val="center"/>
                </w:tcPr>
                <w:p w14:paraId="36E70FB6">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左</w:t>
                  </w:r>
                </w:p>
              </w:tc>
              <w:tc>
                <w:tcPr>
                  <w:tcW w:w="439" w:type="dxa"/>
                  <w:vMerge w:val="restart"/>
                  <w:tcBorders>
                    <w:top w:val="single" w:color="888E93" w:sz="8" w:space="0"/>
                    <w:left w:val="single" w:color="888E93" w:sz="8" w:space="0"/>
                    <w:bottom w:val="single" w:color="888E93" w:sz="8" w:space="0"/>
                    <w:right w:val="single" w:color="888E93" w:sz="8" w:space="0"/>
                  </w:tcBorders>
                  <w:shd w:val="clear" w:color="auto" w:fill="FFFFFF"/>
                  <w:vAlign w:val="center"/>
                </w:tcPr>
                <w:p w14:paraId="7BB0C799">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右</w:t>
                  </w:r>
                </w:p>
              </w:tc>
              <w:tc>
                <w:tcPr>
                  <w:tcW w:w="1362" w:type="dxa"/>
                  <w:vMerge w:val="continue"/>
                  <w:tcBorders>
                    <w:top w:val="single" w:color="474747" w:sz="8" w:space="0"/>
                    <w:left w:val="single" w:color="888E93" w:sz="8" w:space="0"/>
                    <w:bottom w:val="single" w:color="888E93" w:sz="8" w:space="0"/>
                    <w:right w:val="single" w:color="888E93" w:sz="8" w:space="0"/>
                  </w:tcBorders>
                  <w:shd w:val="clear" w:color="auto" w:fill="D9D9D9"/>
                  <w:vAlign w:val="center"/>
                </w:tcPr>
                <w:p w14:paraId="613F1E8C">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65" w:type="dxa"/>
                  <w:tcBorders>
                    <w:top w:val="single" w:color="888E93" w:sz="8" w:space="0"/>
                    <w:left w:val="single" w:color="888E93" w:sz="8" w:space="0"/>
                    <w:bottom w:val="nil"/>
                    <w:right w:val="single" w:color="888E93" w:sz="8" w:space="0"/>
                  </w:tcBorders>
                  <w:shd w:val="clear" w:color="auto" w:fill="FFFFFF"/>
                  <w:vAlign w:val="center"/>
                </w:tcPr>
                <w:p w14:paraId="561F7D55">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占地面积</w:t>
                  </w:r>
                </w:p>
              </w:tc>
              <w:tc>
                <w:tcPr>
                  <w:tcW w:w="767" w:type="dxa"/>
                  <w:tcBorders>
                    <w:top w:val="single" w:color="888E93" w:sz="8" w:space="0"/>
                    <w:left w:val="single" w:color="888E93" w:sz="8" w:space="0"/>
                    <w:bottom w:val="nil"/>
                    <w:right w:val="single" w:color="888E93" w:sz="8" w:space="0"/>
                  </w:tcBorders>
                  <w:shd w:val="clear" w:color="auto" w:fill="FFFFFF"/>
                  <w:vAlign w:val="center"/>
                </w:tcPr>
                <w:p w14:paraId="63536FFE">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平均挖深</w:t>
                  </w:r>
                </w:p>
              </w:tc>
              <w:tc>
                <w:tcPr>
                  <w:tcW w:w="668" w:type="dxa"/>
                  <w:tcBorders>
                    <w:top w:val="single" w:color="888E93" w:sz="8" w:space="0"/>
                    <w:left w:val="single" w:color="888E93" w:sz="8" w:space="0"/>
                    <w:bottom w:val="nil"/>
                    <w:right w:val="single" w:color="888E93" w:sz="8" w:space="0"/>
                  </w:tcBorders>
                  <w:shd w:val="clear" w:color="auto" w:fill="FFFFFF"/>
                  <w:vAlign w:val="center"/>
                </w:tcPr>
                <w:p w14:paraId="09B47F2C">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取土量</w:t>
                  </w:r>
                </w:p>
              </w:tc>
              <w:tc>
                <w:tcPr>
                  <w:tcW w:w="930" w:type="dxa"/>
                  <w:vMerge w:val="continue"/>
                  <w:tcBorders>
                    <w:left w:val="single" w:color="888E93" w:sz="8" w:space="0"/>
                    <w:bottom w:val="nil"/>
                    <w:right w:val="single" w:color="888E93" w:sz="8" w:space="0"/>
                  </w:tcBorders>
                  <w:shd w:val="clear" w:color="auto" w:fill="D9D9D9"/>
                  <w:vAlign w:val="center"/>
                </w:tcPr>
                <w:p w14:paraId="1CD1EF08">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14" w:type="dxa"/>
                  <w:vMerge w:val="continue"/>
                  <w:tcBorders>
                    <w:top w:val="single" w:color="474747" w:sz="8" w:space="0"/>
                    <w:left w:val="single" w:color="888E93" w:sz="8" w:space="0"/>
                    <w:bottom w:val="single" w:color="888E93" w:sz="8" w:space="0"/>
                    <w:right w:val="single" w:color="888E93" w:sz="8" w:space="0"/>
                  </w:tcBorders>
                  <w:shd w:val="clear" w:color="auto" w:fill="D9D9D9"/>
                  <w:vAlign w:val="center"/>
                </w:tcPr>
                <w:p w14:paraId="7D76118B">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612" w:type="dxa"/>
                  <w:vMerge w:val="continue"/>
                  <w:tcBorders>
                    <w:top w:val="single" w:color="474747" w:sz="8" w:space="0"/>
                    <w:left w:val="single" w:color="888E93" w:sz="8" w:space="0"/>
                    <w:bottom w:val="single" w:color="888E93" w:sz="8" w:space="0"/>
                    <w:right w:val="single" w:color="888E93" w:sz="8" w:space="0"/>
                  </w:tcBorders>
                  <w:shd w:val="clear" w:color="auto" w:fill="D9D9D9"/>
                  <w:vAlign w:val="center"/>
                </w:tcPr>
                <w:p w14:paraId="7A3FE6A7">
                  <w:pPr>
                    <w:jc w:val="left"/>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r>
            <w:tr w14:paraId="34990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413" w:type="dxa"/>
                  <w:vMerge w:val="continue"/>
                  <w:tcBorders>
                    <w:top w:val="single" w:color="474747" w:sz="8" w:space="0"/>
                    <w:left w:val="single" w:color="474747" w:sz="8" w:space="0"/>
                    <w:bottom w:val="single" w:color="888E93" w:sz="8" w:space="0"/>
                    <w:right w:val="single" w:color="888E93" w:sz="8" w:space="0"/>
                  </w:tcBorders>
                  <w:shd w:val="clear" w:color="auto" w:fill="D9D9D9"/>
                  <w:vAlign w:val="center"/>
                </w:tcPr>
                <w:p w14:paraId="34D037AD">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868" w:type="dxa"/>
                  <w:vMerge w:val="continue"/>
                  <w:tcBorders>
                    <w:top w:val="single" w:color="474747" w:sz="8" w:space="0"/>
                    <w:left w:val="single" w:color="888E93" w:sz="8" w:space="0"/>
                    <w:bottom w:val="single" w:color="888E93" w:sz="8" w:space="0"/>
                    <w:right w:val="single" w:color="888E93" w:sz="8" w:space="0"/>
                  </w:tcBorders>
                  <w:shd w:val="clear" w:color="auto" w:fill="D9D9D9"/>
                  <w:vAlign w:val="center"/>
                </w:tcPr>
                <w:p w14:paraId="5EACB40A">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40"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14:paraId="68398FD1">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39"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14:paraId="2BBC461C">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362" w:type="dxa"/>
                  <w:vMerge w:val="continue"/>
                  <w:tcBorders>
                    <w:top w:val="single" w:color="474747" w:sz="8" w:space="0"/>
                    <w:left w:val="single" w:color="888E93" w:sz="8" w:space="0"/>
                    <w:bottom w:val="single" w:color="888E93" w:sz="8" w:space="0"/>
                    <w:right w:val="single" w:color="888E93" w:sz="8" w:space="0"/>
                  </w:tcBorders>
                  <w:shd w:val="clear" w:color="auto" w:fill="D9D9D9"/>
                  <w:vAlign w:val="center"/>
                </w:tcPr>
                <w:p w14:paraId="187974A5">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65" w:type="dxa"/>
                  <w:tcBorders>
                    <w:top w:val="nil"/>
                    <w:left w:val="single" w:color="888E93" w:sz="8" w:space="0"/>
                    <w:bottom w:val="single" w:color="888E93" w:sz="8" w:space="0"/>
                    <w:right w:val="single" w:color="888E93" w:sz="8" w:space="0"/>
                  </w:tcBorders>
                  <w:shd w:val="clear" w:color="auto" w:fill="FFFFFF"/>
                  <w:vAlign w:val="center"/>
                </w:tcPr>
                <w:p w14:paraId="7FF2D5BA">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（hm2）</w:t>
                  </w:r>
                </w:p>
              </w:tc>
              <w:tc>
                <w:tcPr>
                  <w:tcW w:w="767" w:type="dxa"/>
                  <w:tcBorders>
                    <w:top w:val="nil"/>
                    <w:left w:val="single" w:color="888E93" w:sz="8" w:space="0"/>
                    <w:bottom w:val="single" w:color="888E93" w:sz="8" w:space="0"/>
                    <w:right w:val="single" w:color="888E93" w:sz="8" w:space="0"/>
                  </w:tcBorders>
                  <w:shd w:val="clear" w:color="auto" w:fill="FFFFFF"/>
                  <w:vAlign w:val="center"/>
                </w:tcPr>
                <w:p w14:paraId="64A69BC6">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p>
              </w:tc>
              <w:tc>
                <w:tcPr>
                  <w:tcW w:w="668" w:type="dxa"/>
                  <w:tcBorders>
                    <w:top w:val="nil"/>
                    <w:left w:val="single" w:color="888E93" w:sz="8" w:space="0"/>
                    <w:bottom w:val="single" w:color="888E93" w:sz="8" w:space="0"/>
                    <w:right w:val="single" w:color="888E93" w:sz="8" w:space="0"/>
                  </w:tcBorders>
                  <w:shd w:val="clear" w:color="auto" w:fill="FFFFFF"/>
                  <w:vAlign w:val="center"/>
                </w:tcPr>
                <w:p w14:paraId="540BD3B2">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（万m3）</w:t>
                  </w:r>
                </w:p>
              </w:tc>
              <w:tc>
                <w:tcPr>
                  <w:tcW w:w="930" w:type="dxa"/>
                  <w:tcBorders>
                    <w:top w:val="nil"/>
                    <w:left w:val="single" w:color="888E93" w:sz="8" w:space="0"/>
                    <w:bottom w:val="single" w:color="888E93" w:sz="8" w:space="0"/>
                    <w:right w:val="single" w:color="888E93" w:sz="8" w:space="0"/>
                  </w:tcBorders>
                  <w:shd w:val="clear" w:color="auto" w:fill="auto"/>
                  <w:noWrap/>
                  <w:vAlign w:val="center"/>
                </w:tcPr>
                <w:p w14:paraId="17E5D831">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14" w:type="dxa"/>
                  <w:vMerge w:val="continue"/>
                  <w:tcBorders>
                    <w:top w:val="single" w:color="474747" w:sz="8" w:space="0"/>
                    <w:left w:val="single" w:color="888E93" w:sz="8" w:space="0"/>
                    <w:bottom w:val="single" w:color="888E93" w:sz="8" w:space="0"/>
                    <w:right w:val="single" w:color="888E93" w:sz="8" w:space="0"/>
                  </w:tcBorders>
                  <w:shd w:val="clear" w:color="auto" w:fill="D9D9D9"/>
                  <w:vAlign w:val="center"/>
                </w:tcPr>
                <w:p w14:paraId="2EC6CB90">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612" w:type="dxa"/>
                  <w:vMerge w:val="continue"/>
                  <w:tcBorders>
                    <w:top w:val="single" w:color="474747" w:sz="8" w:space="0"/>
                    <w:left w:val="single" w:color="888E93" w:sz="8" w:space="0"/>
                    <w:bottom w:val="single" w:color="888E93" w:sz="8" w:space="0"/>
                    <w:right w:val="single" w:color="888E93" w:sz="8" w:space="0"/>
                  </w:tcBorders>
                  <w:shd w:val="clear" w:color="auto" w:fill="D9D9D9"/>
                  <w:vAlign w:val="center"/>
                </w:tcPr>
                <w:p w14:paraId="28E58C42">
                  <w:pPr>
                    <w:jc w:val="left"/>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r>
            <w:tr w14:paraId="53AB9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3" w:type="dxa"/>
                  <w:vMerge w:val="restart"/>
                  <w:tcBorders>
                    <w:top w:val="single" w:color="888E93" w:sz="8" w:space="0"/>
                    <w:left w:val="single" w:color="474747" w:sz="8" w:space="0"/>
                    <w:bottom w:val="single" w:color="474747" w:sz="8" w:space="0"/>
                    <w:right w:val="single" w:color="888E93" w:sz="8" w:space="0"/>
                  </w:tcBorders>
                  <w:shd w:val="clear" w:color="auto" w:fill="FFFFFF"/>
                  <w:vAlign w:val="center"/>
                </w:tcPr>
                <w:p w14:paraId="017225FC">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取土场</w:t>
                  </w:r>
                </w:p>
              </w:tc>
              <w:tc>
                <w:tcPr>
                  <w:tcW w:w="868" w:type="dxa"/>
                  <w:vMerge w:val="restart"/>
                  <w:tcBorders>
                    <w:top w:val="single" w:color="888E93" w:sz="8" w:space="0"/>
                    <w:left w:val="single" w:color="888E93" w:sz="8" w:space="0"/>
                    <w:bottom w:val="single" w:color="474747" w:sz="8" w:space="0"/>
                    <w:right w:val="single" w:color="888E93" w:sz="8" w:space="0"/>
                  </w:tcBorders>
                  <w:shd w:val="clear" w:color="auto" w:fill="FFFFFF"/>
                  <w:vAlign w:val="center"/>
                </w:tcPr>
                <w:p w14:paraId="6DD15E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K0+000</w:t>
                  </w:r>
                </w:p>
              </w:tc>
              <w:tc>
                <w:tcPr>
                  <w:tcW w:w="440" w:type="dxa"/>
                  <w:vMerge w:val="restart"/>
                  <w:tcBorders>
                    <w:top w:val="single" w:color="888E93" w:sz="8" w:space="0"/>
                    <w:left w:val="single" w:color="888E93" w:sz="8" w:space="0"/>
                    <w:bottom w:val="single" w:color="474747" w:sz="8" w:space="0"/>
                    <w:right w:val="single" w:color="888E93" w:sz="8" w:space="0"/>
                  </w:tcBorders>
                  <w:shd w:val="clear" w:color="auto" w:fill="FFFFFF"/>
                  <w:vAlign w:val="center"/>
                </w:tcPr>
                <w:p w14:paraId="4881B6A6">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39" w:type="dxa"/>
                  <w:vMerge w:val="restart"/>
                  <w:tcBorders>
                    <w:top w:val="single" w:color="888E93" w:sz="8" w:space="0"/>
                    <w:left w:val="single" w:color="888E93" w:sz="8" w:space="0"/>
                    <w:bottom w:val="single" w:color="474747" w:sz="8" w:space="0"/>
                    <w:right w:val="single" w:color="888E93" w:sz="8" w:space="0"/>
                  </w:tcBorders>
                  <w:shd w:val="clear" w:color="auto" w:fill="FFFFFF"/>
                  <w:vAlign w:val="center"/>
                </w:tcPr>
                <w:p w14:paraId="6E1635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362" w:type="dxa"/>
                  <w:tcBorders>
                    <w:top w:val="single" w:color="888E93" w:sz="8" w:space="0"/>
                    <w:left w:val="single" w:color="888E93" w:sz="8" w:space="0"/>
                    <w:bottom w:val="nil"/>
                    <w:right w:val="single" w:color="888E93" w:sz="8" w:space="0"/>
                  </w:tcBorders>
                  <w:shd w:val="clear" w:color="auto" w:fill="FFFFFF"/>
                  <w:vAlign w:val="center"/>
                </w:tcPr>
                <w:p w14:paraId="7C2F8090">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E：117°45′53.59″</w:t>
                  </w:r>
                </w:p>
              </w:tc>
              <w:tc>
                <w:tcPr>
                  <w:tcW w:w="965" w:type="dxa"/>
                  <w:vMerge w:val="restart"/>
                  <w:tcBorders>
                    <w:top w:val="single" w:color="888E93" w:sz="8" w:space="0"/>
                    <w:left w:val="single" w:color="888E93" w:sz="8" w:space="0"/>
                    <w:bottom w:val="single" w:color="474747" w:sz="8" w:space="0"/>
                    <w:right w:val="single" w:color="888E93" w:sz="8" w:space="0"/>
                  </w:tcBorders>
                  <w:shd w:val="clear" w:color="auto" w:fill="FFFFFF"/>
                  <w:vAlign w:val="center"/>
                </w:tcPr>
                <w:p w14:paraId="25CFEE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2.14</w:t>
                  </w:r>
                </w:p>
              </w:tc>
              <w:tc>
                <w:tcPr>
                  <w:tcW w:w="767" w:type="dxa"/>
                  <w:vMerge w:val="restart"/>
                  <w:tcBorders>
                    <w:top w:val="single" w:color="888E93" w:sz="8" w:space="0"/>
                    <w:left w:val="single" w:color="888E93" w:sz="8" w:space="0"/>
                    <w:bottom w:val="single" w:color="474747" w:sz="8" w:space="0"/>
                    <w:right w:val="single" w:color="888E93" w:sz="8" w:space="0"/>
                  </w:tcBorders>
                  <w:shd w:val="clear" w:color="auto" w:fill="FFFFFF"/>
                  <w:vAlign w:val="center"/>
                </w:tcPr>
                <w:p w14:paraId="7DC5C8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668" w:type="dxa"/>
                  <w:vMerge w:val="restart"/>
                  <w:tcBorders>
                    <w:top w:val="single" w:color="888E93" w:sz="8" w:space="0"/>
                    <w:left w:val="single" w:color="888E93" w:sz="8" w:space="0"/>
                    <w:bottom w:val="single" w:color="474747" w:sz="8" w:space="0"/>
                    <w:right w:val="single" w:color="888E93" w:sz="8" w:space="0"/>
                  </w:tcBorders>
                  <w:shd w:val="clear" w:color="auto" w:fill="FFFFFF"/>
                  <w:vAlign w:val="center"/>
                </w:tcPr>
                <w:p w14:paraId="3BBC12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1.38</w:t>
                  </w:r>
                </w:p>
              </w:tc>
              <w:tc>
                <w:tcPr>
                  <w:tcW w:w="930" w:type="dxa"/>
                  <w:vMerge w:val="restart"/>
                  <w:tcBorders>
                    <w:top w:val="single" w:color="888E93" w:sz="8" w:space="0"/>
                    <w:left w:val="single" w:color="888E93" w:sz="8" w:space="0"/>
                    <w:bottom w:val="single" w:color="474747" w:sz="8" w:space="0"/>
                    <w:right w:val="single" w:color="888E93" w:sz="8" w:space="0"/>
                  </w:tcBorders>
                  <w:shd w:val="clear" w:color="auto" w:fill="FFFFFF"/>
                  <w:vAlign w:val="center"/>
                </w:tcPr>
                <w:p w14:paraId="426D94BF">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无</w:t>
                  </w:r>
                </w:p>
              </w:tc>
              <w:tc>
                <w:tcPr>
                  <w:tcW w:w="414" w:type="dxa"/>
                  <w:vMerge w:val="restart"/>
                  <w:tcBorders>
                    <w:top w:val="single" w:color="888E93" w:sz="8" w:space="0"/>
                    <w:left w:val="single" w:color="888E93" w:sz="8" w:space="0"/>
                    <w:bottom w:val="single" w:color="474747" w:sz="8" w:space="0"/>
                    <w:right w:val="single" w:color="888E93" w:sz="8" w:space="0"/>
                  </w:tcBorders>
                  <w:shd w:val="clear" w:color="auto" w:fill="FFFFFF"/>
                  <w:vAlign w:val="center"/>
                </w:tcPr>
                <w:p w14:paraId="453D7809">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无</w:t>
                  </w:r>
                </w:p>
              </w:tc>
              <w:tc>
                <w:tcPr>
                  <w:tcW w:w="612" w:type="dxa"/>
                  <w:vMerge w:val="restart"/>
                  <w:tcBorders>
                    <w:top w:val="single" w:color="888E93" w:sz="8" w:space="0"/>
                    <w:left w:val="single" w:color="888E93" w:sz="8" w:space="0"/>
                    <w:bottom w:val="single" w:color="474747" w:sz="8" w:space="0"/>
                    <w:right w:val="single" w:color="888E93" w:sz="8" w:space="0"/>
                  </w:tcBorders>
                  <w:shd w:val="clear" w:color="auto" w:fill="FFFFFF"/>
                  <w:vAlign w:val="center"/>
                </w:tcPr>
                <w:p w14:paraId="43467C51">
                  <w:pPr>
                    <w:keepNext w:val="0"/>
                    <w:keepLines w:val="0"/>
                    <w:widowControl/>
                    <w:suppressLineNumbers w:val="0"/>
                    <w:jc w:val="left"/>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坡面型</w:t>
                  </w:r>
                </w:p>
              </w:tc>
            </w:tr>
            <w:tr w14:paraId="50A62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413" w:type="dxa"/>
                  <w:vMerge w:val="continue"/>
                  <w:tcBorders>
                    <w:top w:val="single" w:color="888E93" w:sz="8" w:space="0"/>
                    <w:left w:val="single" w:color="474747" w:sz="8" w:space="0"/>
                    <w:bottom w:val="single" w:color="474747" w:sz="8" w:space="0"/>
                    <w:right w:val="single" w:color="888E93" w:sz="8" w:space="0"/>
                  </w:tcBorders>
                  <w:shd w:val="clear" w:color="auto" w:fill="FFFFFF"/>
                  <w:vAlign w:val="center"/>
                </w:tcPr>
                <w:p w14:paraId="512A5C49">
                  <w:pPr>
                    <w:jc w:val="left"/>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868" w:type="dxa"/>
                  <w:vMerge w:val="continue"/>
                  <w:tcBorders>
                    <w:top w:val="single" w:color="888E93" w:sz="8" w:space="0"/>
                    <w:left w:val="single" w:color="888E93" w:sz="8" w:space="0"/>
                    <w:bottom w:val="single" w:color="474747" w:sz="8" w:space="0"/>
                    <w:right w:val="single" w:color="888E93" w:sz="8" w:space="0"/>
                  </w:tcBorders>
                  <w:shd w:val="clear" w:color="auto" w:fill="FFFFFF"/>
                  <w:vAlign w:val="center"/>
                </w:tcPr>
                <w:p w14:paraId="7BDE37AF">
                  <w:pPr>
                    <w:jc w:val="left"/>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40" w:type="dxa"/>
                  <w:vMerge w:val="continue"/>
                  <w:tcBorders>
                    <w:top w:val="single" w:color="888E93" w:sz="8" w:space="0"/>
                    <w:left w:val="single" w:color="888E93" w:sz="8" w:space="0"/>
                    <w:bottom w:val="single" w:color="474747" w:sz="8" w:space="0"/>
                    <w:right w:val="single" w:color="888E93" w:sz="8" w:space="0"/>
                  </w:tcBorders>
                  <w:shd w:val="clear" w:color="auto" w:fill="FFFFFF"/>
                  <w:vAlign w:val="center"/>
                </w:tcPr>
                <w:p w14:paraId="3BBFC18D">
                  <w:pPr>
                    <w:jc w:val="left"/>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39" w:type="dxa"/>
                  <w:vMerge w:val="continue"/>
                  <w:tcBorders>
                    <w:top w:val="single" w:color="888E93" w:sz="8" w:space="0"/>
                    <w:left w:val="single" w:color="888E93" w:sz="8" w:space="0"/>
                    <w:bottom w:val="single" w:color="474747" w:sz="8" w:space="0"/>
                    <w:right w:val="single" w:color="888E93" w:sz="8" w:space="0"/>
                  </w:tcBorders>
                  <w:shd w:val="clear" w:color="auto" w:fill="FFFFFF"/>
                  <w:vAlign w:val="center"/>
                </w:tcPr>
                <w:p w14:paraId="43F904D4">
                  <w:pPr>
                    <w:jc w:val="left"/>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362" w:type="dxa"/>
                  <w:tcBorders>
                    <w:top w:val="nil"/>
                    <w:left w:val="single" w:color="888E93" w:sz="8" w:space="0"/>
                    <w:bottom w:val="single" w:color="474747" w:sz="8" w:space="0"/>
                    <w:right w:val="single" w:color="888E93" w:sz="8" w:space="0"/>
                  </w:tcBorders>
                  <w:shd w:val="clear" w:color="auto" w:fill="FFFFFF"/>
                  <w:vAlign w:val="center"/>
                </w:tcPr>
                <w:p w14:paraId="2316720E">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N：44°8′53.58″</w:t>
                  </w:r>
                </w:p>
              </w:tc>
              <w:tc>
                <w:tcPr>
                  <w:tcW w:w="965" w:type="dxa"/>
                  <w:vMerge w:val="continue"/>
                  <w:tcBorders>
                    <w:top w:val="single" w:color="888E93" w:sz="8" w:space="0"/>
                    <w:left w:val="single" w:color="888E93" w:sz="8" w:space="0"/>
                    <w:bottom w:val="single" w:color="474747" w:sz="8" w:space="0"/>
                    <w:right w:val="single" w:color="888E93" w:sz="8" w:space="0"/>
                  </w:tcBorders>
                  <w:shd w:val="clear" w:color="auto" w:fill="FFFFFF"/>
                  <w:vAlign w:val="center"/>
                </w:tcPr>
                <w:p w14:paraId="2FB16083">
                  <w:pPr>
                    <w:jc w:val="left"/>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67" w:type="dxa"/>
                  <w:vMerge w:val="continue"/>
                  <w:tcBorders>
                    <w:top w:val="single" w:color="888E93" w:sz="8" w:space="0"/>
                    <w:left w:val="single" w:color="888E93" w:sz="8" w:space="0"/>
                    <w:bottom w:val="single" w:color="474747" w:sz="8" w:space="0"/>
                    <w:right w:val="single" w:color="888E93" w:sz="8" w:space="0"/>
                  </w:tcBorders>
                  <w:shd w:val="clear" w:color="auto" w:fill="FFFFFF"/>
                  <w:vAlign w:val="center"/>
                </w:tcPr>
                <w:p w14:paraId="1850458F">
                  <w:pPr>
                    <w:jc w:val="left"/>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68" w:type="dxa"/>
                  <w:vMerge w:val="continue"/>
                  <w:tcBorders>
                    <w:top w:val="single" w:color="888E93" w:sz="8" w:space="0"/>
                    <w:left w:val="single" w:color="888E93" w:sz="8" w:space="0"/>
                    <w:bottom w:val="single" w:color="474747" w:sz="8" w:space="0"/>
                    <w:right w:val="single" w:color="888E93" w:sz="8" w:space="0"/>
                  </w:tcBorders>
                  <w:shd w:val="clear" w:color="auto" w:fill="FFFFFF"/>
                  <w:vAlign w:val="center"/>
                </w:tcPr>
                <w:p w14:paraId="33EDED38">
                  <w:pPr>
                    <w:jc w:val="left"/>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30" w:type="dxa"/>
                  <w:vMerge w:val="continue"/>
                  <w:tcBorders>
                    <w:top w:val="single" w:color="888E93" w:sz="8" w:space="0"/>
                    <w:left w:val="single" w:color="888E93" w:sz="8" w:space="0"/>
                    <w:bottom w:val="single" w:color="474747" w:sz="8" w:space="0"/>
                    <w:right w:val="single" w:color="888E93" w:sz="8" w:space="0"/>
                  </w:tcBorders>
                  <w:shd w:val="clear" w:color="auto" w:fill="FFFFFF"/>
                  <w:vAlign w:val="center"/>
                </w:tcPr>
                <w:p w14:paraId="7081DC6B">
                  <w:pPr>
                    <w:jc w:val="left"/>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414" w:type="dxa"/>
                  <w:vMerge w:val="continue"/>
                  <w:tcBorders>
                    <w:top w:val="single" w:color="888E93" w:sz="8" w:space="0"/>
                    <w:left w:val="single" w:color="888E93" w:sz="8" w:space="0"/>
                    <w:bottom w:val="single" w:color="474747" w:sz="8" w:space="0"/>
                    <w:right w:val="single" w:color="888E93" w:sz="8" w:space="0"/>
                  </w:tcBorders>
                  <w:shd w:val="clear" w:color="auto" w:fill="FFFFFF"/>
                  <w:vAlign w:val="center"/>
                </w:tcPr>
                <w:p w14:paraId="32A6116A">
                  <w:pPr>
                    <w:jc w:val="left"/>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612" w:type="dxa"/>
                  <w:vMerge w:val="continue"/>
                  <w:tcBorders>
                    <w:top w:val="single" w:color="888E93" w:sz="8" w:space="0"/>
                    <w:left w:val="single" w:color="888E93" w:sz="8" w:space="0"/>
                    <w:bottom w:val="single" w:color="474747" w:sz="8" w:space="0"/>
                    <w:right w:val="single" w:color="888E93" w:sz="8" w:space="0"/>
                  </w:tcBorders>
                  <w:shd w:val="clear" w:color="auto" w:fill="FFFFFF"/>
                  <w:vAlign w:val="center"/>
                </w:tcPr>
                <w:p w14:paraId="2386970C">
                  <w:pPr>
                    <w:jc w:val="left"/>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r>
          </w:tbl>
          <w:p w14:paraId="5B62A895">
            <w:pPr>
              <w:widowControl/>
              <w:spacing w:line="360" w:lineRule="auto"/>
              <w:ind w:left="874" w:hanging="454"/>
              <w:jc w:val="left"/>
              <w:rPr>
                <w:rFonts w:hint="default" w:ascii="Times New Roman" w:hAnsi="Times New Roman" w:eastAsia="宋体" w:cs="Times New Roman"/>
                <w:color w:val="000000" w:themeColor="text1"/>
                <w:sz w:val="24"/>
                <w:highlight w:val="none"/>
                <w14:textFill>
                  <w14:solidFill>
                    <w14:schemeClr w14:val="tx1"/>
                  </w14:solidFill>
                </w14:textFill>
              </w:rPr>
            </w:pPr>
          </w:p>
          <w:p w14:paraId="6C4CEC96">
            <w:pPr>
              <w:widowControl/>
              <w:spacing w:line="360" w:lineRule="auto"/>
              <w:ind w:left="874" w:hanging="454"/>
              <w:jc w:val="left"/>
              <w:rPr>
                <w:rFonts w:hint="default" w:ascii="Times New Roman" w:hAnsi="Times New Roman" w:eastAsia="宋体" w:cs="Times New Roman"/>
                <w:color w:val="000000" w:themeColor="text1"/>
                <w:sz w:val="24"/>
                <w:highlight w:val="none"/>
                <w14:textFill>
                  <w14:solidFill>
                    <w14:schemeClr w14:val="tx1"/>
                  </w14:solidFill>
                </w14:textFill>
              </w:rPr>
            </w:pPr>
          </w:p>
          <w:p w14:paraId="6E38BFF5">
            <w:pPr>
              <w:widowControl/>
              <w:spacing w:line="360" w:lineRule="auto"/>
              <w:ind w:left="874" w:hanging="454"/>
              <w:jc w:val="left"/>
              <w:rPr>
                <w:rFonts w:hint="default" w:ascii="Times New Roman" w:hAnsi="Times New Roman" w:eastAsia="宋体" w:cs="Times New Roman"/>
                <w:color w:val="000000" w:themeColor="text1"/>
                <w:sz w:val="24"/>
                <w:highlight w:val="none"/>
                <w14:textFill>
                  <w14:solidFill>
                    <w14:schemeClr w14:val="tx1"/>
                  </w14:solidFill>
                </w14:textFill>
              </w:rPr>
            </w:pPr>
          </w:p>
          <w:p w14:paraId="7951AA97">
            <w:pPr>
              <w:widowControl/>
              <w:spacing w:line="360" w:lineRule="auto"/>
              <w:ind w:firstLine="482" w:firstLineChars="200"/>
              <w:jc w:val="left"/>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cs="Times New Roman"/>
                <w:b/>
                <w:bCs/>
                <w:color w:val="000000" w:themeColor="text1"/>
                <w:kern w:val="0"/>
                <w:sz w:val="24"/>
                <w:highlight w:val="none"/>
                <w:lang w:val="en-US" w:eastAsia="zh-CN" w:bidi="ar"/>
                <w14:textFill>
                  <w14:solidFill>
                    <w14:schemeClr w14:val="tx1"/>
                  </w14:solidFill>
                </w14:textFill>
              </w:rPr>
              <w:t>3.8</w:t>
            </w: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工程土石方</w:t>
            </w:r>
            <w:r>
              <w:rPr>
                <w:rFonts w:hint="eastAsia" w:cs="Times New Roman"/>
                <w:b/>
                <w:bCs/>
                <w:color w:val="000000" w:themeColor="text1"/>
                <w:kern w:val="0"/>
                <w:sz w:val="24"/>
                <w:highlight w:val="none"/>
                <w:lang w:val="en-US" w:eastAsia="zh-CN" w:bidi="ar"/>
                <w14:textFill>
                  <w14:solidFill>
                    <w14:schemeClr w14:val="tx1"/>
                  </w14:solidFill>
                </w14:textFill>
              </w:rPr>
              <w:t>情况</w:t>
            </w:r>
          </w:p>
          <w:p w14:paraId="5D5242D2">
            <w:pPr>
              <w:widowControl/>
              <w:spacing w:line="360" w:lineRule="auto"/>
              <w:ind w:firstLine="480" w:firstLineChars="200"/>
              <w:jc w:val="left"/>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pPr>
            <w:r>
              <w:rPr>
                <w:rFonts w:hint="eastAsia" w:cs="Times New Roman"/>
                <w:color w:val="000000" w:themeColor="text1"/>
                <w:kern w:val="0"/>
                <w:sz w:val="24"/>
                <w:highlight w:val="none"/>
                <w:lang w:val="en-US" w:eastAsia="zh-CN" w:bidi="ar"/>
                <w14:textFill>
                  <w14:solidFill>
                    <w14:schemeClr w14:val="tx1"/>
                  </w14:solidFill>
                </w14:textFill>
              </w:rPr>
              <w:t>1）表土土石方</w:t>
            </w:r>
          </w:p>
          <w:p w14:paraId="0B328B50">
            <w:pPr>
              <w:widowControl/>
              <w:spacing w:line="360" w:lineRule="auto"/>
              <w:ind w:firstLine="480" w:firstLineChars="200"/>
              <w:jc w:val="left"/>
              <w:rPr>
                <w:rFonts w:hint="default" w:ascii="Times New Roman" w:hAnsi="Times New Roman" w:eastAsia="宋体" w:cs="Times New Roman"/>
                <w:color w:val="000000" w:themeColor="text1"/>
                <w:kern w:val="0"/>
                <w:sz w:val="24"/>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根据主体设计资料，施工前对路基可剥离区域进行表土剥离，剥离面积 5.82hm</w:t>
            </w:r>
            <w:r>
              <w:rPr>
                <w:rFonts w:hint="default" w:ascii="Times New Roman" w:hAnsi="Times New Roman" w:eastAsia="宋体" w:cs="Times New Roman"/>
                <w:color w:val="000000" w:themeColor="text1"/>
                <w:kern w:val="0"/>
                <w:sz w:val="24"/>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，平均剥离厚度为 20cm，剥离量 1.16 万 m</w:t>
            </w:r>
            <w:r>
              <w:rPr>
                <w:rFonts w:hint="default" w:ascii="Times New Roman" w:hAnsi="Times New Roman" w:eastAsia="宋体" w:cs="Times New Roman"/>
                <w:color w:val="000000" w:themeColor="text1"/>
                <w:kern w:val="0"/>
                <w:sz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，集中堆放于表土堆放场，施工结束后用于路基边坡及两侧、施工便道等区域植被恢复覆土；施工生产生活区可剥离区域进行表土剥离，剥离面积 0.40hm</w:t>
            </w:r>
            <w:r>
              <w:rPr>
                <w:rFonts w:hint="default" w:ascii="Times New Roman" w:hAnsi="Times New Roman" w:eastAsia="宋体" w:cs="Times New Roman"/>
                <w:color w:val="000000" w:themeColor="text1"/>
                <w:kern w:val="0"/>
                <w:sz w:val="24"/>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，平均剥离厚度为 20cm，剥离量 0.08 万 m</w:t>
            </w:r>
            <w:r>
              <w:rPr>
                <w:rFonts w:hint="default" w:ascii="Times New Roman" w:hAnsi="Times New Roman" w:eastAsia="宋体" w:cs="Times New Roman"/>
                <w:color w:val="000000" w:themeColor="text1"/>
                <w:kern w:val="0"/>
                <w:sz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，堆存于施工场地内空地区域，施工结束后用于本区域植被恢复覆土；取土场占地区域进行表土剥离，剥离面积 2.14hm</w:t>
            </w:r>
            <w:r>
              <w:rPr>
                <w:rFonts w:hint="default" w:ascii="Times New Roman" w:hAnsi="Times New Roman" w:eastAsia="宋体" w:cs="Times New Roman"/>
                <w:color w:val="000000" w:themeColor="text1"/>
                <w:kern w:val="0"/>
                <w:sz w:val="24"/>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，平均剥离厚度为 20cm，剥离量 0.43 万 m</w:t>
            </w:r>
            <w:r>
              <w:rPr>
                <w:rFonts w:hint="default" w:ascii="Times New Roman" w:hAnsi="Times New Roman" w:eastAsia="宋体" w:cs="Times New Roman"/>
                <w:color w:val="000000" w:themeColor="text1"/>
                <w:kern w:val="0"/>
                <w:sz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 xml:space="preserve">，临时堆放于取土区域内空地， </w:t>
            </w:r>
          </w:p>
          <w:p w14:paraId="067E399B">
            <w:pPr>
              <w:widowControl/>
              <w:spacing w:line="360" w:lineRule="auto"/>
              <w:jc w:val="left"/>
              <w:rPr>
                <w:rFonts w:hint="default" w:ascii="Times New Roman" w:hAnsi="Times New Roman" w:eastAsia="宋体" w:cs="Times New Roman"/>
                <w:color w:val="000000" w:themeColor="text1"/>
                <w:kern w:val="0"/>
                <w:sz w:val="24"/>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用于本区后期绿化覆土；施工便道占地区域进行表土剥离，剥离面积 2.65hm</w:t>
            </w:r>
            <w:r>
              <w:rPr>
                <w:rFonts w:hint="default" w:ascii="Times New Roman" w:hAnsi="Times New Roman" w:eastAsia="宋体" w:cs="Times New Roman"/>
                <w:color w:val="000000" w:themeColor="text1"/>
                <w:kern w:val="0"/>
                <w:sz w:val="24"/>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，平均剥离厚度为 20cm，剥离量 0.53 万 m</w:t>
            </w:r>
            <w:r>
              <w:rPr>
                <w:rFonts w:hint="default" w:ascii="Times New Roman" w:hAnsi="Times New Roman" w:eastAsia="宋体" w:cs="Times New Roman"/>
                <w:color w:val="000000" w:themeColor="text1"/>
                <w:kern w:val="0"/>
                <w:sz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，随路基表土堆存表土堆放场，施工结束后用于路基边坡及两侧、施工便道等区域植被恢复覆土。</w:t>
            </w:r>
          </w:p>
          <w:p w14:paraId="2E22AC61">
            <w:pPr>
              <w:widowControl/>
              <w:spacing w:line="360" w:lineRule="auto"/>
              <w:ind w:firstLine="480" w:firstLineChars="200"/>
              <w:jc w:val="left"/>
              <w:rPr>
                <w:rFonts w:hint="default" w:ascii="Times New Roman" w:hAnsi="Times New Roman" w:eastAsia="宋体" w:cs="Times New Roman"/>
                <w:color w:val="000000" w:themeColor="text1"/>
                <w:kern w:val="0"/>
                <w:sz w:val="24"/>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工程土石方平衡见表2-</w:t>
            </w:r>
            <w:r>
              <w:rPr>
                <w:rFonts w:hint="eastAsia" w:cs="Times New Roman"/>
                <w:color w:val="000000" w:themeColor="text1"/>
                <w:kern w:val="0"/>
                <w:sz w:val="24"/>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，图2-</w:t>
            </w:r>
            <w:r>
              <w:rPr>
                <w:rFonts w:hint="eastAsia" w:cs="Times New Roman"/>
                <w:color w:val="000000" w:themeColor="text1"/>
                <w:kern w:val="0"/>
                <w:sz w:val="24"/>
                <w:highlight w:val="none"/>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w:t>
            </w:r>
          </w:p>
          <w:p w14:paraId="0813F4BF">
            <w:pPr>
              <w:widowControl/>
              <w:jc w:val="center"/>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t>表2-</w:t>
            </w:r>
            <w:r>
              <w:rPr>
                <w:rFonts w:hint="eastAsia" w:cs="Times New Roman"/>
                <w:b/>
                <w:bCs/>
                <w:color w:val="000000" w:themeColor="text1"/>
                <w:kern w:val="0"/>
                <w:szCs w:val="21"/>
                <w:highlight w:val="none"/>
                <w:lang w:val="en-US" w:eastAsia="zh-CN" w:bidi="ar"/>
                <w14:textFill>
                  <w14:solidFill>
                    <w14:schemeClr w14:val="tx1"/>
                  </w14:solidFill>
                </w14:textFill>
              </w:rPr>
              <w:t>5</w:t>
            </w:r>
            <w:r>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t>工程</w:t>
            </w:r>
            <w:r>
              <w:rPr>
                <w:rFonts w:hint="eastAsia" w:cs="Times New Roman"/>
                <w:b/>
                <w:bCs/>
                <w:color w:val="000000" w:themeColor="text1"/>
                <w:kern w:val="0"/>
                <w:szCs w:val="21"/>
                <w:highlight w:val="none"/>
                <w:lang w:val="en-US" w:eastAsia="zh-CN" w:bidi="ar"/>
                <w14:textFill>
                  <w14:solidFill>
                    <w14:schemeClr w14:val="tx1"/>
                  </w14:solidFill>
                </w14:textFill>
              </w:rPr>
              <w:t>表土</w:t>
            </w:r>
            <w:r>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t>方平衡一览表</w:t>
            </w:r>
          </w:p>
          <w:tbl>
            <w:tblPr>
              <w:tblStyle w:val="30"/>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82"/>
              <w:gridCol w:w="1033"/>
              <w:gridCol w:w="1033"/>
              <w:gridCol w:w="1035"/>
              <w:gridCol w:w="1033"/>
              <w:gridCol w:w="1034"/>
              <w:gridCol w:w="1036"/>
            </w:tblGrid>
            <w:tr w14:paraId="27441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1066" w:type="pct"/>
                  <w:vMerge w:val="restart"/>
                  <w:tcBorders>
                    <w:top w:val="single" w:color="474747" w:sz="8" w:space="0"/>
                    <w:left w:val="single" w:color="474747" w:sz="8" w:space="0"/>
                    <w:bottom w:val="single" w:color="888E93" w:sz="8" w:space="0"/>
                    <w:right w:val="single" w:color="888E93" w:sz="8" w:space="0"/>
                  </w:tcBorders>
                  <w:shd w:val="clear" w:color="auto" w:fill="D9D9D9"/>
                  <w:vAlign w:val="center"/>
                </w:tcPr>
                <w:p w14:paraId="1F281AB8">
                  <w:pPr>
                    <w:keepNext w:val="0"/>
                    <w:keepLines w:val="0"/>
                    <w:widowControl/>
                    <w:suppressLineNumbers w:val="0"/>
                    <w:jc w:val="center"/>
                    <w:textAlignment w:val="center"/>
                    <w:rPr>
                      <w:rFonts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项目分区</w:t>
                  </w:r>
                </w:p>
              </w:tc>
              <w:tc>
                <w:tcPr>
                  <w:tcW w:w="1966" w:type="pct"/>
                  <w:gridSpan w:val="3"/>
                  <w:tcBorders>
                    <w:top w:val="single" w:color="474747" w:sz="8" w:space="0"/>
                    <w:left w:val="single" w:color="888E93" w:sz="8" w:space="0"/>
                    <w:bottom w:val="single" w:color="888E93" w:sz="8" w:space="0"/>
                    <w:right w:val="single" w:color="888E93" w:sz="8" w:space="0"/>
                  </w:tcBorders>
                  <w:shd w:val="clear" w:color="auto" w:fill="D9D9D9"/>
                  <w:vAlign w:val="center"/>
                </w:tcPr>
                <w:p w14:paraId="5B63EB3D">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表土剥离</w:t>
                  </w:r>
                </w:p>
              </w:tc>
              <w:tc>
                <w:tcPr>
                  <w:tcW w:w="1966" w:type="pct"/>
                  <w:gridSpan w:val="3"/>
                  <w:tcBorders>
                    <w:top w:val="single" w:color="474747" w:sz="8" w:space="0"/>
                    <w:left w:val="single" w:color="888E93" w:sz="8" w:space="0"/>
                    <w:bottom w:val="single" w:color="888E93" w:sz="8" w:space="0"/>
                    <w:right w:val="single" w:color="474747" w:sz="8" w:space="0"/>
                  </w:tcBorders>
                  <w:shd w:val="clear" w:color="auto" w:fill="D9D9D9"/>
                  <w:vAlign w:val="center"/>
                </w:tcPr>
                <w:p w14:paraId="7355A475">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覆土</w:t>
                  </w:r>
                </w:p>
              </w:tc>
            </w:tr>
            <w:tr w14:paraId="5ADA1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1066" w:type="pct"/>
                  <w:vMerge w:val="continue"/>
                  <w:tcBorders>
                    <w:top w:val="single" w:color="474747" w:sz="8" w:space="0"/>
                    <w:left w:val="single" w:color="474747" w:sz="8" w:space="0"/>
                    <w:bottom w:val="single" w:color="888E93" w:sz="8" w:space="0"/>
                    <w:right w:val="single" w:color="888E93" w:sz="8" w:space="0"/>
                  </w:tcBorders>
                  <w:shd w:val="clear" w:color="auto" w:fill="D9D9D9"/>
                  <w:vAlign w:val="center"/>
                </w:tcPr>
                <w:p w14:paraId="1B99C5A9">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655" w:type="pct"/>
                  <w:tcBorders>
                    <w:top w:val="single" w:color="888E93" w:sz="8" w:space="0"/>
                    <w:left w:val="single" w:color="888E93" w:sz="8" w:space="0"/>
                    <w:bottom w:val="nil"/>
                    <w:right w:val="single" w:color="888E93" w:sz="8" w:space="0"/>
                  </w:tcBorders>
                  <w:shd w:val="clear" w:color="auto" w:fill="FFFFFF"/>
                  <w:vAlign w:val="center"/>
                </w:tcPr>
                <w:p w14:paraId="3F3B9715">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剥离面积</w:t>
                  </w:r>
                </w:p>
              </w:tc>
              <w:tc>
                <w:tcPr>
                  <w:tcW w:w="655" w:type="pct"/>
                  <w:tcBorders>
                    <w:top w:val="single" w:color="888E93" w:sz="8" w:space="0"/>
                    <w:left w:val="single" w:color="888E93" w:sz="8" w:space="0"/>
                    <w:bottom w:val="nil"/>
                    <w:right w:val="single" w:color="888E93" w:sz="8" w:space="0"/>
                  </w:tcBorders>
                  <w:shd w:val="clear" w:color="auto" w:fill="FFFFFF"/>
                  <w:vAlign w:val="center"/>
                </w:tcPr>
                <w:p w14:paraId="2FE773F7">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剥离厚度</w:t>
                  </w:r>
                </w:p>
              </w:tc>
              <w:tc>
                <w:tcPr>
                  <w:tcW w:w="656" w:type="pct"/>
                  <w:tcBorders>
                    <w:top w:val="single" w:color="888E93" w:sz="8" w:space="0"/>
                    <w:left w:val="single" w:color="888E93" w:sz="8" w:space="0"/>
                    <w:bottom w:val="nil"/>
                    <w:right w:val="single" w:color="888E93" w:sz="8" w:space="0"/>
                  </w:tcBorders>
                  <w:shd w:val="clear" w:color="auto" w:fill="FFFFFF"/>
                  <w:vAlign w:val="center"/>
                </w:tcPr>
                <w:p w14:paraId="61EE88E5">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剥离量</w:t>
                  </w:r>
                </w:p>
              </w:tc>
              <w:tc>
                <w:tcPr>
                  <w:tcW w:w="655" w:type="pct"/>
                  <w:tcBorders>
                    <w:top w:val="single" w:color="888E93" w:sz="8" w:space="0"/>
                    <w:left w:val="single" w:color="888E93" w:sz="8" w:space="0"/>
                    <w:bottom w:val="nil"/>
                    <w:right w:val="single" w:color="888E93" w:sz="8" w:space="0"/>
                  </w:tcBorders>
                  <w:shd w:val="clear" w:color="auto" w:fill="FFFFFF"/>
                  <w:vAlign w:val="center"/>
                </w:tcPr>
                <w:p w14:paraId="3FAA4FFA">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覆土面积</w:t>
                  </w:r>
                </w:p>
              </w:tc>
              <w:tc>
                <w:tcPr>
                  <w:tcW w:w="655" w:type="pct"/>
                  <w:tcBorders>
                    <w:top w:val="single" w:color="888E93" w:sz="8" w:space="0"/>
                    <w:left w:val="single" w:color="888E93" w:sz="8" w:space="0"/>
                    <w:bottom w:val="nil"/>
                    <w:right w:val="single" w:color="888E93" w:sz="8" w:space="0"/>
                  </w:tcBorders>
                  <w:shd w:val="clear" w:color="auto" w:fill="FFFFFF"/>
                  <w:vAlign w:val="center"/>
                </w:tcPr>
                <w:p w14:paraId="535A97EC">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覆土厚度</w:t>
                  </w:r>
                </w:p>
              </w:tc>
              <w:tc>
                <w:tcPr>
                  <w:tcW w:w="656" w:type="pct"/>
                  <w:tcBorders>
                    <w:top w:val="single" w:color="888E93" w:sz="8" w:space="0"/>
                    <w:left w:val="single" w:color="888E93" w:sz="8" w:space="0"/>
                    <w:bottom w:val="nil"/>
                    <w:right w:val="single" w:color="474747" w:sz="8" w:space="0"/>
                  </w:tcBorders>
                  <w:shd w:val="clear" w:color="auto" w:fill="FFFFFF"/>
                  <w:vAlign w:val="center"/>
                </w:tcPr>
                <w:p w14:paraId="5FC3C611">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覆土量</w:t>
                  </w:r>
                </w:p>
              </w:tc>
            </w:tr>
            <w:tr w14:paraId="7BA4C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1066" w:type="pct"/>
                  <w:vMerge w:val="continue"/>
                  <w:tcBorders>
                    <w:top w:val="single" w:color="474747" w:sz="8" w:space="0"/>
                    <w:left w:val="single" w:color="474747" w:sz="8" w:space="0"/>
                    <w:bottom w:val="single" w:color="888E93" w:sz="8" w:space="0"/>
                    <w:right w:val="single" w:color="888E93" w:sz="8" w:space="0"/>
                  </w:tcBorders>
                  <w:shd w:val="clear" w:color="auto" w:fill="D9D9D9"/>
                  <w:vAlign w:val="center"/>
                </w:tcPr>
                <w:p w14:paraId="4622205D">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655" w:type="pct"/>
                  <w:tcBorders>
                    <w:top w:val="nil"/>
                    <w:left w:val="single" w:color="888E93" w:sz="8" w:space="0"/>
                    <w:bottom w:val="single" w:color="888E93" w:sz="8" w:space="0"/>
                    <w:right w:val="single" w:color="888E93" w:sz="8" w:space="0"/>
                  </w:tcBorders>
                  <w:shd w:val="clear" w:color="auto" w:fill="FFFFFF"/>
                  <w:vAlign w:val="center"/>
                </w:tcPr>
                <w:p w14:paraId="543DBA99">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（hm2）</w:t>
                  </w:r>
                </w:p>
              </w:tc>
              <w:tc>
                <w:tcPr>
                  <w:tcW w:w="655" w:type="pct"/>
                  <w:tcBorders>
                    <w:top w:val="nil"/>
                    <w:left w:val="single" w:color="888E93" w:sz="8" w:space="0"/>
                    <w:bottom w:val="single" w:color="888E93" w:sz="8" w:space="0"/>
                    <w:right w:val="single" w:color="888E93" w:sz="8" w:space="0"/>
                  </w:tcBorders>
                  <w:shd w:val="clear" w:color="auto" w:fill="FFFFFF"/>
                  <w:vAlign w:val="center"/>
                </w:tcPr>
                <w:p w14:paraId="04D0FFA7">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（cm）</w:t>
                  </w:r>
                </w:p>
              </w:tc>
              <w:tc>
                <w:tcPr>
                  <w:tcW w:w="656" w:type="pct"/>
                  <w:tcBorders>
                    <w:top w:val="nil"/>
                    <w:left w:val="single" w:color="888E93" w:sz="8" w:space="0"/>
                    <w:bottom w:val="single" w:color="888E93" w:sz="8" w:space="0"/>
                    <w:right w:val="single" w:color="888E93" w:sz="8" w:space="0"/>
                  </w:tcBorders>
                  <w:shd w:val="clear" w:color="auto" w:fill="FFFFFF"/>
                  <w:vAlign w:val="center"/>
                </w:tcPr>
                <w:p w14:paraId="09E09860">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（万m3）</w:t>
                  </w:r>
                </w:p>
              </w:tc>
              <w:tc>
                <w:tcPr>
                  <w:tcW w:w="655" w:type="pct"/>
                  <w:tcBorders>
                    <w:top w:val="nil"/>
                    <w:left w:val="single" w:color="888E93" w:sz="8" w:space="0"/>
                    <w:bottom w:val="single" w:color="888E93" w:sz="8" w:space="0"/>
                    <w:right w:val="single" w:color="888E93" w:sz="8" w:space="0"/>
                  </w:tcBorders>
                  <w:shd w:val="clear" w:color="auto" w:fill="FFFFFF"/>
                  <w:vAlign w:val="center"/>
                </w:tcPr>
                <w:p w14:paraId="37AF4D06">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（hm2）</w:t>
                  </w:r>
                </w:p>
              </w:tc>
              <w:tc>
                <w:tcPr>
                  <w:tcW w:w="655" w:type="pct"/>
                  <w:tcBorders>
                    <w:top w:val="nil"/>
                    <w:left w:val="single" w:color="888E93" w:sz="8" w:space="0"/>
                    <w:bottom w:val="single" w:color="888E93" w:sz="8" w:space="0"/>
                    <w:right w:val="single" w:color="888E93" w:sz="8" w:space="0"/>
                  </w:tcBorders>
                  <w:shd w:val="clear" w:color="auto" w:fill="FFFFFF"/>
                  <w:vAlign w:val="center"/>
                </w:tcPr>
                <w:p w14:paraId="64FB6263">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（cm）</w:t>
                  </w:r>
                </w:p>
              </w:tc>
              <w:tc>
                <w:tcPr>
                  <w:tcW w:w="656" w:type="pct"/>
                  <w:tcBorders>
                    <w:top w:val="nil"/>
                    <w:left w:val="single" w:color="888E93" w:sz="8" w:space="0"/>
                    <w:bottom w:val="single" w:color="888E93" w:sz="8" w:space="0"/>
                    <w:right w:val="single" w:color="474747" w:sz="8" w:space="0"/>
                  </w:tcBorders>
                  <w:shd w:val="clear" w:color="auto" w:fill="FFFFFF"/>
                  <w:vAlign w:val="center"/>
                </w:tcPr>
                <w:p w14:paraId="136C9077">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（万m3）</w:t>
                  </w:r>
                </w:p>
              </w:tc>
            </w:tr>
            <w:tr w14:paraId="7FB74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1066"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77E33401">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路基工程区</w:t>
                  </w:r>
                </w:p>
              </w:tc>
              <w:tc>
                <w:tcPr>
                  <w:tcW w:w="65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04E2D3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5.82</w:t>
                  </w:r>
                </w:p>
              </w:tc>
              <w:tc>
                <w:tcPr>
                  <w:tcW w:w="65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6BED67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65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032B96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w:t>
                  </w:r>
                </w:p>
              </w:tc>
              <w:tc>
                <w:tcPr>
                  <w:tcW w:w="65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73279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2.71</w:t>
                  </w:r>
                </w:p>
              </w:tc>
              <w:tc>
                <w:tcPr>
                  <w:tcW w:w="65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5B321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43</w:t>
                  </w:r>
                </w:p>
              </w:tc>
              <w:tc>
                <w:tcPr>
                  <w:tcW w:w="656"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4A2D6D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w:t>
                  </w:r>
                </w:p>
              </w:tc>
            </w:tr>
            <w:tr w14:paraId="647FF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1066"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061A489D">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施工生产生活区</w:t>
                  </w:r>
                </w:p>
              </w:tc>
              <w:tc>
                <w:tcPr>
                  <w:tcW w:w="65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F004D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w:t>
                  </w:r>
                </w:p>
              </w:tc>
              <w:tc>
                <w:tcPr>
                  <w:tcW w:w="65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E6FAC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65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F989C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w:t>
                  </w:r>
                </w:p>
              </w:tc>
              <w:tc>
                <w:tcPr>
                  <w:tcW w:w="65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335CBF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w:t>
                  </w:r>
                </w:p>
              </w:tc>
              <w:tc>
                <w:tcPr>
                  <w:tcW w:w="65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07C222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656"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6F2AE0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w:t>
                  </w:r>
                </w:p>
              </w:tc>
            </w:tr>
            <w:tr w14:paraId="40348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1066"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71FA7A7D">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取土场</w:t>
                  </w:r>
                </w:p>
              </w:tc>
              <w:tc>
                <w:tcPr>
                  <w:tcW w:w="65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FFC80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2.14</w:t>
                  </w:r>
                </w:p>
              </w:tc>
              <w:tc>
                <w:tcPr>
                  <w:tcW w:w="65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6576B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65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718F24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0.43</w:t>
                  </w:r>
                </w:p>
              </w:tc>
              <w:tc>
                <w:tcPr>
                  <w:tcW w:w="65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151E67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2.14</w:t>
                  </w:r>
                </w:p>
              </w:tc>
              <w:tc>
                <w:tcPr>
                  <w:tcW w:w="65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6FCAE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656"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75E1C8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0.43</w:t>
                  </w:r>
                </w:p>
              </w:tc>
            </w:tr>
            <w:tr w14:paraId="60706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1066"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5B03120B">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施工便道</w:t>
                  </w:r>
                </w:p>
              </w:tc>
              <w:tc>
                <w:tcPr>
                  <w:tcW w:w="65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10327A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2.65</w:t>
                  </w:r>
                </w:p>
              </w:tc>
              <w:tc>
                <w:tcPr>
                  <w:tcW w:w="65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00ECBA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65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A7B4E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0.53</w:t>
                  </w:r>
                </w:p>
              </w:tc>
              <w:tc>
                <w:tcPr>
                  <w:tcW w:w="65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F2CCD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2.65</w:t>
                  </w:r>
                </w:p>
              </w:tc>
              <w:tc>
                <w:tcPr>
                  <w:tcW w:w="655"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151873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656"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60A983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0.53</w:t>
                  </w:r>
                </w:p>
              </w:tc>
            </w:tr>
            <w:tr w14:paraId="145E9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1066" w:type="pct"/>
                  <w:tcBorders>
                    <w:top w:val="single" w:color="888E93" w:sz="8" w:space="0"/>
                    <w:left w:val="single" w:color="474747" w:sz="8" w:space="0"/>
                    <w:bottom w:val="single" w:color="474747" w:sz="8" w:space="0"/>
                    <w:right w:val="single" w:color="888E93" w:sz="8" w:space="0"/>
                  </w:tcBorders>
                  <w:shd w:val="clear" w:color="auto" w:fill="FFFFFF"/>
                  <w:vAlign w:val="center"/>
                </w:tcPr>
                <w:p w14:paraId="7ED40303">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合计</w:t>
                  </w:r>
                </w:p>
              </w:tc>
              <w:tc>
                <w:tcPr>
                  <w:tcW w:w="655"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3EBDC9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11.01</w:t>
                  </w:r>
                </w:p>
              </w:tc>
              <w:tc>
                <w:tcPr>
                  <w:tcW w:w="655"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5011598F">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656"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317A16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655"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2CFBC7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w:t>
                  </w:r>
                </w:p>
              </w:tc>
              <w:tc>
                <w:tcPr>
                  <w:tcW w:w="655"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2589CAA2">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656" w:type="pct"/>
                  <w:tcBorders>
                    <w:top w:val="single" w:color="888E93" w:sz="8" w:space="0"/>
                    <w:left w:val="single" w:color="888E93" w:sz="8" w:space="0"/>
                    <w:bottom w:val="single" w:color="474747" w:sz="8" w:space="0"/>
                    <w:right w:val="single" w:color="474747" w:sz="8" w:space="0"/>
                  </w:tcBorders>
                  <w:shd w:val="clear" w:color="auto" w:fill="FFFFFF"/>
                  <w:vAlign w:val="center"/>
                </w:tcPr>
                <w:p w14:paraId="26D4BE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r>
          </w:tbl>
          <w:p w14:paraId="2C5588EC">
            <w:pPr>
              <w:adjustRightInd w:val="0"/>
              <w:snapToGrid w:val="0"/>
              <w:spacing w:line="360" w:lineRule="auto"/>
              <w:jc w:val="center"/>
              <w:rPr>
                <w:rFonts w:hint="default" w:ascii="Times New Roman" w:hAnsi="Times New Roman" w:eastAsia="宋体" w:cs="Times New Roman"/>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008880" cy="2217420"/>
                  <wp:effectExtent l="0" t="0" r="7620" b="508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26"/>
                          <a:stretch>
                            <a:fillRect/>
                          </a:stretch>
                        </pic:blipFill>
                        <pic:spPr>
                          <a:xfrm>
                            <a:off x="0" y="0"/>
                            <a:ext cx="5008880" cy="2217420"/>
                          </a:xfrm>
                          <a:prstGeom prst="rect">
                            <a:avLst/>
                          </a:prstGeom>
                          <a:noFill/>
                          <a:ln>
                            <a:noFill/>
                          </a:ln>
                        </pic:spPr>
                      </pic:pic>
                    </a:graphicData>
                  </a:graphic>
                </wp:inline>
              </w:drawing>
            </w:r>
          </w:p>
          <w:p w14:paraId="3BA49059">
            <w:pPr>
              <w:pStyle w:val="37"/>
              <w:rPr>
                <w:rFonts w:hint="default" w:ascii="Times New Roman" w:hAnsi="Times New Roman" w:eastAsia="宋体"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图2-</w:t>
            </w:r>
            <w:r>
              <w:rPr>
                <w:rFonts w:hint="eastAsia" w:cs="Times New Roman"/>
                <w:color w:val="000000" w:themeColor="text1"/>
                <w:highlight w:val="none"/>
                <w:lang w:val="en-US" w:eastAsia="zh-CN"/>
                <w14:textFill>
                  <w14:solidFill>
                    <w14:schemeClr w14:val="tx1"/>
                  </w14:solidFill>
                </w14:textFill>
              </w:rPr>
              <w:t>5表土土石方</w:t>
            </w:r>
            <w:r>
              <w:rPr>
                <w:rFonts w:hint="default" w:ascii="Times New Roman" w:hAnsi="Times New Roman" w:eastAsia="宋体" w:cs="Times New Roman"/>
                <w:color w:val="000000" w:themeColor="text1"/>
                <w:highlight w:val="none"/>
                <w14:textFill>
                  <w14:solidFill>
                    <w14:schemeClr w14:val="tx1"/>
                  </w14:solidFill>
                </w14:textFill>
              </w:rPr>
              <w:t>平衡图</w:t>
            </w:r>
            <w:r>
              <w:rPr>
                <w:rFonts w:hint="eastAsia" w:cs="Times New Roman"/>
                <w:color w:val="000000" w:themeColor="text1"/>
                <w:highlight w:val="none"/>
                <w:lang w:val="en-US" w:eastAsia="zh-CN"/>
                <w14:textFill>
                  <w14:solidFill>
                    <w14:schemeClr w14:val="tx1"/>
                  </w14:solidFill>
                </w14:textFill>
              </w:rPr>
              <w:t xml:space="preserve"> 单位：万m</w:t>
            </w:r>
            <w:r>
              <w:rPr>
                <w:rFonts w:hint="eastAsia" w:cs="Times New Roman"/>
                <w:color w:val="000000" w:themeColor="text1"/>
                <w:highlight w:val="none"/>
                <w:vertAlign w:val="superscript"/>
                <w:lang w:val="en-US" w:eastAsia="zh-CN"/>
                <w14:textFill>
                  <w14:solidFill>
                    <w14:schemeClr w14:val="tx1"/>
                  </w14:solidFill>
                </w14:textFill>
              </w:rPr>
              <w:t>3</w:t>
            </w:r>
          </w:p>
          <w:p w14:paraId="4879A64A">
            <w:pPr>
              <w:widowControl/>
              <w:spacing w:line="360" w:lineRule="auto"/>
              <w:ind w:firstLine="482" w:firstLineChars="200"/>
              <w:jc w:val="left"/>
              <w:rPr>
                <w:rFonts w:hint="eastAsia" w:cs="Times New Roman"/>
                <w:b/>
                <w:bCs/>
                <w:color w:val="000000" w:themeColor="text1"/>
                <w:kern w:val="0"/>
                <w:sz w:val="24"/>
                <w:highlight w:val="none"/>
                <w:lang w:val="en-US" w:eastAsia="zh-CN" w:bidi="ar"/>
                <w14:textFill>
                  <w14:solidFill>
                    <w14:schemeClr w14:val="tx1"/>
                  </w14:solidFill>
                </w14:textFill>
              </w:rPr>
            </w:pPr>
            <w:r>
              <w:rPr>
                <w:rFonts w:hint="eastAsia" w:cs="Times New Roman"/>
                <w:b/>
                <w:bCs/>
                <w:color w:val="000000" w:themeColor="text1"/>
                <w:kern w:val="0"/>
                <w:sz w:val="24"/>
                <w:highlight w:val="none"/>
                <w:lang w:val="en-US" w:eastAsia="zh-CN" w:bidi="ar"/>
                <w14:textFill>
                  <w14:solidFill>
                    <w14:schemeClr w14:val="tx1"/>
                  </w14:solidFill>
                </w14:textFill>
              </w:rPr>
              <w:t>2）建设期土石方量</w:t>
            </w:r>
          </w:p>
          <w:p w14:paraId="5191CC4B">
            <w:pPr>
              <w:widowControl/>
              <w:spacing w:line="360" w:lineRule="auto"/>
              <w:ind w:firstLine="480" w:firstLineChars="200"/>
              <w:jc w:val="left"/>
              <w:rPr>
                <w:rFonts w:hint="default" w:ascii="Times New Roman" w:hAnsi="Times New Roman" w:eastAsia="宋体" w:cs="Times New Roman"/>
                <w:b w:val="0"/>
                <w:bCs w:val="0"/>
                <w:color w:val="000000" w:themeColor="text1"/>
                <w:kern w:val="0"/>
                <w:sz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bidi="ar"/>
                <w14:textFill>
                  <w14:solidFill>
                    <w14:schemeClr w14:val="tx1"/>
                  </w14:solidFill>
                </w14:textFill>
              </w:rPr>
              <w:t>本工程共动用土石方总量 8.58 万 m</w:t>
            </w:r>
            <w:r>
              <w:rPr>
                <w:rFonts w:hint="default" w:ascii="Times New Roman" w:hAnsi="Times New Roman" w:eastAsia="宋体" w:cs="Times New Roman"/>
                <w:b w:val="0"/>
                <w:bCs w:val="0"/>
                <w:color w:val="000000" w:themeColor="text1"/>
                <w:kern w:val="0"/>
                <w:sz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highlight w:val="none"/>
                <w:lang w:val="en-US" w:eastAsia="zh-CN" w:bidi="ar"/>
                <w14:textFill>
                  <w14:solidFill>
                    <w14:schemeClr w14:val="tx1"/>
                  </w14:solidFill>
                </w14:textFill>
              </w:rPr>
              <w:t>，其中挖方 3.60 万 m</w:t>
            </w:r>
            <w:r>
              <w:rPr>
                <w:rFonts w:hint="default" w:ascii="Times New Roman" w:hAnsi="Times New Roman" w:eastAsia="宋体" w:cs="Times New Roman"/>
                <w:b w:val="0"/>
                <w:bCs w:val="0"/>
                <w:color w:val="000000" w:themeColor="text1"/>
                <w:kern w:val="0"/>
                <w:sz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highlight w:val="none"/>
                <w:lang w:val="en-US" w:eastAsia="zh-CN" w:bidi="ar"/>
                <w14:textFill>
                  <w14:solidFill>
                    <w14:schemeClr w14:val="tx1"/>
                  </w14:solidFill>
                </w14:textFill>
              </w:rPr>
              <w:t>，填方 4.98 万 m</w:t>
            </w:r>
            <w:r>
              <w:rPr>
                <w:rFonts w:hint="default" w:ascii="Times New Roman" w:hAnsi="Times New Roman" w:eastAsia="宋体" w:cs="Times New Roman"/>
                <w:b w:val="0"/>
                <w:bCs w:val="0"/>
                <w:color w:val="000000" w:themeColor="text1"/>
                <w:kern w:val="0"/>
                <w:sz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highlight w:val="none"/>
                <w:lang w:val="en-US" w:eastAsia="zh-CN" w:bidi="ar"/>
                <w14:textFill>
                  <w14:solidFill>
                    <w14:schemeClr w14:val="tx1"/>
                  </w14:solidFill>
                </w14:textFill>
              </w:rPr>
              <w:t>，利用方 3.60 万 m</w:t>
            </w:r>
            <w:r>
              <w:rPr>
                <w:rFonts w:hint="default" w:ascii="Times New Roman" w:hAnsi="Times New Roman" w:eastAsia="宋体" w:cs="Times New Roman"/>
                <w:b w:val="0"/>
                <w:bCs w:val="0"/>
                <w:color w:val="000000" w:themeColor="text1"/>
                <w:kern w:val="0"/>
                <w:sz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highlight w:val="none"/>
                <w:lang w:val="en-US" w:eastAsia="zh-CN" w:bidi="ar"/>
                <w14:textFill>
                  <w14:solidFill>
                    <w14:schemeClr w14:val="tx1"/>
                  </w14:solidFill>
                </w14:textFill>
              </w:rPr>
              <w:t>，借方 1.38 万 m</w:t>
            </w:r>
            <w:r>
              <w:rPr>
                <w:rFonts w:hint="default" w:ascii="Times New Roman" w:hAnsi="Times New Roman" w:eastAsia="宋体" w:cs="Times New Roman"/>
                <w:b w:val="0"/>
                <w:bCs w:val="0"/>
                <w:color w:val="000000" w:themeColor="text1"/>
                <w:kern w:val="0"/>
                <w:sz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highlight w:val="none"/>
                <w:lang w:val="en-US" w:eastAsia="zh-CN" w:bidi="ar"/>
                <w14:textFill>
                  <w14:solidFill>
                    <w14:schemeClr w14:val="tx1"/>
                  </w14:solidFill>
                </w14:textFill>
              </w:rPr>
              <w:t>，无弃方，借方来源为取土场。路基每公里土石方工程量详见表 2-</w:t>
            </w:r>
            <w:r>
              <w:rPr>
                <w:rFonts w:hint="eastAsia" w:cs="Times New Roman"/>
                <w:b w:val="0"/>
                <w:bCs w:val="0"/>
                <w:color w:val="000000" w:themeColor="text1"/>
                <w:kern w:val="0"/>
                <w:sz w:val="24"/>
                <w:highlight w:val="none"/>
                <w:lang w:val="en-US" w:eastAsia="zh-CN" w:bidi="ar"/>
                <w14:textFill>
                  <w14:solidFill>
                    <w14:schemeClr w14:val="tx1"/>
                  </w14:solidFill>
                </w14:textFill>
              </w:rPr>
              <w:t>6</w:t>
            </w:r>
            <w:r>
              <w:rPr>
                <w:rFonts w:hint="default" w:ascii="Times New Roman" w:hAnsi="Times New Roman" w:eastAsia="宋体" w:cs="Times New Roman"/>
                <w:b w:val="0"/>
                <w:bCs w:val="0"/>
                <w:color w:val="000000" w:themeColor="text1"/>
                <w:kern w:val="0"/>
                <w:sz w:val="24"/>
                <w:highlight w:val="none"/>
                <w:lang w:val="en-US" w:eastAsia="zh-CN" w:bidi="ar"/>
                <w14:textFill>
                  <w14:solidFill>
                    <w14:schemeClr w14:val="tx1"/>
                  </w14:solidFill>
                </w14:textFill>
              </w:rPr>
              <w:t>，工程土石方平衡及流向详见表 2-</w:t>
            </w:r>
            <w:r>
              <w:rPr>
                <w:rFonts w:hint="eastAsia" w:cs="Times New Roman"/>
                <w:b w:val="0"/>
                <w:bCs w:val="0"/>
                <w:color w:val="000000" w:themeColor="text1"/>
                <w:kern w:val="0"/>
                <w:sz w:val="24"/>
                <w:highlight w:val="none"/>
                <w:lang w:val="en-US" w:eastAsia="zh-CN" w:bidi="ar"/>
                <w14:textFill>
                  <w14:solidFill>
                    <w14:schemeClr w14:val="tx1"/>
                  </w14:solidFill>
                </w14:textFill>
              </w:rPr>
              <w:t>7</w:t>
            </w:r>
            <w:r>
              <w:rPr>
                <w:rFonts w:hint="default" w:ascii="Times New Roman" w:hAnsi="Times New Roman" w:eastAsia="宋体" w:cs="Times New Roman"/>
                <w:b w:val="0"/>
                <w:bCs w:val="0"/>
                <w:color w:val="000000" w:themeColor="text1"/>
                <w:kern w:val="0"/>
                <w:sz w:val="24"/>
                <w:highlight w:val="none"/>
                <w:lang w:val="en-US" w:eastAsia="zh-CN" w:bidi="ar"/>
                <w14:textFill>
                  <w14:solidFill>
                    <w14:schemeClr w14:val="tx1"/>
                  </w14:solidFill>
                </w14:textFill>
              </w:rPr>
              <w:t>，土石方流向见图 2-</w:t>
            </w:r>
            <w:r>
              <w:rPr>
                <w:rFonts w:hint="eastAsia" w:cs="Times New Roman"/>
                <w:b w:val="0"/>
                <w:bCs w:val="0"/>
                <w:color w:val="000000" w:themeColor="text1"/>
                <w:kern w:val="0"/>
                <w:sz w:val="24"/>
                <w:highlight w:val="none"/>
                <w:lang w:val="en-US" w:eastAsia="zh-CN" w:bidi="ar"/>
                <w14:textFill>
                  <w14:solidFill>
                    <w14:schemeClr w14:val="tx1"/>
                  </w14:solidFill>
                </w14:textFill>
              </w:rPr>
              <w:t>6</w:t>
            </w:r>
            <w:r>
              <w:rPr>
                <w:rFonts w:hint="default" w:ascii="Times New Roman" w:hAnsi="Times New Roman" w:eastAsia="宋体" w:cs="Times New Roman"/>
                <w:b w:val="0"/>
                <w:bCs w:val="0"/>
                <w:color w:val="000000" w:themeColor="text1"/>
                <w:kern w:val="0"/>
                <w:sz w:val="24"/>
                <w:highlight w:val="none"/>
                <w:lang w:val="en-US" w:eastAsia="zh-CN" w:bidi="ar"/>
                <w14:textFill>
                  <w14:solidFill>
                    <w14:schemeClr w14:val="tx1"/>
                  </w14:solidFill>
                </w14:textFill>
              </w:rPr>
              <w:t>。</w:t>
            </w:r>
          </w:p>
          <w:p w14:paraId="4CAD0A70">
            <w:pPr>
              <w:widowControl/>
              <w:spacing w:line="360" w:lineRule="auto"/>
              <w:ind w:firstLine="482" w:firstLineChars="200"/>
              <w:jc w:val="center"/>
              <w:rPr>
                <w:rFonts w:hint="default" w:cs="Times New Roman"/>
                <w:b/>
                <w:bCs/>
                <w:color w:val="000000" w:themeColor="text1"/>
                <w:kern w:val="0"/>
                <w:sz w:val="24"/>
                <w:highlight w:val="none"/>
                <w:vertAlign w:val="superscript"/>
                <w:lang w:val="en-US" w:eastAsia="zh-CN" w:bidi="ar"/>
                <w14:textFill>
                  <w14:solidFill>
                    <w14:schemeClr w14:val="tx1"/>
                  </w14:solidFill>
                </w14:textFill>
              </w:rPr>
            </w:pPr>
            <w:r>
              <w:rPr>
                <w:rFonts w:hint="eastAsia" w:cs="Times New Roman"/>
                <w:b/>
                <w:bCs/>
                <w:color w:val="000000" w:themeColor="text1"/>
                <w:kern w:val="0"/>
                <w:sz w:val="24"/>
                <w:highlight w:val="none"/>
                <w:lang w:val="en-US" w:eastAsia="zh-CN" w:bidi="ar"/>
                <w14:textFill>
                  <w14:solidFill>
                    <w14:schemeClr w14:val="tx1"/>
                  </w14:solidFill>
                </w14:textFill>
              </w:rPr>
              <w:t>表2-6 路基每公里土石方工程量表 单位：m</w:t>
            </w:r>
            <w:r>
              <w:rPr>
                <w:rFonts w:hint="eastAsia" w:cs="Times New Roman"/>
                <w:b/>
                <w:bCs/>
                <w:color w:val="000000" w:themeColor="text1"/>
                <w:kern w:val="0"/>
                <w:sz w:val="24"/>
                <w:highlight w:val="none"/>
                <w:vertAlign w:val="superscript"/>
                <w:lang w:val="en-US" w:eastAsia="zh-CN" w:bidi="ar"/>
                <w14:textFill>
                  <w14:solidFill>
                    <w14:schemeClr w14:val="tx1"/>
                  </w14:solidFill>
                </w14:textFill>
              </w:rPr>
              <w:t>3</w:t>
            </w:r>
          </w:p>
          <w:tbl>
            <w:tblPr>
              <w:tblStyle w:val="3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18"/>
              <w:gridCol w:w="1041"/>
              <w:gridCol w:w="677"/>
              <w:gridCol w:w="767"/>
              <w:gridCol w:w="677"/>
              <w:gridCol w:w="1041"/>
              <w:gridCol w:w="767"/>
              <w:gridCol w:w="404"/>
              <w:gridCol w:w="1091"/>
            </w:tblGrid>
            <w:tr w14:paraId="7F032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899" w:type="pct"/>
                  <w:tcBorders>
                    <w:top w:val="single" w:color="474747" w:sz="8" w:space="0"/>
                    <w:left w:val="single" w:color="474747" w:sz="8" w:space="0"/>
                    <w:bottom w:val="single" w:color="888E93" w:sz="8" w:space="0"/>
                    <w:right w:val="single" w:color="888E93" w:sz="8" w:space="0"/>
                  </w:tcBorders>
                  <w:shd w:val="clear" w:color="auto" w:fill="FFFFFF"/>
                  <w:vAlign w:val="center"/>
                </w:tcPr>
                <w:p w14:paraId="44F470ED">
                  <w:pPr>
                    <w:keepNext w:val="0"/>
                    <w:keepLines w:val="0"/>
                    <w:widowControl/>
                    <w:suppressLineNumbers w:val="0"/>
                    <w:jc w:val="center"/>
                    <w:textAlignment w:val="center"/>
                    <w:rPr>
                      <w:rFonts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起讫桩号</w:t>
                  </w:r>
                </w:p>
              </w:tc>
              <w:tc>
                <w:tcPr>
                  <w:tcW w:w="660" w:type="pct"/>
                  <w:tcBorders>
                    <w:top w:val="single" w:color="474747" w:sz="8" w:space="0"/>
                    <w:left w:val="single" w:color="888E93" w:sz="8" w:space="0"/>
                    <w:bottom w:val="single" w:color="888E93" w:sz="8" w:space="0"/>
                    <w:right w:val="single" w:color="888E93" w:sz="8" w:space="0"/>
                  </w:tcBorders>
                  <w:shd w:val="clear" w:color="auto" w:fill="FFFFFF"/>
                  <w:vAlign w:val="center"/>
                </w:tcPr>
                <w:p w14:paraId="4139B9A5">
                  <w:pPr>
                    <w:keepNext w:val="0"/>
                    <w:keepLines w:val="0"/>
                    <w:widowControl/>
                    <w:suppressLineNumbers w:val="0"/>
                    <w:jc w:val="center"/>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动用土石方总量</w:t>
                  </w:r>
                </w:p>
              </w:tc>
              <w:tc>
                <w:tcPr>
                  <w:tcW w:w="429" w:type="pct"/>
                  <w:tcBorders>
                    <w:top w:val="single" w:color="474747" w:sz="8" w:space="0"/>
                    <w:left w:val="single" w:color="888E93" w:sz="8" w:space="0"/>
                    <w:bottom w:val="single" w:color="888E93" w:sz="8" w:space="0"/>
                    <w:right w:val="single" w:color="888E93" w:sz="8" w:space="0"/>
                  </w:tcBorders>
                  <w:shd w:val="clear" w:color="auto" w:fill="FFFFFF"/>
                  <w:vAlign w:val="center"/>
                </w:tcPr>
                <w:p w14:paraId="548447A9">
                  <w:pPr>
                    <w:keepNext w:val="0"/>
                    <w:keepLines w:val="0"/>
                    <w:widowControl/>
                    <w:suppressLineNumbers w:val="0"/>
                    <w:jc w:val="center"/>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挖方</w:t>
                  </w:r>
                </w:p>
              </w:tc>
              <w:tc>
                <w:tcPr>
                  <w:tcW w:w="486" w:type="pct"/>
                  <w:tcBorders>
                    <w:top w:val="single" w:color="474747" w:sz="8" w:space="0"/>
                    <w:left w:val="single" w:color="888E93" w:sz="8" w:space="0"/>
                    <w:bottom w:val="single" w:color="888E93" w:sz="8" w:space="0"/>
                    <w:right w:val="single" w:color="888E93" w:sz="8" w:space="0"/>
                  </w:tcBorders>
                  <w:shd w:val="clear" w:color="auto" w:fill="FFFFFF"/>
                  <w:vAlign w:val="center"/>
                </w:tcPr>
                <w:p w14:paraId="4C90881A">
                  <w:pPr>
                    <w:keepNext w:val="0"/>
                    <w:keepLines w:val="0"/>
                    <w:widowControl/>
                    <w:suppressLineNumbers w:val="0"/>
                    <w:jc w:val="center"/>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填方</w:t>
                  </w:r>
                </w:p>
              </w:tc>
              <w:tc>
                <w:tcPr>
                  <w:tcW w:w="429" w:type="pct"/>
                  <w:tcBorders>
                    <w:top w:val="single" w:color="474747" w:sz="8" w:space="0"/>
                    <w:left w:val="single" w:color="888E93" w:sz="8" w:space="0"/>
                    <w:bottom w:val="single" w:color="888E93" w:sz="8" w:space="0"/>
                    <w:right w:val="single" w:color="888E93" w:sz="8" w:space="0"/>
                  </w:tcBorders>
                  <w:shd w:val="clear" w:color="auto" w:fill="FFFFFF"/>
                  <w:vAlign w:val="center"/>
                </w:tcPr>
                <w:p w14:paraId="0DF6428D">
                  <w:pPr>
                    <w:keepNext w:val="0"/>
                    <w:keepLines w:val="0"/>
                    <w:widowControl/>
                    <w:suppressLineNumbers w:val="0"/>
                    <w:jc w:val="center"/>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本桩利用</w:t>
                  </w:r>
                </w:p>
              </w:tc>
              <w:tc>
                <w:tcPr>
                  <w:tcW w:w="660" w:type="pct"/>
                  <w:tcBorders>
                    <w:top w:val="single" w:color="474747" w:sz="8" w:space="0"/>
                    <w:left w:val="single" w:color="888E93" w:sz="8" w:space="0"/>
                    <w:bottom w:val="single" w:color="888E93" w:sz="8" w:space="0"/>
                    <w:right w:val="single" w:color="888E93" w:sz="8" w:space="0"/>
                  </w:tcBorders>
                  <w:shd w:val="clear" w:color="auto" w:fill="FFFFFF"/>
                  <w:vAlign w:val="center"/>
                </w:tcPr>
                <w:p w14:paraId="49F1F86C">
                  <w:pPr>
                    <w:keepNext w:val="0"/>
                    <w:keepLines w:val="0"/>
                    <w:widowControl/>
                    <w:suppressLineNumbers w:val="0"/>
                    <w:jc w:val="center"/>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纵向利用(挖余)</w:t>
                  </w:r>
                </w:p>
              </w:tc>
              <w:tc>
                <w:tcPr>
                  <w:tcW w:w="486" w:type="pct"/>
                  <w:tcBorders>
                    <w:top w:val="single" w:color="474747" w:sz="8" w:space="0"/>
                    <w:left w:val="single" w:color="888E93" w:sz="8" w:space="0"/>
                    <w:bottom w:val="single" w:color="888E93" w:sz="8" w:space="0"/>
                    <w:right w:val="single" w:color="888E93" w:sz="8" w:space="0"/>
                  </w:tcBorders>
                  <w:shd w:val="clear" w:color="auto" w:fill="FFFFFF"/>
                  <w:vAlign w:val="center"/>
                </w:tcPr>
                <w:p w14:paraId="26FE2B51">
                  <w:pPr>
                    <w:keepNext w:val="0"/>
                    <w:keepLines w:val="0"/>
                    <w:widowControl/>
                    <w:suppressLineNumbers w:val="0"/>
                    <w:jc w:val="center"/>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借方</w:t>
                  </w:r>
                </w:p>
              </w:tc>
              <w:tc>
                <w:tcPr>
                  <w:tcW w:w="256" w:type="pct"/>
                  <w:tcBorders>
                    <w:top w:val="single" w:color="474747" w:sz="8" w:space="0"/>
                    <w:left w:val="single" w:color="888E93" w:sz="8" w:space="0"/>
                    <w:bottom w:val="single" w:color="888E93" w:sz="8" w:space="0"/>
                    <w:right w:val="single" w:color="888E93" w:sz="8" w:space="0"/>
                  </w:tcBorders>
                  <w:shd w:val="clear" w:color="auto" w:fill="FFFFFF"/>
                  <w:vAlign w:val="center"/>
                </w:tcPr>
                <w:p w14:paraId="75FA74D5">
                  <w:pPr>
                    <w:keepNext w:val="0"/>
                    <w:keepLines w:val="0"/>
                    <w:widowControl/>
                    <w:suppressLineNumbers w:val="0"/>
                    <w:jc w:val="center"/>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弃方</w:t>
                  </w:r>
                </w:p>
              </w:tc>
              <w:tc>
                <w:tcPr>
                  <w:tcW w:w="691" w:type="pct"/>
                  <w:tcBorders>
                    <w:top w:val="single" w:color="474747" w:sz="8" w:space="0"/>
                    <w:left w:val="single" w:color="888E93" w:sz="8" w:space="0"/>
                    <w:bottom w:val="single" w:color="888E93" w:sz="8" w:space="0"/>
                    <w:right w:val="single" w:color="474747" w:sz="8" w:space="0"/>
                  </w:tcBorders>
                  <w:shd w:val="clear" w:color="auto" w:fill="FFFFFF"/>
                  <w:vAlign w:val="center"/>
                </w:tcPr>
                <w:p w14:paraId="3F708B71">
                  <w:pPr>
                    <w:keepNext w:val="0"/>
                    <w:keepLines w:val="0"/>
                    <w:widowControl/>
                    <w:suppressLineNumbers w:val="0"/>
                    <w:jc w:val="center"/>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备注</w:t>
                  </w:r>
                </w:p>
              </w:tc>
            </w:tr>
            <w:tr w14:paraId="0AF0E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99"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489FE5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K0+000～K1+000</w:t>
                  </w:r>
                </w:p>
              </w:tc>
              <w:tc>
                <w:tcPr>
                  <w:tcW w:w="660"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3C6573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3487.7</w:t>
                  </w:r>
                </w:p>
              </w:tc>
              <w:tc>
                <w:tcPr>
                  <w:tcW w:w="429"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61A20E4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36.1</w:t>
                  </w:r>
                </w:p>
              </w:tc>
              <w:tc>
                <w:tcPr>
                  <w:tcW w:w="48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778242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3451.6</w:t>
                  </w:r>
                </w:p>
              </w:tc>
              <w:tc>
                <w:tcPr>
                  <w:tcW w:w="429"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7DE12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21.9</w:t>
                  </w:r>
                </w:p>
              </w:tc>
              <w:tc>
                <w:tcPr>
                  <w:tcW w:w="660"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12211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1589.2</w:t>
                  </w:r>
                </w:p>
              </w:tc>
              <w:tc>
                <w:tcPr>
                  <w:tcW w:w="48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3F2353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1840.5</w:t>
                  </w:r>
                </w:p>
              </w:tc>
              <w:tc>
                <w:tcPr>
                  <w:tcW w:w="25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6AD079E2">
                  <w:pPr>
                    <w:jc w:val="center"/>
                    <w:rPr>
                      <w:rFonts w:hint="eastAsia" w:ascii="微软雅黑" w:hAnsi="微软雅黑" w:eastAsia="微软雅黑" w:cs="微软雅黑"/>
                      <w:i w:val="0"/>
                      <w:iCs w:val="0"/>
                      <w:color w:val="000000" w:themeColor="text1"/>
                      <w:sz w:val="18"/>
                      <w:szCs w:val="18"/>
                      <w:highlight w:val="none"/>
                      <w:u w:val="none"/>
                      <w14:textFill>
                        <w14:solidFill>
                          <w14:schemeClr w14:val="tx1"/>
                        </w14:solidFill>
                      </w14:textFill>
                    </w:rPr>
                  </w:pPr>
                </w:p>
              </w:tc>
              <w:tc>
                <w:tcPr>
                  <w:tcW w:w="691"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569F6687">
                  <w:pPr>
                    <w:keepNext w:val="0"/>
                    <w:keepLines w:val="0"/>
                    <w:widowControl/>
                    <w:suppressLineNumbers w:val="0"/>
                    <w:jc w:val="center"/>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调入土1575.017</w:t>
                  </w:r>
                </w:p>
              </w:tc>
            </w:tr>
            <w:tr w14:paraId="1958A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99"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46AF4B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K1+000～K2+000</w:t>
                  </w:r>
                </w:p>
              </w:tc>
              <w:tc>
                <w:tcPr>
                  <w:tcW w:w="660"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F6BED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5354.8</w:t>
                  </w:r>
                </w:p>
              </w:tc>
              <w:tc>
                <w:tcPr>
                  <w:tcW w:w="429"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379E83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1917</w:t>
                  </w:r>
                </w:p>
              </w:tc>
              <w:tc>
                <w:tcPr>
                  <w:tcW w:w="48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7D0725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3437.8</w:t>
                  </w:r>
                </w:p>
              </w:tc>
              <w:tc>
                <w:tcPr>
                  <w:tcW w:w="429"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0AA011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298.2</w:t>
                  </w:r>
                </w:p>
              </w:tc>
              <w:tc>
                <w:tcPr>
                  <w:tcW w:w="660"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43116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43.8</w:t>
                  </w:r>
                </w:p>
              </w:tc>
              <w:tc>
                <w:tcPr>
                  <w:tcW w:w="48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34FEA3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3095.8</w:t>
                  </w:r>
                </w:p>
              </w:tc>
              <w:tc>
                <w:tcPr>
                  <w:tcW w:w="25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60B0100">
                  <w:pPr>
                    <w:jc w:val="center"/>
                    <w:rPr>
                      <w:rFonts w:hint="eastAsia" w:ascii="微软雅黑" w:hAnsi="微软雅黑" w:eastAsia="微软雅黑" w:cs="微软雅黑"/>
                      <w:i w:val="0"/>
                      <w:iCs w:val="0"/>
                      <w:color w:val="000000" w:themeColor="text1"/>
                      <w:sz w:val="18"/>
                      <w:szCs w:val="18"/>
                      <w:highlight w:val="none"/>
                      <w:u w:val="none"/>
                      <w14:textFill>
                        <w14:solidFill>
                          <w14:schemeClr w14:val="tx1"/>
                        </w14:solidFill>
                      </w14:textFill>
                    </w:rPr>
                  </w:pPr>
                </w:p>
              </w:tc>
              <w:tc>
                <w:tcPr>
                  <w:tcW w:w="691"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3AE07A84">
                  <w:pPr>
                    <w:keepNext w:val="0"/>
                    <w:keepLines w:val="0"/>
                    <w:widowControl/>
                    <w:suppressLineNumbers w:val="0"/>
                    <w:jc w:val="center"/>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调出土1575.017</w:t>
                  </w:r>
                </w:p>
              </w:tc>
            </w:tr>
            <w:tr w14:paraId="0B8D4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99"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6114B4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K2+000～K3+000</w:t>
                  </w:r>
                </w:p>
              </w:tc>
              <w:tc>
                <w:tcPr>
                  <w:tcW w:w="660"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09950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3032.6</w:t>
                  </w:r>
                </w:p>
              </w:tc>
              <w:tc>
                <w:tcPr>
                  <w:tcW w:w="429"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392588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146.6</w:t>
                  </w:r>
                </w:p>
              </w:tc>
              <w:tc>
                <w:tcPr>
                  <w:tcW w:w="48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7C08CA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2886</w:t>
                  </w:r>
                </w:p>
              </w:tc>
              <w:tc>
                <w:tcPr>
                  <w:tcW w:w="429"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6FB66B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93.7</w:t>
                  </w:r>
                </w:p>
              </w:tc>
              <w:tc>
                <w:tcPr>
                  <w:tcW w:w="660"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74987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98.6</w:t>
                  </w:r>
                </w:p>
              </w:tc>
              <w:tc>
                <w:tcPr>
                  <w:tcW w:w="48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D2E5E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2693.7</w:t>
                  </w:r>
                </w:p>
              </w:tc>
              <w:tc>
                <w:tcPr>
                  <w:tcW w:w="25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8CD65E2">
                  <w:pPr>
                    <w:jc w:val="center"/>
                    <w:rPr>
                      <w:rFonts w:hint="eastAsia" w:ascii="微软雅黑" w:hAnsi="微软雅黑" w:eastAsia="微软雅黑" w:cs="微软雅黑"/>
                      <w:i w:val="0"/>
                      <w:iCs w:val="0"/>
                      <w:color w:val="000000" w:themeColor="text1"/>
                      <w:sz w:val="18"/>
                      <w:szCs w:val="18"/>
                      <w:highlight w:val="none"/>
                      <w:u w:val="none"/>
                      <w14:textFill>
                        <w14:solidFill>
                          <w14:schemeClr w14:val="tx1"/>
                        </w14:solidFill>
                      </w14:textFill>
                    </w:rPr>
                  </w:pPr>
                </w:p>
              </w:tc>
              <w:tc>
                <w:tcPr>
                  <w:tcW w:w="691"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1BEFF225">
                  <w:pPr>
                    <w:keepNext w:val="0"/>
                    <w:keepLines w:val="0"/>
                    <w:widowControl/>
                    <w:suppressLineNumbers w:val="0"/>
                    <w:jc w:val="center"/>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调入土45.760</w:t>
                  </w:r>
                </w:p>
              </w:tc>
            </w:tr>
            <w:tr w14:paraId="35F64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99"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7431AC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K3+000～K4+000</w:t>
                  </w:r>
                </w:p>
              </w:tc>
              <w:tc>
                <w:tcPr>
                  <w:tcW w:w="660"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63FB51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4507.1</w:t>
                  </w:r>
                </w:p>
              </w:tc>
              <w:tc>
                <w:tcPr>
                  <w:tcW w:w="429"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C6C0F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1894.9</w:t>
                  </w:r>
                </w:p>
              </w:tc>
              <w:tc>
                <w:tcPr>
                  <w:tcW w:w="48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F9ABB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2612.2</w:t>
                  </w:r>
                </w:p>
              </w:tc>
              <w:tc>
                <w:tcPr>
                  <w:tcW w:w="429"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77F2A0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122.8</w:t>
                  </w:r>
                </w:p>
              </w:tc>
              <w:tc>
                <w:tcPr>
                  <w:tcW w:w="660"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3E325D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1726.4</w:t>
                  </w:r>
                </w:p>
              </w:tc>
              <w:tc>
                <w:tcPr>
                  <w:tcW w:w="48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6CBD83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763</w:t>
                  </w:r>
                </w:p>
              </w:tc>
              <w:tc>
                <w:tcPr>
                  <w:tcW w:w="25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5F363D6">
                  <w:pPr>
                    <w:jc w:val="center"/>
                    <w:rPr>
                      <w:rFonts w:hint="eastAsia" w:ascii="微软雅黑" w:hAnsi="微软雅黑" w:eastAsia="微软雅黑" w:cs="微软雅黑"/>
                      <w:i w:val="0"/>
                      <w:iCs w:val="0"/>
                      <w:color w:val="000000" w:themeColor="text1"/>
                      <w:sz w:val="18"/>
                      <w:szCs w:val="18"/>
                      <w:highlight w:val="none"/>
                      <w:u w:val="none"/>
                      <w14:textFill>
                        <w14:solidFill>
                          <w14:schemeClr w14:val="tx1"/>
                        </w14:solidFill>
                      </w14:textFill>
                    </w:rPr>
                  </w:pPr>
                </w:p>
              </w:tc>
              <w:tc>
                <w:tcPr>
                  <w:tcW w:w="691"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00E47DED">
                  <w:pPr>
                    <w:keepNext w:val="0"/>
                    <w:keepLines w:val="0"/>
                    <w:widowControl/>
                    <w:suppressLineNumbers w:val="0"/>
                    <w:jc w:val="center"/>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调出土45.760</w:t>
                  </w:r>
                </w:p>
              </w:tc>
            </w:tr>
            <w:tr w14:paraId="51049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99"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53E1B4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K4+000～K5+000</w:t>
                  </w:r>
                </w:p>
              </w:tc>
              <w:tc>
                <w:tcPr>
                  <w:tcW w:w="660"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136FF6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4503.9</w:t>
                  </w:r>
                </w:p>
              </w:tc>
              <w:tc>
                <w:tcPr>
                  <w:tcW w:w="429"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95328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15.3</w:t>
                  </w:r>
                </w:p>
              </w:tc>
              <w:tc>
                <w:tcPr>
                  <w:tcW w:w="48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7D0E41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4488.6</w:t>
                  </w:r>
                </w:p>
              </w:tc>
              <w:tc>
                <w:tcPr>
                  <w:tcW w:w="429"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B5293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15.3</w:t>
                  </w:r>
                </w:p>
              </w:tc>
              <w:tc>
                <w:tcPr>
                  <w:tcW w:w="660"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91B62FE">
                  <w:pPr>
                    <w:jc w:val="center"/>
                    <w:rPr>
                      <w:rFonts w:hint="eastAsia" w:ascii="微软雅黑" w:hAnsi="微软雅黑" w:eastAsia="微软雅黑" w:cs="微软雅黑"/>
                      <w:i w:val="0"/>
                      <w:iCs w:val="0"/>
                      <w:color w:val="000000" w:themeColor="text1"/>
                      <w:sz w:val="18"/>
                      <w:szCs w:val="18"/>
                      <w:highlight w:val="none"/>
                      <w:u w:val="none"/>
                      <w14:textFill>
                        <w14:solidFill>
                          <w14:schemeClr w14:val="tx1"/>
                        </w14:solidFill>
                      </w14:textFill>
                    </w:rPr>
                  </w:pPr>
                </w:p>
              </w:tc>
              <w:tc>
                <w:tcPr>
                  <w:tcW w:w="48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1EF19C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4473.3</w:t>
                  </w:r>
                </w:p>
              </w:tc>
              <w:tc>
                <w:tcPr>
                  <w:tcW w:w="25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6E701358">
                  <w:pPr>
                    <w:jc w:val="center"/>
                    <w:rPr>
                      <w:rFonts w:hint="eastAsia" w:ascii="微软雅黑" w:hAnsi="微软雅黑" w:eastAsia="微软雅黑" w:cs="微软雅黑"/>
                      <w:i w:val="0"/>
                      <w:iCs w:val="0"/>
                      <w:color w:val="000000" w:themeColor="text1"/>
                      <w:sz w:val="18"/>
                      <w:szCs w:val="18"/>
                      <w:highlight w:val="none"/>
                      <w:u w:val="none"/>
                      <w14:textFill>
                        <w14:solidFill>
                          <w14:schemeClr w14:val="tx1"/>
                        </w14:solidFill>
                      </w14:textFill>
                    </w:rPr>
                  </w:pPr>
                </w:p>
              </w:tc>
              <w:tc>
                <w:tcPr>
                  <w:tcW w:w="691"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12448315">
                  <w:pPr>
                    <w:jc w:val="center"/>
                    <w:rPr>
                      <w:rFonts w:hint="eastAsia" w:ascii="微软雅黑" w:hAnsi="微软雅黑" w:eastAsia="微软雅黑" w:cs="微软雅黑"/>
                      <w:i w:val="0"/>
                      <w:iCs w:val="0"/>
                      <w:color w:val="000000" w:themeColor="text1"/>
                      <w:sz w:val="18"/>
                      <w:szCs w:val="18"/>
                      <w:highlight w:val="none"/>
                      <w:u w:val="none"/>
                      <w14:textFill>
                        <w14:solidFill>
                          <w14:schemeClr w14:val="tx1"/>
                        </w14:solidFill>
                      </w14:textFill>
                    </w:rPr>
                  </w:pPr>
                </w:p>
              </w:tc>
            </w:tr>
            <w:tr w14:paraId="29663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99"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5CBF8C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K5+000～K5+652.557</w:t>
                  </w:r>
                </w:p>
              </w:tc>
              <w:tc>
                <w:tcPr>
                  <w:tcW w:w="660"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625678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2444.9</w:t>
                  </w:r>
                </w:p>
              </w:tc>
              <w:tc>
                <w:tcPr>
                  <w:tcW w:w="429"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1A5D5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760.9</w:t>
                  </w:r>
                </w:p>
              </w:tc>
              <w:tc>
                <w:tcPr>
                  <w:tcW w:w="48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35064C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1684</w:t>
                  </w:r>
                </w:p>
              </w:tc>
              <w:tc>
                <w:tcPr>
                  <w:tcW w:w="429"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0C8FA3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115.1</w:t>
                  </w:r>
                </w:p>
              </w:tc>
              <w:tc>
                <w:tcPr>
                  <w:tcW w:w="660"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05F692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645.8</w:t>
                  </w:r>
                </w:p>
              </w:tc>
              <w:tc>
                <w:tcPr>
                  <w:tcW w:w="48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9378A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923.1</w:t>
                  </w:r>
                </w:p>
              </w:tc>
              <w:tc>
                <w:tcPr>
                  <w:tcW w:w="25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61CDD8A7">
                  <w:pPr>
                    <w:jc w:val="center"/>
                    <w:rPr>
                      <w:rFonts w:hint="eastAsia" w:ascii="微软雅黑" w:hAnsi="微软雅黑" w:eastAsia="微软雅黑" w:cs="微软雅黑"/>
                      <w:i w:val="0"/>
                      <w:iCs w:val="0"/>
                      <w:color w:val="000000" w:themeColor="text1"/>
                      <w:sz w:val="18"/>
                      <w:szCs w:val="18"/>
                      <w:highlight w:val="none"/>
                      <w:u w:val="none"/>
                      <w14:textFill>
                        <w14:solidFill>
                          <w14:schemeClr w14:val="tx1"/>
                        </w14:solidFill>
                      </w14:textFill>
                    </w:rPr>
                  </w:pPr>
                </w:p>
              </w:tc>
              <w:tc>
                <w:tcPr>
                  <w:tcW w:w="691"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4DC58821">
                  <w:pPr>
                    <w:jc w:val="center"/>
                    <w:rPr>
                      <w:rFonts w:hint="eastAsia" w:ascii="微软雅黑" w:hAnsi="微软雅黑" w:eastAsia="微软雅黑" w:cs="微软雅黑"/>
                      <w:i w:val="0"/>
                      <w:iCs w:val="0"/>
                      <w:color w:val="000000" w:themeColor="text1"/>
                      <w:sz w:val="18"/>
                      <w:szCs w:val="18"/>
                      <w:highlight w:val="none"/>
                      <w:u w:val="none"/>
                      <w14:textFill>
                        <w14:solidFill>
                          <w14:schemeClr w14:val="tx1"/>
                        </w14:solidFill>
                      </w14:textFill>
                    </w:rPr>
                  </w:pPr>
                </w:p>
              </w:tc>
            </w:tr>
            <w:tr w14:paraId="6D87E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99" w:type="pct"/>
                  <w:tcBorders>
                    <w:top w:val="single" w:color="888E93" w:sz="8" w:space="0"/>
                    <w:left w:val="single" w:color="474747" w:sz="8" w:space="0"/>
                    <w:bottom w:val="single" w:color="474747" w:sz="8" w:space="0"/>
                    <w:right w:val="single" w:color="888E93" w:sz="8" w:space="0"/>
                  </w:tcBorders>
                  <w:shd w:val="clear" w:color="auto" w:fill="FFFFFF"/>
                  <w:vAlign w:val="center"/>
                </w:tcPr>
                <w:p w14:paraId="57D7746C">
                  <w:pPr>
                    <w:keepNext w:val="0"/>
                    <w:keepLines w:val="0"/>
                    <w:widowControl/>
                    <w:suppressLineNumbers w:val="0"/>
                    <w:jc w:val="center"/>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合计</w:t>
                  </w:r>
                </w:p>
              </w:tc>
              <w:tc>
                <w:tcPr>
                  <w:tcW w:w="660"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0ACBED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23331</w:t>
                  </w:r>
                </w:p>
              </w:tc>
              <w:tc>
                <w:tcPr>
                  <w:tcW w:w="429"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4235F3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4770.8</w:t>
                  </w:r>
                </w:p>
              </w:tc>
              <w:tc>
                <w:tcPr>
                  <w:tcW w:w="486"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3ED82F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18560.2</w:t>
                  </w:r>
                </w:p>
              </w:tc>
              <w:tc>
                <w:tcPr>
                  <w:tcW w:w="429"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7B44DAD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667</w:t>
                  </w:r>
                </w:p>
              </w:tc>
              <w:tc>
                <w:tcPr>
                  <w:tcW w:w="660"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58D4A7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4103.8</w:t>
                  </w:r>
                </w:p>
              </w:tc>
              <w:tc>
                <w:tcPr>
                  <w:tcW w:w="486"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27FB71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13789.4</w:t>
                  </w:r>
                </w:p>
              </w:tc>
              <w:tc>
                <w:tcPr>
                  <w:tcW w:w="256"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0EE210BC">
                  <w:pPr>
                    <w:jc w:val="center"/>
                    <w:rPr>
                      <w:rFonts w:hint="eastAsia" w:ascii="微软雅黑" w:hAnsi="微软雅黑" w:eastAsia="微软雅黑" w:cs="微软雅黑"/>
                      <w:i w:val="0"/>
                      <w:iCs w:val="0"/>
                      <w:color w:val="000000" w:themeColor="text1"/>
                      <w:sz w:val="18"/>
                      <w:szCs w:val="18"/>
                      <w:highlight w:val="none"/>
                      <w:u w:val="none"/>
                      <w14:textFill>
                        <w14:solidFill>
                          <w14:schemeClr w14:val="tx1"/>
                        </w14:solidFill>
                      </w14:textFill>
                    </w:rPr>
                  </w:pPr>
                </w:p>
              </w:tc>
              <w:tc>
                <w:tcPr>
                  <w:tcW w:w="691" w:type="pct"/>
                  <w:tcBorders>
                    <w:top w:val="single" w:color="888E93" w:sz="8" w:space="0"/>
                    <w:left w:val="single" w:color="888E93" w:sz="8" w:space="0"/>
                    <w:bottom w:val="single" w:color="474747" w:sz="8" w:space="0"/>
                    <w:right w:val="single" w:color="474747" w:sz="8" w:space="0"/>
                  </w:tcBorders>
                  <w:shd w:val="clear" w:color="auto" w:fill="FFFFFF"/>
                  <w:vAlign w:val="center"/>
                </w:tcPr>
                <w:p w14:paraId="76526F33">
                  <w:pPr>
                    <w:jc w:val="center"/>
                    <w:rPr>
                      <w:rFonts w:hint="eastAsia" w:ascii="微软雅黑" w:hAnsi="微软雅黑" w:eastAsia="微软雅黑" w:cs="微软雅黑"/>
                      <w:i w:val="0"/>
                      <w:iCs w:val="0"/>
                      <w:color w:val="000000" w:themeColor="text1"/>
                      <w:sz w:val="18"/>
                      <w:szCs w:val="18"/>
                      <w:highlight w:val="none"/>
                      <w:u w:val="none"/>
                      <w14:textFill>
                        <w14:solidFill>
                          <w14:schemeClr w14:val="tx1"/>
                        </w14:solidFill>
                      </w14:textFill>
                    </w:rPr>
                  </w:pPr>
                </w:p>
              </w:tc>
            </w:tr>
          </w:tbl>
          <w:p w14:paraId="03A84190">
            <w:pPr>
              <w:widowControl/>
              <w:spacing w:line="360" w:lineRule="auto"/>
              <w:ind w:firstLine="482" w:firstLineChars="200"/>
              <w:jc w:val="center"/>
              <w:rPr>
                <w:rFonts w:hint="default" w:ascii="Times New Roman" w:hAnsi="Times New Roman" w:eastAsia="宋体" w:cs="Times New Roman"/>
                <w:b/>
                <w:bCs/>
                <w:color w:val="000000" w:themeColor="text1"/>
                <w:kern w:val="0"/>
                <w:sz w:val="24"/>
                <w:highlight w:val="none"/>
                <w:vertAlign w:val="superscript"/>
                <w:lang w:val="en-US" w:eastAsia="zh-CN" w:bidi="ar"/>
                <w14:textFill>
                  <w14:solidFill>
                    <w14:schemeClr w14:val="tx1"/>
                  </w14:solidFill>
                </w14:textFill>
              </w:rPr>
            </w:pPr>
            <w:r>
              <w:rPr>
                <w:rFonts w:hint="eastAsia" w:cs="Times New Roman"/>
                <w:b/>
                <w:bCs/>
                <w:color w:val="000000" w:themeColor="text1"/>
                <w:kern w:val="0"/>
                <w:sz w:val="24"/>
                <w:highlight w:val="none"/>
                <w:lang w:val="en-US" w:eastAsia="zh-CN" w:bidi="ar"/>
                <w14:textFill>
                  <w14:solidFill>
                    <w14:schemeClr w14:val="tx1"/>
                  </w14:solidFill>
                </w14:textFill>
              </w:rPr>
              <w:t xml:space="preserve">表2-7 </w:t>
            </w:r>
            <w:r>
              <w:rPr>
                <w:rFonts w:hint="default" w:ascii="Times New Roman" w:hAnsi="Times New Roman" w:eastAsia="宋体" w:cs="Times New Roman"/>
                <w:b/>
                <w:bCs/>
                <w:color w:val="000000" w:themeColor="text1"/>
                <w:kern w:val="0"/>
                <w:sz w:val="24"/>
                <w:highlight w:val="none"/>
                <w:lang w:val="en-US" w:eastAsia="zh-CN" w:bidi="ar"/>
                <w14:textFill>
                  <w14:solidFill>
                    <w14:schemeClr w14:val="tx1"/>
                  </w14:solidFill>
                </w14:textFill>
              </w:rPr>
              <w:t>工程土石方平衡及流向表</w:t>
            </w:r>
            <w:r>
              <w:rPr>
                <w:rFonts w:hint="eastAsia" w:cs="Times New Roman"/>
                <w:b/>
                <w:bCs/>
                <w:color w:val="000000" w:themeColor="text1"/>
                <w:kern w:val="0"/>
                <w:sz w:val="24"/>
                <w:highlight w:val="none"/>
                <w:lang w:val="en-US" w:eastAsia="zh-CN" w:bidi="ar"/>
                <w14:textFill>
                  <w14:solidFill>
                    <w14:schemeClr w14:val="tx1"/>
                  </w14:solidFill>
                </w14:textFill>
              </w:rPr>
              <w:t xml:space="preserve">  单位：m</w:t>
            </w:r>
            <w:r>
              <w:rPr>
                <w:rFonts w:hint="eastAsia" w:cs="Times New Roman"/>
                <w:b/>
                <w:bCs/>
                <w:color w:val="000000" w:themeColor="text1"/>
                <w:kern w:val="0"/>
                <w:sz w:val="24"/>
                <w:highlight w:val="none"/>
                <w:vertAlign w:val="superscript"/>
                <w:lang w:val="en-US" w:eastAsia="zh-CN" w:bidi="ar"/>
                <w14:textFill>
                  <w14:solidFill>
                    <w14:schemeClr w14:val="tx1"/>
                  </w14:solidFill>
                </w14:textFill>
              </w:rPr>
              <w:t>3</w:t>
            </w:r>
          </w:p>
          <w:tbl>
            <w:tblPr>
              <w:tblStyle w:val="30"/>
              <w:tblW w:w="7780"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40"/>
              <w:gridCol w:w="1341"/>
              <w:gridCol w:w="1341"/>
              <w:gridCol w:w="492"/>
              <w:gridCol w:w="492"/>
              <w:gridCol w:w="654"/>
              <w:gridCol w:w="492"/>
              <w:gridCol w:w="654"/>
              <w:gridCol w:w="487"/>
              <w:gridCol w:w="487"/>
            </w:tblGrid>
            <w:tr w14:paraId="4325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2682" w:type="dxa"/>
                  <w:gridSpan w:val="2"/>
                  <w:vMerge w:val="restart"/>
                  <w:tcBorders>
                    <w:top w:val="single" w:color="474747" w:sz="8" w:space="0"/>
                    <w:left w:val="single" w:color="474747" w:sz="8" w:space="0"/>
                    <w:bottom w:val="single" w:color="888E93" w:sz="8" w:space="0"/>
                    <w:right w:val="single" w:color="888E93" w:sz="8" w:space="0"/>
                  </w:tcBorders>
                  <w:shd w:val="clear" w:color="auto" w:fill="FFFFFF"/>
                  <w:vAlign w:val="center"/>
                </w:tcPr>
                <w:p w14:paraId="57FE6A62">
                  <w:pPr>
                    <w:keepNext w:val="0"/>
                    <w:keepLines w:val="0"/>
                    <w:widowControl/>
                    <w:suppressLineNumbers w:val="0"/>
                    <w:jc w:val="center"/>
                    <w:textAlignment w:val="center"/>
                    <w:rPr>
                      <w:rFonts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项目分区</w:t>
                  </w:r>
                </w:p>
              </w:tc>
              <w:tc>
                <w:tcPr>
                  <w:tcW w:w="1341" w:type="dxa"/>
                  <w:vMerge w:val="restart"/>
                  <w:tcBorders>
                    <w:top w:val="single" w:color="474747" w:sz="8" w:space="0"/>
                    <w:left w:val="single" w:color="888E93" w:sz="8" w:space="0"/>
                    <w:bottom w:val="single" w:color="888E93" w:sz="8" w:space="0"/>
                    <w:right w:val="single" w:color="888E93" w:sz="8" w:space="0"/>
                  </w:tcBorders>
                  <w:shd w:val="clear" w:color="auto" w:fill="FFFFFF"/>
                  <w:vAlign w:val="center"/>
                </w:tcPr>
                <w:p w14:paraId="31399778">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动用土石方总量</w:t>
                  </w:r>
                </w:p>
              </w:tc>
              <w:tc>
                <w:tcPr>
                  <w:tcW w:w="492" w:type="dxa"/>
                  <w:vMerge w:val="restart"/>
                  <w:tcBorders>
                    <w:top w:val="single" w:color="474747" w:sz="8" w:space="0"/>
                    <w:left w:val="single" w:color="888E93" w:sz="8" w:space="0"/>
                    <w:bottom w:val="single" w:color="888E93" w:sz="8" w:space="0"/>
                    <w:right w:val="single" w:color="888E93" w:sz="8" w:space="0"/>
                  </w:tcBorders>
                  <w:shd w:val="clear" w:color="auto" w:fill="FFFFFF"/>
                  <w:vAlign w:val="center"/>
                </w:tcPr>
                <w:p w14:paraId="6E64E682">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挖方</w:t>
                  </w:r>
                </w:p>
              </w:tc>
              <w:tc>
                <w:tcPr>
                  <w:tcW w:w="492" w:type="dxa"/>
                  <w:vMerge w:val="restart"/>
                  <w:tcBorders>
                    <w:top w:val="single" w:color="474747" w:sz="8" w:space="0"/>
                    <w:left w:val="single" w:color="888E93" w:sz="8" w:space="0"/>
                    <w:bottom w:val="single" w:color="888E93" w:sz="8" w:space="0"/>
                    <w:right w:val="single" w:color="888E93" w:sz="8" w:space="0"/>
                  </w:tcBorders>
                  <w:shd w:val="clear" w:color="auto" w:fill="FFFFFF"/>
                  <w:vAlign w:val="center"/>
                </w:tcPr>
                <w:p w14:paraId="02DFDAC2">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填方</w:t>
                  </w:r>
                </w:p>
              </w:tc>
              <w:tc>
                <w:tcPr>
                  <w:tcW w:w="654" w:type="dxa"/>
                  <w:vMerge w:val="restart"/>
                  <w:tcBorders>
                    <w:top w:val="single" w:color="474747" w:sz="8" w:space="0"/>
                    <w:left w:val="single" w:color="888E93" w:sz="8" w:space="0"/>
                    <w:bottom w:val="single" w:color="888E93" w:sz="8" w:space="0"/>
                    <w:right w:val="single" w:color="888E93" w:sz="8" w:space="0"/>
                  </w:tcBorders>
                  <w:shd w:val="clear" w:color="auto" w:fill="FFFFFF"/>
                  <w:vAlign w:val="center"/>
                </w:tcPr>
                <w:p w14:paraId="44A96393">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利用方</w:t>
                  </w:r>
                </w:p>
              </w:tc>
              <w:tc>
                <w:tcPr>
                  <w:tcW w:w="1146" w:type="dxa"/>
                  <w:gridSpan w:val="2"/>
                  <w:tcBorders>
                    <w:top w:val="single" w:color="474747" w:sz="8" w:space="0"/>
                    <w:left w:val="single" w:color="888E93" w:sz="8" w:space="0"/>
                    <w:bottom w:val="single" w:color="888E93" w:sz="8" w:space="0"/>
                    <w:right w:val="single" w:color="888E93" w:sz="8" w:space="0"/>
                  </w:tcBorders>
                  <w:shd w:val="clear" w:color="auto" w:fill="FFFFFF"/>
                  <w:vAlign w:val="center"/>
                </w:tcPr>
                <w:p w14:paraId="259A0E9F">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借方</w:t>
                  </w:r>
                </w:p>
              </w:tc>
              <w:tc>
                <w:tcPr>
                  <w:tcW w:w="974" w:type="dxa"/>
                  <w:gridSpan w:val="2"/>
                  <w:tcBorders>
                    <w:top w:val="single" w:color="474747" w:sz="8" w:space="0"/>
                    <w:left w:val="single" w:color="888E93" w:sz="8" w:space="0"/>
                    <w:bottom w:val="single" w:color="888E93" w:sz="8" w:space="0"/>
                    <w:right w:val="single" w:color="474747" w:sz="8" w:space="0"/>
                  </w:tcBorders>
                  <w:shd w:val="clear" w:color="auto" w:fill="FFFFFF"/>
                  <w:vAlign w:val="center"/>
                </w:tcPr>
                <w:p w14:paraId="2E897855">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弃方</w:t>
                  </w:r>
                </w:p>
              </w:tc>
            </w:tr>
            <w:tr w14:paraId="1DA8C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2682" w:type="dxa"/>
                  <w:gridSpan w:val="2"/>
                  <w:vMerge w:val="continue"/>
                  <w:tcBorders>
                    <w:top w:val="single" w:color="474747" w:sz="8" w:space="0"/>
                    <w:left w:val="single" w:color="474747" w:sz="8" w:space="0"/>
                    <w:bottom w:val="single" w:color="888E93" w:sz="8" w:space="0"/>
                    <w:right w:val="single" w:color="888E93" w:sz="8" w:space="0"/>
                  </w:tcBorders>
                  <w:shd w:val="clear" w:color="auto" w:fill="FFFFFF"/>
                  <w:vAlign w:val="center"/>
                </w:tcPr>
                <w:p w14:paraId="233CC020">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1341" w:type="dxa"/>
                  <w:vMerge w:val="continue"/>
                  <w:tcBorders>
                    <w:top w:val="single" w:color="474747" w:sz="8" w:space="0"/>
                    <w:left w:val="single" w:color="888E93" w:sz="8" w:space="0"/>
                    <w:bottom w:val="single" w:color="888E93" w:sz="8" w:space="0"/>
                    <w:right w:val="single" w:color="888E93" w:sz="8" w:space="0"/>
                  </w:tcBorders>
                  <w:shd w:val="clear" w:color="auto" w:fill="FFFFFF"/>
                  <w:vAlign w:val="center"/>
                </w:tcPr>
                <w:p w14:paraId="1935820B">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492" w:type="dxa"/>
                  <w:vMerge w:val="continue"/>
                  <w:tcBorders>
                    <w:top w:val="single" w:color="474747" w:sz="8" w:space="0"/>
                    <w:left w:val="single" w:color="888E93" w:sz="8" w:space="0"/>
                    <w:bottom w:val="single" w:color="888E93" w:sz="8" w:space="0"/>
                    <w:right w:val="single" w:color="888E93" w:sz="8" w:space="0"/>
                  </w:tcBorders>
                  <w:shd w:val="clear" w:color="auto" w:fill="FFFFFF"/>
                  <w:vAlign w:val="center"/>
                </w:tcPr>
                <w:p w14:paraId="08FFAE20">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492" w:type="dxa"/>
                  <w:vMerge w:val="continue"/>
                  <w:tcBorders>
                    <w:top w:val="single" w:color="474747" w:sz="8" w:space="0"/>
                    <w:left w:val="single" w:color="888E93" w:sz="8" w:space="0"/>
                    <w:bottom w:val="single" w:color="888E93" w:sz="8" w:space="0"/>
                    <w:right w:val="single" w:color="888E93" w:sz="8" w:space="0"/>
                  </w:tcBorders>
                  <w:shd w:val="clear" w:color="auto" w:fill="FFFFFF"/>
                  <w:vAlign w:val="center"/>
                </w:tcPr>
                <w:p w14:paraId="5BAC4938">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654" w:type="dxa"/>
                  <w:vMerge w:val="continue"/>
                  <w:tcBorders>
                    <w:top w:val="single" w:color="474747" w:sz="8" w:space="0"/>
                    <w:left w:val="single" w:color="888E93" w:sz="8" w:space="0"/>
                    <w:bottom w:val="single" w:color="888E93" w:sz="8" w:space="0"/>
                    <w:right w:val="single" w:color="888E93" w:sz="8" w:space="0"/>
                  </w:tcBorders>
                  <w:shd w:val="clear" w:color="auto" w:fill="FFFFFF"/>
                  <w:vAlign w:val="center"/>
                </w:tcPr>
                <w:p w14:paraId="67414A92">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7A739BC">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数量</w:t>
                  </w: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0C574FC">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来源</w:t>
                  </w:r>
                </w:p>
              </w:tc>
              <w:tc>
                <w:tcPr>
                  <w:tcW w:w="48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4FBA615">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数量</w:t>
                  </w:r>
                </w:p>
              </w:tc>
              <w:tc>
                <w:tcPr>
                  <w:tcW w:w="48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2A89A46C">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去向</w:t>
                  </w:r>
                </w:p>
              </w:tc>
            </w:tr>
            <w:tr w14:paraId="67538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41" w:type="dxa"/>
                  <w:vMerge w:val="restart"/>
                  <w:tcBorders>
                    <w:top w:val="single" w:color="888E93" w:sz="8" w:space="0"/>
                    <w:left w:val="single" w:color="474747" w:sz="8" w:space="0"/>
                    <w:bottom w:val="single" w:color="888E93" w:sz="8" w:space="0"/>
                    <w:right w:val="single" w:color="888E93" w:sz="8" w:space="0"/>
                  </w:tcBorders>
                  <w:shd w:val="clear" w:color="auto" w:fill="FFFFFF"/>
                  <w:vAlign w:val="center"/>
                </w:tcPr>
                <w:p w14:paraId="39111284">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路基工程区</w:t>
                  </w: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3A520F8">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表土剥离及回覆</w:t>
                  </w: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1727B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2.32</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DF7B8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EDC63D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w:t>
                  </w: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93316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937E00B">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0CC6F49">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BD31D14">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23EADECC">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r>
            <w:tr w14:paraId="102E9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41"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1EEC6743">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96081CD">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路基开挖及填筑</w:t>
                  </w: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C1E86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2.34</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88BF2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0.48</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7F533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1.86</w:t>
                  </w: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4114B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0.48</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14D69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1.38</w:t>
                  </w: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6F3BD7E">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取土场</w:t>
                  </w:r>
                </w:p>
              </w:tc>
              <w:tc>
                <w:tcPr>
                  <w:tcW w:w="48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77072A1">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12591A49">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r>
            <w:tr w14:paraId="51A85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41"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3EB31F83">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ED2346C">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小计</w:t>
                  </w: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E78CD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4.66</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3183F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1.64</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469BD9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3.02</w:t>
                  </w: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3C62B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1.64</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409EE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1.38</w:t>
                  </w: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50A056B">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445D158">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3B9F6B99">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r>
            <w:tr w14:paraId="4FECC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41" w:type="dxa"/>
                  <w:vMerge w:val="restart"/>
                  <w:tcBorders>
                    <w:top w:val="single" w:color="888E93" w:sz="8" w:space="0"/>
                    <w:left w:val="single" w:color="474747" w:sz="8" w:space="0"/>
                    <w:bottom w:val="single" w:color="888E93" w:sz="8" w:space="0"/>
                    <w:right w:val="single" w:color="888E93" w:sz="8" w:space="0"/>
                  </w:tcBorders>
                  <w:shd w:val="clear" w:color="auto" w:fill="FFFFFF"/>
                  <w:vAlign w:val="center"/>
                </w:tcPr>
                <w:p w14:paraId="1CAB45ED">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施工生产生活区</w:t>
                  </w: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FD09795">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表土剥离及回覆</w:t>
                  </w: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BE03F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0.16</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0C215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1A442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w:t>
                  </w: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1BC77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A312FB4">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DD658DB">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14C6038">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1FC11DA8">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r>
            <w:tr w14:paraId="47C93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41"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62B951C8">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93434F4">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场地平整</w:t>
                  </w: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7E1799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0.24</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E1609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1F2E0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w:t>
                  </w: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29C96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5043D1F">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CBABF3D">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7590157">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6B0645B7">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r>
            <w:tr w14:paraId="17705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41"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2FB49B6E">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4A698AB">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小计</w:t>
                  </w: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74CD9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B6AF2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7DF59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w:t>
                  </w: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DA333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C3FCECF">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96590F9">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E636604">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77D009E4">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r>
            <w:tr w14:paraId="1029D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41" w:type="dxa"/>
                  <w:tcBorders>
                    <w:top w:val="single" w:color="888E93" w:sz="8" w:space="0"/>
                    <w:left w:val="single" w:color="474747" w:sz="8" w:space="0"/>
                    <w:bottom w:val="single" w:color="888E93" w:sz="8" w:space="0"/>
                    <w:right w:val="single" w:color="888E93" w:sz="8" w:space="0"/>
                  </w:tcBorders>
                  <w:shd w:val="clear" w:color="auto" w:fill="FFFFFF"/>
                  <w:vAlign w:val="center"/>
                </w:tcPr>
                <w:p w14:paraId="738266F2">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取土场</w:t>
                  </w: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93E0D69">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表土剥离及回覆</w:t>
                  </w: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90C17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0.86</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67D600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0.43</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B150CF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0.43</w:t>
                  </w: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7BE398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0.43</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0099A2A">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6284710">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4E92527">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7C31235F">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r>
            <w:tr w14:paraId="7C777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41" w:type="dxa"/>
                  <w:vMerge w:val="restart"/>
                  <w:tcBorders>
                    <w:top w:val="single" w:color="888E93" w:sz="8" w:space="0"/>
                    <w:left w:val="single" w:color="474747" w:sz="8" w:space="0"/>
                    <w:bottom w:val="single" w:color="888E93" w:sz="8" w:space="0"/>
                    <w:right w:val="single" w:color="888E93" w:sz="8" w:space="0"/>
                  </w:tcBorders>
                  <w:shd w:val="clear" w:color="auto" w:fill="FFFFFF"/>
                  <w:vAlign w:val="center"/>
                </w:tcPr>
                <w:p w14:paraId="34905A78">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施工便道</w:t>
                  </w: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8C14830">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表土剥离及回覆</w:t>
                  </w: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B936B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1.06</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D93DAB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0.53</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4CF78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0.53</w:t>
                  </w: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F4C5F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0.53</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7F764A15">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7E3CD24">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7C17C72">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71633B14">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r>
            <w:tr w14:paraId="21714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41"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651E744F">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749992B3">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路基平整修筑</w:t>
                  </w: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A0B01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F8D01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CF730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w:t>
                  </w: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7EF4C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FE2D9E3">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BA6FA13">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2A2D33B">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3D50FDC3">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r>
            <w:tr w14:paraId="2C7FB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41"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0DD1828C">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F17A133">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小计</w:t>
                  </w:r>
                </w:p>
              </w:tc>
              <w:tc>
                <w:tcPr>
                  <w:tcW w:w="1341"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F6D1F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2.66</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E836C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1.33</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6C7EA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1.33</w:t>
                  </w: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7FE529B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1.33</w:t>
                  </w:r>
                </w:p>
              </w:tc>
              <w:tc>
                <w:tcPr>
                  <w:tcW w:w="492"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7C678EA">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654"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CE1E2E3">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C67AB98">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6EB61637">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r>
            <w:tr w14:paraId="2DD72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82" w:type="dxa"/>
                  <w:gridSpan w:val="2"/>
                  <w:tcBorders>
                    <w:top w:val="single" w:color="888E93" w:sz="8" w:space="0"/>
                    <w:left w:val="single" w:color="474747" w:sz="8" w:space="0"/>
                    <w:bottom w:val="single" w:color="474747" w:sz="8" w:space="0"/>
                    <w:right w:val="single" w:color="888E93" w:sz="8" w:space="0"/>
                  </w:tcBorders>
                  <w:shd w:val="clear" w:color="auto" w:fill="FFFFFF"/>
                  <w:vAlign w:val="center"/>
                </w:tcPr>
                <w:p w14:paraId="0517DFD8">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合计</w:t>
                  </w:r>
                </w:p>
              </w:tc>
              <w:tc>
                <w:tcPr>
                  <w:tcW w:w="1341" w:type="dxa"/>
                  <w:tcBorders>
                    <w:top w:val="single" w:color="888E93" w:sz="8" w:space="0"/>
                    <w:left w:val="single" w:color="888E93" w:sz="8" w:space="0"/>
                    <w:bottom w:val="single" w:color="474747" w:sz="8" w:space="0"/>
                    <w:right w:val="single" w:color="888E93" w:sz="8" w:space="0"/>
                  </w:tcBorders>
                  <w:shd w:val="clear" w:color="auto" w:fill="FFFFFF"/>
                  <w:vAlign w:val="center"/>
                </w:tcPr>
                <w:p w14:paraId="24CA73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8.58</w:t>
                  </w:r>
                </w:p>
              </w:tc>
              <w:tc>
                <w:tcPr>
                  <w:tcW w:w="492" w:type="dxa"/>
                  <w:tcBorders>
                    <w:top w:val="single" w:color="888E93" w:sz="8" w:space="0"/>
                    <w:left w:val="single" w:color="888E93" w:sz="8" w:space="0"/>
                    <w:bottom w:val="single" w:color="474747" w:sz="8" w:space="0"/>
                    <w:right w:val="single" w:color="888E93" w:sz="8" w:space="0"/>
                  </w:tcBorders>
                  <w:shd w:val="clear" w:color="auto" w:fill="FFFFFF"/>
                  <w:vAlign w:val="center"/>
                </w:tcPr>
                <w:p w14:paraId="47E4C7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w:t>
                  </w:r>
                </w:p>
              </w:tc>
              <w:tc>
                <w:tcPr>
                  <w:tcW w:w="492" w:type="dxa"/>
                  <w:tcBorders>
                    <w:top w:val="single" w:color="888E93" w:sz="8" w:space="0"/>
                    <w:left w:val="single" w:color="888E93" w:sz="8" w:space="0"/>
                    <w:bottom w:val="single" w:color="474747" w:sz="8" w:space="0"/>
                    <w:right w:val="single" w:color="888E93" w:sz="8" w:space="0"/>
                  </w:tcBorders>
                  <w:shd w:val="clear" w:color="auto" w:fill="FFFFFF"/>
                  <w:vAlign w:val="center"/>
                </w:tcPr>
                <w:p w14:paraId="43720D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4.98</w:t>
                  </w:r>
                </w:p>
              </w:tc>
              <w:tc>
                <w:tcPr>
                  <w:tcW w:w="654" w:type="dxa"/>
                  <w:tcBorders>
                    <w:top w:val="single" w:color="888E93" w:sz="8" w:space="0"/>
                    <w:left w:val="single" w:color="888E93" w:sz="8" w:space="0"/>
                    <w:bottom w:val="single" w:color="474747" w:sz="8" w:space="0"/>
                    <w:right w:val="single" w:color="888E93" w:sz="8" w:space="0"/>
                  </w:tcBorders>
                  <w:shd w:val="clear" w:color="auto" w:fill="FFFFFF"/>
                  <w:vAlign w:val="center"/>
                </w:tcPr>
                <w:p w14:paraId="6FA284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w:t>
                  </w:r>
                </w:p>
              </w:tc>
              <w:tc>
                <w:tcPr>
                  <w:tcW w:w="492" w:type="dxa"/>
                  <w:tcBorders>
                    <w:top w:val="single" w:color="888E93" w:sz="8" w:space="0"/>
                    <w:left w:val="single" w:color="888E93" w:sz="8" w:space="0"/>
                    <w:bottom w:val="single" w:color="474747" w:sz="8" w:space="0"/>
                    <w:right w:val="single" w:color="888E93" w:sz="8" w:space="0"/>
                  </w:tcBorders>
                  <w:shd w:val="clear" w:color="auto" w:fill="FFFFFF"/>
                  <w:vAlign w:val="center"/>
                </w:tcPr>
                <w:p w14:paraId="0F25FF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1.38</w:t>
                  </w:r>
                </w:p>
              </w:tc>
              <w:tc>
                <w:tcPr>
                  <w:tcW w:w="654" w:type="dxa"/>
                  <w:tcBorders>
                    <w:top w:val="single" w:color="888E93" w:sz="8" w:space="0"/>
                    <w:left w:val="single" w:color="888E93" w:sz="8" w:space="0"/>
                    <w:bottom w:val="single" w:color="474747" w:sz="8" w:space="0"/>
                    <w:right w:val="single" w:color="888E93" w:sz="8" w:space="0"/>
                  </w:tcBorders>
                  <w:shd w:val="clear" w:color="auto" w:fill="FFFFFF"/>
                  <w:vAlign w:val="center"/>
                </w:tcPr>
                <w:p w14:paraId="07D6B85E">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474747" w:sz="8" w:space="0"/>
                    <w:right w:val="single" w:color="888E93" w:sz="8" w:space="0"/>
                  </w:tcBorders>
                  <w:shd w:val="clear" w:color="auto" w:fill="FFFFFF"/>
                  <w:vAlign w:val="center"/>
                </w:tcPr>
                <w:p w14:paraId="72EAFAC5">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87" w:type="dxa"/>
                  <w:tcBorders>
                    <w:top w:val="single" w:color="888E93" w:sz="8" w:space="0"/>
                    <w:left w:val="single" w:color="888E93" w:sz="8" w:space="0"/>
                    <w:bottom w:val="single" w:color="474747" w:sz="8" w:space="0"/>
                    <w:right w:val="single" w:color="474747" w:sz="8" w:space="0"/>
                  </w:tcBorders>
                  <w:shd w:val="clear" w:color="auto" w:fill="FFFFFF"/>
                  <w:vAlign w:val="center"/>
                </w:tcPr>
                <w:p w14:paraId="3CA733DA">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r>
          </w:tbl>
          <w:p w14:paraId="574335EC">
            <w:pPr>
              <w:widowControl/>
              <w:spacing w:line="360" w:lineRule="auto"/>
              <w:ind w:firstLine="482" w:firstLineChars="200"/>
              <w:jc w:val="left"/>
              <w:rPr>
                <w:rFonts w:hint="default" w:ascii="Times New Roman" w:hAnsi="Times New Roman" w:eastAsia="宋体" w:cs="Times New Roman"/>
                <w:b/>
                <w:bCs/>
                <w:color w:val="000000" w:themeColor="text1"/>
                <w:kern w:val="0"/>
                <w:sz w:val="24"/>
                <w:highlight w:val="none"/>
                <w:lang w:val="en-US" w:eastAsia="zh-CN" w:bidi="ar"/>
                <w14:textFill>
                  <w14:solidFill>
                    <w14:schemeClr w14:val="tx1"/>
                  </w14:solidFill>
                </w14:textFill>
              </w:rPr>
            </w:pPr>
          </w:p>
          <w:p w14:paraId="381315E4">
            <w:pPr>
              <w:widowControl/>
              <w:spacing w:line="360" w:lineRule="auto"/>
              <w:ind w:firstLine="482" w:firstLineChars="200"/>
              <w:jc w:val="left"/>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pPr>
          </w:p>
          <w:p w14:paraId="5A3C433C">
            <w:pPr>
              <w:widowControl/>
              <w:spacing w:line="360" w:lineRule="auto"/>
              <w:ind w:firstLine="420" w:firstLineChars="200"/>
              <w:jc w:val="left"/>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744085" cy="2183130"/>
                  <wp:effectExtent l="0" t="0" r="5715" b="127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27"/>
                          <a:stretch>
                            <a:fillRect/>
                          </a:stretch>
                        </pic:blipFill>
                        <pic:spPr>
                          <a:xfrm>
                            <a:off x="0" y="0"/>
                            <a:ext cx="4744085" cy="2183130"/>
                          </a:xfrm>
                          <a:prstGeom prst="rect">
                            <a:avLst/>
                          </a:prstGeom>
                          <a:noFill/>
                          <a:ln>
                            <a:noFill/>
                          </a:ln>
                        </pic:spPr>
                      </pic:pic>
                    </a:graphicData>
                  </a:graphic>
                </wp:inline>
              </w:drawing>
            </w:r>
          </w:p>
          <w:p w14:paraId="421B468D">
            <w:pPr>
              <w:widowControl/>
              <w:spacing w:line="360" w:lineRule="auto"/>
              <w:ind w:firstLine="2168" w:firstLineChars="900"/>
              <w:jc w:val="left"/>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pPr>
            <w:r>
              <w:rPr>
                <w:rFonts w:hint="eastAsia" w:cs="Times New Roman"/>
                <w:b/>
                <w:bCs/>
                <w:color w:val="000000" w:themeColor="text1"/>
                <w:kern w:val="0"/>
                <w:sz w:val="24"/>
                <w:highlight w:val="none"/>
                <w:lang w:val="en-US" w:eastAsia="zh-CN" w:bidi="ar"/>
                <w14:textFill>
                  <w14:solidFill>
                    <w14:schemeClr w14:val="tx1"/>
                  </w14:solidFill>
                </w14:textFill>
              </w:rPr>
              <w:t xml:space="preserve">图2-6 </w:t>
            </w:r>
            <w:r>
              <w:rPr>
                <w:rFonts w:hint="default" w:ascii="Times New Roman" w:hAnsi="Times New Roman" w:eastAsia="宋体" w:cs="Times New Roman"/>
                <w:b/>
                <w:bCs/>
                <w:color w:val="000000" w:themeColor="text1"/>
                <w:kern w:val="0"/>
                <w:sz w:val="24"/>
                <w:highlight w:val="none"/>
                <w:lang w:val="en-US" w:eastAsia="zh-CN" w:bidi="ar"/>
                <w14:textFill>
                  <w14:solidFill>
                    <w14:schemeClr w14:val="tx1"/>
                  </w14:solidFill>
                </w14:textFill>
              </w:rPr>
              <w:t>土石方流向框图 单位：万m</w:t>
            </w:r>
            <w:r>
              <w:rPr>
                <w:rFonts w:hint="default" w:ascii="Times New Roman" w:hAnsi="Times New Roman" w:eastAsia="宋体" w:cs="Times New Roman"/>
                <w:b/>
                <w:bCs/>
                <w:color w:val="000000" w:themeColor="text1"/>
                <w:kern w:val="0"/>
                <w:sz w:val="24"/>
                <w:highlight w:val="none"/>
                <w:vertAlign w:val="superscript"/>
                <w:lang w:val="en-US" w:eastAsia="zh-CN" w:bidi="ar"/>
                <w14:textFill>
                  <w14:solidFill>
                    <w14:schemeClr w14:val="tx1"/>
                  </w14:solidFill>
                </w14:textFill>
              </w:rPr>
              <w:t>3</w:t>
            </w:r>
          </w:p>
          <w:p w14:paraId="6A087DFD">
            <w:pPr>
              <w:widowControl/>
              <w:spacing w:line="360" w:lineRule="auto"/>
              <w:ind w:firstLine="482" w:firstLineChars="200"/>
              <w:jc w:val="left"/>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pPr>
          </w:p>
          <w:p w14:paraId="7AD09C23">
            <w:pPr>
              <w:widowControl/>
              <w:spacing w:line="360" w:lineRule="auto"/>
              <w:ind w:firstLine="482" w:firstLineChars="200"/>
              <w:jc w:val="left"/>
              <w:rPr>
                <w:rFonts w:hint="eastAsia"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3.9交通量情况</w:t>
            </w:r>
          </w:p>
          <w:p w14:paraId="4EE5A488">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由于本段公路为</w:t>
            </w:r>
            <w:r>
              <w:rPr>
                <w:rFonts w:hint="eastAsia" w:cs="宋体"/>
                <w:b/>
                <w:bCs/>
                <w:color w:val="000000" w:themeColor="text1"/>
                <w:szCs w:val="21"/>
                <w:highlight w:val="none"/>
                <w14:textFill>
                  <w14:solidFill>
                    <w14:schemeClr w14:val="tx1"/>
                  </w14:solidFill>
                </w14:textFill>
              </w:rPr>
              <w:t>乌珠穆沁白牛核心育种场进场道路</w:t>
            </w:r>
            <w:r>
              <w:rPr>
                <w:rFonts w:hint="eastAsia" w:cs="宋体"/>
                <w:b/>
                <w:bCs/>
                <w:color w:val="000000" w:themeColor="text1"/>
                <w:szCs w:val="21"/>
                <w:highlight w:val="none"/>
                <w:lang w:eastAsia="zh-CN"/>
                <w14:textFill>
                  <w14:solidFill>
                    <w14:schemeClr w14:val="tx1"/>
                  </w14:solidFill>
                </w14:textFill>
              </w:rPr>
              <w:t>，</w:t>
            </w:r>
            <w:r>
              <w:rPr>
                <w:rFonts w:hint="eastAsia" w:cs="宋体"/>
                <w:b/>
                <w:bCs/>
                <w:color w:val="000000" w:themeColor="text1"/>
                <w:szCs w:val="21"/>
                <w:highlight w:val="none"/>
                <w:lang w:val="en-US" w:eastAsia="zh-CN"/>
                <w14:textFill>
                  <w14:solidFill>
                    <w14:schemeClr w14:val="tx1"/>
                  </w14:solidFill>
                </w14:textFill>
              </w:rPr>
              <w:t>进出车辆基本为</w:t>
            </w:r>
            <w:r>
              <w:rPr>
                <w:rFonts w:hint="eastAsia" w:cs="宋体"/>
                <w:b/>
                <w:bCs/>
                <w:color w:val="000000" w:themeColor="text1"/>
                <w:szCs w:val="21"/>
                <w:highlight w:val="none"/>
                <w14:textFill>
                  <w14:solidFill>
                    <w14:schemeClr w14:val="tx1"/>
                  </w14:solidFill>
                </w14:textFill>
              </w:rPr>
              <w:t>乌珠穆沁白牛核心育种场</w:t>
            </w:r>
            <w:r>
              <w:rPr>
                <w:rFonts w:hint="eastAsia" w:cs="宋体"/>
                <w:b/>
                <w:bCs/>
                <w:color w:val="000000" w:themeColor="text1"/>
                <w:szCs w:val="21"/>
                <w:highlight w:val="none"/>
                <w:lang w:val="en-US" w:eastAsia="zh-CN"/>
                <w14:textFill>
                  <w14:solidFill>
                    <w14:schemeClr w14:val="tx1"/>
                  </w14:solidFill>
                </w14:textFill>
              </w:rPr>
              <w:t>日常工作进出车辆及附近少量牧户生活车辆，公路等级为四级公路，设计时速20km/h，</w:t>
            </w:r>
            <w:r>
              <w:rPr>
                <w:rFonts w:hint="eastAsia" w:cs="Times New Roman"/>
                <w:color w:val="000000" w:themeColor="text1"/>
                <w:kern w:val="0"/>
                <w:sz w:val="24"/>
                <w:highlight w:val="none"/>
                <w:lang w:val="en-US" w:eastAsia="zh-CN"/>
                <w14:textFill>
                  <w14:solidFill>
                    <w14:schemeClr w14:val="tx1"/>
                  </w14:solidFill>
                </w14:textFill>
              </w:rPr>
              <w:t>参考同类型公路，公路建成后交通流量详见下表</w:t>
            </w:r>
            <w:r>
              <w:rPr>
                <w:rFonts w:hint="default" w:ascii="Times New Roman" w:hAnsi="Times New Roman" w:eastAsia="宋体" w:cs="Times New Roman"/>
                <w:color w:val="000000" w:themeColor="text1"/>
                <w:kern w:val="0"/>
                <w:sz w:val="24"/>
                <w:highlight w:val="none"/>
                <w14:textFill>
                  <w14:solidFill>
                    <w14:schemeClr w14:val="tx1"/>
                  </w14:solidFill>
                </w14:textFill>
              </w:rPr>
              <w:t>。</w:t>
            </w:r>
          </w:p>
          <w:p w14:paraId="7F2EF007">
            <w:pPr>
              <w:pStyle w:val="3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表</w:t>
            </w:r>
            <w:r>
              <w:rPr>
                <w:rFonts w:hint="eastAsia" w:cs="Times New Roman"/>
                <w:color w:val="000000" w:themeColor="text1"/>
                <w:highlight w:val="none"/>
                <w:lang w:val="en-US" w:eastAsia="zh-CN"/>
                <w14:textFill>
                  <w14:solidFill>
                    <w14:schemeClr w14:val="tx1"/>
                  </w14:solidFill>
                </w14:textFill>
              </w:rPr>
              <w:t>2-8</w:t>
            </w:r>
            <w:r>
              <w:rPr>
                <w:rFonts w:hint="default" w:ascii="Times New Roman" w:hAnsi="Times New Roman" w:eastAsia="宋体" w:cs="Times New Roman"/>
                <w:color w:val="000000" w:themeColor="text1"/>
                <w:highlight w:val="none"/>
                <w14:textFill>
                  <w14:solidFill>
                    <w14:schemeClr w14:val="tx1"/>
                  </w14:solidFill>
                </w14:textFill>
              </w:rPr>
              <w:t xml:space="preserve"> 小时交通量  单位：辆/h（绝对交通量）</w:t>
            </w:r>
          </w:p>
          <w:tbl>
            <w:tblPr>
              <w:tblStyle w:val="30"/>
              <w:tblpPr w:leftFromText="180" w:rightFromText="180" w:vertAnchor="text" w:horzAnchor="margin" w:tblpXSpec="center" w:tblpY="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1217"/>
              <w:gridCol w:w="1027"/>
              <w:gridCol w:w="1327"/>
              <w:gridCol w:w="1026"/>
              <w:gridCol w:w="1062"/>
              <w:gridCol w:w="1075"/>
            </w:tblGrid>
            <w:tr w14:paraId="40748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pct"/>
                  <w:vMerge w:val="restart"/>
                  <w:tcBorders>
                    <w:tl2br w:val="nil"/>
                    <w:tr2bl w:val="nil"/>
                  </w:tcBorders>
                  <w:noWrap w:val="0"/>
                  <w:vAlign w:val="center"/>
                </w:tcPr>
                <w:p w14:paraId="180D038E">
                  <w:pPr>
                    <w:widowControl/>
                    <w:jc w:val="center"/>
                    <w:textAlignment w:val="center"/>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t>车型</w:t>
                  </w:r>
                </w:p>
              </w:tc>
              <w:tc>
                <w:tcPr>
                  <w:tcW w:w="1422" w:type="pct"/>
                  <w:gridSpan w:val="2"/>
                  <w:tcBorders>
                    <w:tl2br w:val="nil"/>
                    <w:tr2bl w:val="nil"/>
                  </w:tcBorders>
                  <w:noWrap w:val="0"/>
                  <w:vAlign w:val="center"/>
                </w:tcPr>
                <w:p w14:paraId="1DE233EF">
                  <w:pPr>
                    <w:keepNext w:val="0"/>
                    <w:keepLines w:val="0"/>
                    <w:pageBreakBefore w:val="0"/>
                    <w:widowControl w:val="0"/>
                    <w:tabs>
                      <w:tab w:val="left" w:pos="357"/>
                      <w:tab w:val="left" w:pos="3342"/>
                    </w:tabs>
                    <w:kinsoku/>
                    <w:wordWrap/>
                    <w:overflowPunct/>
                    <w:topLinePunct w:val="0"/>
                    <w:autoSpaceDE/>
                    <w:autoSpaceDN/>
                    <w:bidi w:val="0"/>
                    <w:adjustRightInd/>
                    <w:snapToGrid/>
                    <w:spacing w:before="60" w:beforeLines="25" w:line="240" w:lineRule="auto"/>
                    <w:jc w:val="center"/>
                    <w:textAlignment w:val="auto"/>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202</w:t>
                  </w:r>
                  <w:r>
                    <w:rPr>
                      <w:rFonts w:hint="eastAsia" w:cs="Times New Roman"/>
                      <w:b/>
                      <w:bCs/>
                      <w:color w:val="000000" w:themeColor="text1"/>
                      <w:sz w:val="21"/>
                      <w:szCs w:val="21"/>
                      <w:highlight w:val="none"/>
                      <w:vertAlign w:val="baseline"/>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年</w:t>
                  </w:r>
                </w:p>
              </w:tc>
              <w:tc>
                <w:tcPr>
                  <w:tcW w:w="1491" w:type="pct"/>
                  <w:gridSpan w:val="2"/>
                  <w:tcBorders>
                    <w:tl2br w:val="nil"/>
                    <w:tr2bl w:val="nil"/>
                  </w:tcBorders>
                  <w:noWrap w:val="0"/>
                  <w:vAlign w:val="center"/>
                </w:tcPr>
                <w:p w14:paraId="5DEA5478">
                  <w:pPr>
                    <w:keepNext w:val="0"/>
                    <w:keepLines w:val="0"/>
                    <w:pageBreakBefore w:val="0"/>
                    <w:widowControl w:val="0"/>
                    <w:tabs>
                      <w:tab w:val="left" w:pos="357"/>
                      <w:tab w:val="left" w:pos="3342"/>
                    </w:tabs>
                    <w:kinsoku/>
                    <w:wordWrap/>
                    <w:overflowPunct/>
                    <w:topLinePunct w:val="0"/>
                    <w:autoSpaceDE/>
                    <w:autoSpaceDN/>
                    <w:bidi w:val="0"/>
                    <w:adjustRightInd/>
                    <w:snapToGrid/>
                    <w:spacing w:before="60" w:beforeLines="25" w:line="240" w:lineRule="auto"/>
                    <w:jc w:val="center"/>
                    <w:textAlignment w:val="auto"/>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20</w:t>
                  </w: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30</w:t>
                  </w: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年</w:t>
                  </w:r>
                </w:p>
              </w:tc>
              <w:tc>
                <w:tcPr>
                  <w:tcW w:w="1354" w:type="pct"/>
                  <w:gridSpan w:val="2"/>
                  <w:tcBorders>
                    <w:tl2br w:val="nil"/>
                    <w:tr2bl w:val="nil"/>
                  </w:tcBorders>
                  <w:noWrap w:val="0"/>
                  <w:vAlign w:val="center"/>
                </w:tcPr>
                <w:p w14:paraId="20F92094">
                  <w:pPr>
                    <w:keepNext w:val="0"/>
                    <w:keepLines w:val="0"/>
                    <w:pageBreakBefore w:val="0"/>
                    <w:widowControl w:val="0"/>
                    <w:tabs>
                      <w:tab w:val="left" w:pos="357"/>
                      <w:tab w:val="left" w:pos="3342"/>
                    </w:tabs>
                    <w:kinsoku/>
                    <w:wordWrap/>
                    <w:overflowPunct/>
                    <w:topLinePunct w:val="0"/>
                    <w:autoSpaceDE/>
                    <w:autoSpaceDN/>
                    <w:bidi w:val="0"/>
                    <w:adjustRightInd/>
                    <w:snapToGrid/>
                    <w:spacing w:before="60" w:beforeLines="25" w:line="240" w:lineRule="auto"/>
                    <w:jc w:val="center"/>
                    <w:textAlignment w:val="auto"/>
                    <w:rPr>
                      <w:rFonts w:hint="eastAsia" w:ascii="Times New Roman" w:hAnsi="Times New Roman" w:eastAsia="宋体" w:cs="Times New Roman"/>
                      <w:b/>
                      <w:bCs/>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20</w:t>
                  </w:r>
                  <w:r>
                    <w:rPr>
                      <w:rFonts w:hint="eastAsia" w:cs="Times New Roman"/>
                      <w:b/>
                      <w:bCs/>
                      <w:color w:val="000000" w:themeColor="text1"/>
                      <w:sz w:val="21"/>
                      <w:szCs w:val="21"/>
                      <w:highlight w:val="none"/>
                      <w:vertAlign w:val="baseline"/>
                      <w:lang w:val="en-US" w:eastAsia="zh-CN"/>
                      <w14:textFill>
                        <w14:solidFill>
                          <w14:schemeClr w14:val="tx1"/>
                        </w14:solidFill>
                      </w14:textFill>
                    </w:rPr>
                    <w:t>40</w:t>
                  </w: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年</w:t>
                  </w:r>
                </w:p>
              </w:tc>
            </w:tr>
            <w:tr w14:paraId="6FE5B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pct"/>
                  <w:vMerge w:val="continue"/>
                  <w:tcBorders>
                    <w:tl2br w:val="nil"/>
                    <w:tr2bl w:val="nil"/>
                  </w:tcBorders>
                  <w:noWrap w:val="0"/>
                  <w:vAlign w:val="center"/>
                </w:tcPr>
                <w:p w14:paraId="2F01C6F5">
                  <w:pPr>
                    <w:widowControl/>
                    <w:jc w:val="center"/>
                    <w:textAlignment w:val="center"/>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pPr>
                </w:p>
              </w:tc>
              <w:tc>
                <w:tcPr>
                  <w:tcW w:w="771" w:type="pct"/>
                  <w:tcBorders>
                    <w:tl2br w:val="nil"/>
                    <w:tr2bl w:val="nil"/>
                  </w:tcBorders>
                  <w:noWrap w:val="0"/>
                  <w:vAlign w:val="center"/>
                </w:tcPr>
                <w:p w14:paraId="515A55E9">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昼间</w:t>
                  </w:r>
                </w:p>
              </w:tc>
              <w:tc>
                <w:tcPr>
                  <w:tcW w:w="651" w:type="pct"/>
                  <w:tcBorders>
                    <w:tl2br w:val="nil"/>
                    <w:tr2bl w:val="nil"/>
                  </w:tcBorders>
                  <w:noWrap w:val="0"/>
                  <w:vAlign w:val="center"/>
                </w:tcPr>
                <w:p w14:paraId="7A979B53">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夜间</w:t>
                  </w:r>
                </w:p>
              </w:tc>
              <w:tc>
                <w:tcPr>
                  <w:tcW w:w="841" w:type="pct"/>
                  <w:tcBorders>
                    <w:tl2br w:val="nil"/>
                    <w:tr2bl w:val="nil"/>
                  </w:tcBorders>
                  <w:noWrap w:val="0"/>
                  <w:vAlign w:val="center"/>
                </w:tcPr>
                <w:p w14:paraId="16419CA4">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昼间</w:t>
                  </w:r>
                </w:p>
              </w:tc>
              <w:tc>
                <w:tcPr>
                  <w:tcW w:w="650" w:type="pct"/>
                  <w:tcBorders>
                    <w:tl2br w:val="nil"/>
                    <w:tr2bl w:val="nil"/>
                  </w:tcBorders>
                  <w:noWrap w:val="0"/>
                  <w:vAlign w:val="center"/>
                </w:tcPr>
                <w:p w14:paraId="3F7D14A2">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夜间</w:t>
                  </w:r>
                </w:p>
              </w:tc>
              <w:tc>
                <w:tcPr>
                  <w:tcW w:w="673" w:type="pct"/>
                  <w:tcBorders>
                    <w:tl2br w:val="nil"/>
                    <w:tr2bl w:val="nil"/>
                  </w:tcBorders>
                  <w:noWrap w:val="0"/>
                  <w:vAlign w:val="center"/>
                </w:tcPr>
                <w:p w14:paraId="2ED74406">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昼间</w:t>
                  </w:r>
                </w:p>
              </w:tc>
              <w:tc>
                <w:tcPr>
                  <w:tcW w:w="680" w:type="pct"/>
                  <w:tcBorders>
                    <w:tl2br w:val="nil"/>
                    <w:tr2bl w:val="nil"/>
                  </w:tcBorders>
                  <w:noWrap w:val="0"/>
                  <w:vAlign w:val="center"/>
                </w:tcPr>
                <w:p w14:paraId="71D2D476">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夜间</w:t>
                  </w:r>
                </w:p>
              </w:tc>
            </w:tr>
            <w:tr w14:paraId="4CA49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l2br w:val="nil"/>
                    <w:tr2bl w:val="nil"/>
                  </w:tcBorders>
                  <w:noWrap w:val="0"/>
                  <w:vAlign w:val="center"/>
                </w:tcPr>
                <w:p w14:paraId="7AF6952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小型车</w:t>
                  </w:r>
                </w:p>
              </w:tc>
              <w:tc>
                <w:tcPr>
                  <w:tcW w:w="1315" w:type="dxa"/>
                  <w:tcBorders>
                    <w:tl2br w:val="nil"/>
                    <w:tr2bl w:val="nil"/>
                  </w:tcBorders>
                  <w:noWrap w:val="0"/>
                  <w:vAlign w:val="center"/>
                </w:tcPr>
                <w:p w14:paraId="711F5D02">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w:t>
                  </w:r>
                </w:p>
              </w:tc>
              <w:tc>
                <w:tcPr>
                  <w:tcW w:w="1110" w:type="dxa"/>
                  <w:tcBorders>
                    <w:tl2br w:val="nil"/>
                    <w:tr2bl w:val="nil"/>
                  </w:tcBorders>
                  <w:noWrap w:val="0"/>
                  <w:vAlign w:val="center"/>
                </w:tcPr>
                <w:p w14:paraId="31B52963">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w:t>
                  </w:r>
                </w:p>
              </w:tc>
              <w:tc>
                <w:tcPr>
                  <w:tcW w:w="1434" w:type="dxa"/>
                  <w:tcBorders>
                    <w:tl2br w:val="nil"/>
                    <w:tr2bl w:val="nil"/>
                  </w:tcBorders>
                  <w:noWrap w:val="0"/>
                  <w:vAlign w:val="center"/>
                </w:tcPr>
                <w:p w14:paraId="69907290">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6</w:t>
                  </w:r>
                </w:p>
              </w:tc>
              <w:tc>
                <w:tcPr>
                  <w:tcW w:w="1109" w:type="dxa"/>
                  <w:tcBorders>
                    <w:tl2br w:val="nil"/>
                    <w:tr2bl w:val="nil"/>
                  </w:tcBorders>
                  <w:noWrap w:val="0"/>
                  <w:vAlign w:val="center"/>
                </w:tcPr>
                <w:p w14:paraId="3B2FC393">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w:t>
                  </w:r>
                </w:p>
              </w:tc>
              <w:tc>
                <w:tcPr>
                  <w:tcW w:w="1148" w:type="dxa"/>
                  <w:tcBorders>
                    <w:tl2br w:val="nil"/>
                    <w:tr2bl w:val="nil"/>
                  </w:tcBorders>
                  <w:noWrap w:val="0"/>
                  <w:vAlign w:val="center"/>
                </w:tcPr>
                <w:p w14:paraId="12B0F16F">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8</w:t>
                  </w:r>
                </w:p>
              </w:tc>
              <w:tc>
                <w:tcPr>
                  <w:tcW w:w="1162" w:type="dxa"/>
                  <w:tcBorders>
                    <w:tl2br w:val="nil"/>
                    <w:tr2bl w:val="nil"/>
                  </w:tcBorders>
                  <w:noWrap w:val="0"/>
                  <w:vAlign w:val="center"/>
                </w:tcPr>
                <w:p w14:paraId="5F927117">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w:t>
                  </w:r>
                </w:p>
              </w:tc>
            </w:tr>
            <w:tr w14:paraId="4CCD3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l2br w:val="nil"/>
                    <w:tr2bl w:val="nil"/>
                  </w:tcBorders>
                  <w:noWrap w:val="0"/>
                  <w:vAlign w:val="center"/>
                </w:tcPr>
                <w:p w14:paraId="13B7AF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中型车</w:t>
                  </w:r>
                </w:p>
              </w:tc>
              <w:tc>
                <w:tcPr>
                  <w:tcW w:w="1315" w:type="dxa"/>
                  <w:tcBorders>
                    <w:tl2br w:val="nil"/>
                    <w:tr2bl w:val="nil"/>
                  </w:tcBorders>
                  <w:noWrap w:val="0"/>
                  <w:vAlign w:val="center"/>
                </w:tcPr>
                <w:p w14:paraId="4CAE1AD1">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p>
              </w:tc>
              <w:tc>
                <w:tcPr>
                  <w:tcW w:w="1110" w:type="dxa"/>
                  <w:tcBorders>
                    <w:tl2br w:val="nil"/>
                    <w:tr2bl w:val="nil"/>
                  </w:tcBorders>
                  <w:noWrap w:val="0"/>
                  <w:vAlign w:val="center"/>
                </w:tcPr>
                <w:p w14:paraId="4E1CCCAC">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p>
              </w:tc>
              <w:tc>
                <w:tcPr>
                  <w:tcW w:w="1434" w:type="dxa"/>
                  <w:tcBorders>
                    <w:tl2br w:val="nil"/>
                    <w:tr2bl w:val="nil"/>
                  </w:tcBorders>
                  <w:noWrap w:val="0"/>
                  <w:vAlign w:val="center"/>
                </w:tcPr>
                <w:p w14:paraId="407C6420">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p>
              </w:tc>
              <w:tc>
                <w:tcPr>
                  <w:tcW w:w="1109" w:type="dxa"/>
                  <w:tcBorders>
                    <w:tl2br w:val="nil"/>
                    <w:tr2bl w:val="nil"/>
                  </w:tcBorders>
                  <w:noWrap w:val="0"/>
                  <w:vAlign w:val="center"/>
                </w:tcPr>
                <w:p w14:paraId="04B70FA1">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p>
              </w:tc>
              <w:tc>
                <w:tcPr>
                  <w:tcW w:w="1148" w:type="dxa"/>
                  <w:tcBorders>
                    <w:tl2br w:val="nil"/>
                    <w:tr2bl w:val="nil"/>
                  </w:tcBorders>
                  <w:noWrap w:val="0"/>
                  <w:vAlign w:val="center"/>
                </w:tcPr>
                <w:p w14:paraId="2BDE8766">
                  <w:pPr>
                    <w:adjustRightInd w:val="0"/>
                    <w:snapToGrid w:val="0"/>
                    <w:jc w:val="center"/>
                    <w:rPr>
                      <w:rFonts w:hint="eastAsia"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p>
              </w:tc>
              <w:tc>
                <w:tcPr>
                  <w:tcW w:w="1162" w:type="dxa"/>
                  <w:tcBorders>
                    <w:tl2br w:val="nil"/>
                    <w:tr2bl w:val="nil"/>
                  </w:tcBorders>
                  <w:noWrap w:val="0"/>
                  <w:vAlign w:val="center"/>
                </w:tcPr>
                <w:p w14:paraId="6035715A">
                  <w:pPr>
                    <w:adjustRightInd w:val="0"/>
                    <w:snapToGrid w:val="0"/>
                    <w:jc w:val="center"/>
                    <w:rPr>
                      <w:rFonts w:hint="eastAsia"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p>
              </w:tc>
            </w:tr>
            <w:tr w14:paraId="09AD9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l2br w:val="nil"/>
                    <w:tr2bl w:val="nil"/>
                  </w:tcBorders>
                  <w:noWrap w:val="0"/>
                  <w:vAlign w:val="center"/>
                </w:tcPr>
                <w:p w14:paraId="7607E8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大型车</w:t>
                  </w:r>
                </w:p>
              </w:tc>
              <w:tc>
                <w:tcPr>
                  <w:tcW w:w="1315" w:type="dxa"/>
                  <w:tcBorders>
                    <w:tl2br w:val="nil"/>
                    <w:tr2bl w:val="nil"/>
                  </w:tcBorders>
                  <w:noWrap w:val="0"/>
                  <w:vAlign w:val="center"/>
                </w:tcPr>
                <w:p w14:paraId="7B2F5571">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w:t>
                  </w:r>
                </w:p>
              </w:tc>
              <w:tc>
                <w:tcPr>
                  <w:tcW w:w="1110" w:type="dxa"/>
                  <w:tcBorders>
                    <w:tl2br w:val="nil"/>
                    <w:tr2bl w:val="nil"/>
                  </w:tcBorders>
                  <w:noWrap w:val="0"/>
                  <w:vAlign w:val="center"/>
                </w:tcPr>
                <w:p w14:paraId="04B3B946">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p>
              </w:tc>
              <w:tc>
                <w:tcPr>
                  <w:tcW w:w="1434" w:type="dxa"/>
                  <w:tcBorders>
                    <w:tl2br w:val="nil"/>
                    <w:tr2bl w:val="nil"/>
                  </w:tcBorders>
                  <w:noWrap w:val="0"/>
                  <w:vAlign w:val="center"/>
                </w:tcPr>
                <w:p w14:paraId="4251DE1D">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w:t>
                  </w:r>
                </w:p>
              </w:tc>
              <w:tc>
                <w:tcPr>
                  <w:tcW w:w="1109" w:type="dxa"/>
                  <w:tcBorders>
                    <w:tl2br w:val="nil"/>
                    <w:tr2bl w:val="nil"/>
                  </w:tcBorders>
                  <w:noWrap w:val="0"/>
                  <w:vAlign w:val="center"/>
                </w:tcPr>
                <w:p w14:paraId="5F6E07B8">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p>
              </w:tc>
              <w:tc>
                <w:tcPr>
                  <w:tcW w:w="1148" w:type="dxa"/>
                  <w:tcBorders>
                    <w:tl2br w:val="nil"/>
                    <w:tr2bl w:val="nil"/>
                  </w:tcBorders>
                  <w:noWrap w:val="0"/>
                  <w:vAlign w:val="center"/>
                </w:tcPr>
                <w:p w14:paraId="119344ED">
                  <w:pPr>
                    <w:adjustRightInd w:val="0"/>
                    <w:snapToGrid w:val="0"/>
                    <w:jc w:val="center"/>
                    <w:rPr>
                      <w:rFonts w:hint="eastAsia"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w:t>
                  </w:r>
                </w:p>
              </w:tc>
              <w:tc>
                <w:tcPr>
                  <w:tcW w:w="1162" w:type="dxa"/>
                  <w:tcBorders>
                    <w:tl2br w:val="nil"/>
                    <w:tr2bl w:val="nil"/>
                  </w:tcBorders>
                  <w:noWrap w:val="0"/>
                  <w:vAlign w:val="center"/>
                </w:tcPr>
                <w:p w14:paraId="2DFAF541">
                  <w:pPr>
                    <w:adjustRightInd w:val="0"/>
                    <w:snapToGrid w:val="0"/>
                    <w:jc w:val="center"/>
                    <w:rPr>
                      <w:rFonts w:hint="eastAsia"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p>
              </w:tc>
            </w:tr>
            <w:tr w14:paraId="56BCF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Borders>
                    <w:tl2br w:val="nil"/>
                    <w:tr2bl w:val="nil"/>
                  </w:tcBorders>
                  <w:noWrap w:val="0"/>
                  <w:vAlign w:val="center"/>
                </w:tcPr>
                <w:p w14:paraId="2B8738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合计</w:t>
                  </w:r>
                </w:p>
              </w:tc>
              <w:tc>
                <w:tcPr>
                  <w:tcW w:w="1315" w:type="dxa"/>
                  <w:tcBorders>
                    <w:tl2br w:val="nil"/>
                    <w:tr2bl w:val="nil"/>
                  </w:tcBorders>
                  <w:noWrap w:val="0"/>
                  <w:vAlign w:val="center"/>
                </w:tcPr>
                <w:p w14:paraId="13F49964">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9</w:t>
                  </w:r>
                </w:p>
              </w:tc>
              <w:tc>
                <w:tcPr>
                  <w:tcW w:w="1110" w:type="dxa"/>
                  <w:tcBorders>
                    <w:tl2br w:val="nil"/>
                    <w:tr2bl w:val="nil"/>
                  </w:tcBorders>
                  <w:noWrap w:val="0"/>
                  <w:vAlign w:val="center"/>
                </w:tcPr>
                <w:p w14:paraId="43FA6757">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6</w:t>
                  </w:r>
                </w:p>
              </w:tc>
              <w:tc>
                <w:tcPr>
                  <w:tcW w:w="1434" w:type="dxa"/>
                  <w:tcBorders>
                    <w:tl2br w:val="nil"/>
                    <w:tr2bl w:val="nil"/>
                  </w:tcBorders>
                  <w:noWrap w:val="0"/>
                  <w:vAlign w:val="center"/>
                </w:tcPr>
                <w:p w14:paraId="6506E62B">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10</w:t>
                  </w:r>
                </w:p>
              </w:tc>
              <w:tc>
                <w:tcPr>
                  <w:tcW w:w="1109" w:type="dxa"/>
                  <w:tcBorders>
                    <w:tl2br w:val="nil"/>
                    <w:tr2bl w:val="nil"/>
                  </w:tcBorders>
                  <w:noWrap w:val="0"/>
                  <w:vAlign w:val="center"/>
                </w:tcPr>
                <w:p w14:paraId="286AEFBC">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6</w:t>
                  </w:r>
                </w:p>
              </w:tc>
              <w:tc>
                <w:tcPr>
                  <w:tcW w:w="1148" w:type="dxa"/>
                  <w:tcBorders>
                    <w:tl2br w:val="nil"/>
                    <w:tr2bl w:val="nil"/>
                  </w:tcBorders>
                  <w:noWrap w:val="0"/>
                  <w:vAlign w:val="center"/>
                </w:tcPr>
                <w:p w14:paraId="2CC2243B">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13</w:t>
                  </w:r>
                </w:p>
              </w:tc>
              <w:tc>
                <w:tcPr>
                  <w:tcW w:w="1162" w:type="dxa"/>
                  <w:tcBorders>
                    <w:tl2br w:val="nil"/>
                    <w:tr2bl w:val="nil"/>
                  </w:tcBorders>
                  <w:noWrap w:val="0"/>
                  <w:vAlign w:val="center"/>
                </w:tcPr>
                <w:p w14:paraId="22F73CBE">
                  <w:pPr>
                    <w:adjustRightInd w:val="0"/>
                    <w:snapToGrid w:val="0"/>
                    <w:jc w:val="cente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7</w:t>
                  </w:r>
                </w:p>
              </w:tc>
            </w:tr>
          </w:tbl>
          <w:p w14:paraId="6C8E264D">
            <w:pPr>
              <w:widowControl/>
              <w:spacing w:line="360" w:lineRule="auto"/>
              <w:ind w:firstLine="480" w:firstLineChars="200"/>
              <w:jc w:val="left"/>
              <w:rPr>
                <w:rFonts w:hint="default" w:eastAsia="宋体" w:cs="Times New Roman"/>
                <w:color w:val="000000" w:themeColor="text1"/>
                <w:sz w:val="24"/>
                <w:highlight w:val="none"/>
                <w:lang w:val="en-US" w:eastAsia="zh-CN"/>
                <w14:textFill>
                  <w14:solidFill>
                    <w14:schemeClr w14:val="tx1"/>
                  </w14:solidFill>
                </w14:textFill>
              </w:rPr>
            </w:pPr>
          </w:p>
        </w:tc>
      </w:tr>
      <w:tr w14:paraId="015045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shd w:val="clear" w:color="auto" w:fill="auto"/>
            <w:vAlign w:val="center"/>
          </w:tcPr>
          <w:p w14:paraId="3220CDC6">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4754" w:type="pct"/>
            <w:vMerge w:val="continue"/>
            <w:shd w:val="clear" w:color="auto" w:fill="auto"/>
            <w:vAlign w:val="center"/>
          </w:tcPr>
          <w:p w14:paraId="5F71AB03">
            <w:pPr>
              <w:widowControl/>
              <w:spacing w:line="360" w:lineRule="auto"/>
              <w:ind w:firstLine="420" w:firstLineChars="200"/>
              <w:jc w:val="left"/>
              <w:rPr>
                <w:rFonts w:hint="default" w:ascii="Times New Roman" w:hAnsi="Times New Roman" w:eastAsia="宋体" w:cs="Times New Roman"/>
                <w:color w:val="000000" w:themeColor="text1"/>
                <w:highlight w:val="none"/>
                <w14:textFill>
                  <w14:solidFill>
                    <w14:schemeClr w14:val="tx1"/>
                  </w14:solidFill>
                </w14:textFill>
              </w:rPr>
            </w:pPr>
          </w:p>
        </w:tc>
      </w:tr>
      <w:tr w14:paraId="68A887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shd w:val="clear" w:color="auto" w:fill="auto"/>
            <w:vAlign w:val="center"/>
          </w:tcPr>
          <w:p w14:paraId="39355C0D">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总平面及现场布置</w:t>
            </w:r>
          </w:p>
        </w:tc>
        <w:tc>
          <w:tcPr>
            <w:tcW w:w="4754" w:type="pct"/>
            <w:shd w:val="clear" w:color="auto" w:fill="auto"/>
            <w:vAlign w:val="center"/>
          </w:tcPr>
          <w:p w14:paraId="72567074">
            <w:pPr>
              <w:adjustRightInd w:val="0"/>
              <w:snapToGrid w:val="0"/>
              <w:spacing w:line="360" w:lineRule="auto"/>
              <w:ind w:firstLine="482" w:firstLineChars="200"/>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1.路线走向及主要控制点</w:t>
            </w:r>
          </w:p>
          <w:p w14:paraId="64CDBDD0">
            <w:pPr>
              <w:adjustRightInd w:val="0"/>
              <w:snapToGrid w:val="0"/>
              <w:spacing w:line="360" w:lineRule="auto"/>
              <w:ind w:firstLine="482"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（1）路线走向</w:t>
            </w:r>
          </w:p>
          <w:p w14:paraId="1CCC7981">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线路总体呈西—东走向，起点坐标：东经 117°47′13.81″，北纬 44°8′25.90″，桩号 K0+000；终点坐标：东经 117°50′53.81″，北纬 44°8′43.47″，桩号 K5+652.557；路线全长 5.653 公里。</w:t>
            </w:r>
          </w:p>
          <w:p w14:paraId="04CE5A53">
            <w:pPr>
              <w:adjustRightInd w:val="0"/>
              <w:snapToGrid w:val="0"/>
              <w:spacing w:line="360" w:lineRule="auto"/>
              <w:ind w:firstLine="482" w:firstLineChars="200"/>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（2）主要控制点</w:t>
            </w:r>
          </w:p>
          <w:p w14:paraId="18427C5E">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主要控制点为公路始终点。</w:t>
            </w:r>
          </w:p>
          <w:p w14:paraId="24891C50">
            <w:pPr>
              <w:adjustRightInd w:val="0"/>
              <w:snapToGrid w:val="0"/>
              <w:spacing w:line="360" w:lineRule="auto"/>
              <w:ind w:firstLine="482"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2.临时工程占地及平面布置</w:t>
            </w:r>
          </w:p>
          <w:p w14:paraId="4F45971A">
            <w:pPr>
              <w:widowControl/>
              <w:spacing w:line="360" w:lineRule="auto"/>
              <w:ind w:firstLine="480"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全线共设置施工场地（包含拌和站及生活区）1 处，施工生活区与拌和站同址建设，位于桩号 K0+000 处右侧，地理坐标：东经 117°47′11.61″，北纬 44°8′25.06″，占地类型为草地，占地面积为 0.40hm</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w:t>
            </w:r>
          </w:p>
          <w:p w14:paraId="285C2FD9">
            <w:pPr>
              <w:widowControl/>
              <w:spacing w:line="360" w:lineRule="auto"/>
              <w:ind w:firstLine="480"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本项目沿线交通网齐全，主要有国道 G306 线及其他乡村道路，施工期间对外交通利用这些道路作为材料运输通道，另外修筑施工便道 6.4km，其中沿路基纵向运营、施工便道长 5.5km，平均宽 3.5m，占地面积 1.93hm2；取土场施工便道长 0.9km，宽 8m，占地面积 0.72hm</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w:t>
            </w:r>
          </w:p>
          <w:p w14:paraId="040A3066">
            <w:pPr>
              <w:widowControl/>
              <w:spacing w:line="360" w:lineRule="auto"/>
              <w:ind w:firstLine="480"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全线共设置取土场 1处，位于桩号 K0+000 右侧约 2km 处，地理坐标：东经 117°45′53.59″，北纬 44°8′53.58″，占地类型为草地，占地面积为 2.14hm</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w:t>
            </w:r>
          </w:p>
          <w:p w14:paraId="36DD48BC">
            <w:pPr>
              <w:widowControl/>
              <w:spacing w:line="360" w:lineRule="auto"/>
              <w:ind w:firstLine="480" w:firstLineChars="200"/>
              <w:rPr>
                <w:rFonts w:hint="eastAsia"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设置表土堆放区 1 处，位于路线桩号 K0+670 右侧</w:t>
            </w:r>
            <w:r>
              <w:rPr>
                <w:rFonts w:hint="eastAsia" w:cs="Times New Roman"/>
                <w:color w:val="000000" w:themeColor="text1"/>
                <w:kern w:val="0"/>
                <w:sz w:val="24"/>
                <w:highlight w:val="none"/>
                <w:lang w:val="en-US" w:eastAsia="zh-CN"/>
                <w14:textFill>
                  <w14:solidFill>
                    <w14:schemeClr w14:val="tx1"/>
                  </w14:solidFill>
                </w14:textFill>
              </w:rPr>
              <w:t>。</w:t>
            </w:r>
          </w:p>
          <w:p w14:paraId="3E09D2A0">
            <w:pPr>
              <w:widowControl/>
              <w:spacing w:line="360" w:lineRule="auto"/>
              <w:ind w:firstLine="482" w:firstLineChars="200"/>
              <w:rPr>
                <w:rFonts w:hint="default" w:cs="Times New Roman"/>
                <w:b/>
                <w:bCs/>
                <w:color w:val="000000" w:themeColor="text1"/>
                <w:kern w:val="0"/>
                <w:sz w:val="24"/>
                <w:highlight w:val="none"/>
                <w:lang w:val="en-US" w:eastAsia="zh-CN"/>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3、</w:t>
            </w:r>
            <w:r>
              <w:rPr>
                <w:rFonts w:hint="default" w:cs="Times New Roman"/>
                <w:b/>
                <w:bCs/>
                <w:color w:val="000000" w:themeColor="text1"/>
                <w:kern w:val="0"/>
                <w:sz w:val="24"/>
                <w:highlight w:val="none"/>
                <w:lang w:val="en-US" w:eastAsia="zh-CN"/>
                <w14:textFill>
                  <w14:solidFill>
                    <w14:schemeClr w14:val="tx1"/>
                  </w14:solidFill>
                </w14:textFill>
              </w:rPr>
              <w:t xml:space="preserve">工程占地 </w:t>
            </w:r>
          </w:p>
          <w:p w14:paraId="6EAC5F04">
            <w:pPr>
              <w:widowControl/>
              <w:spacing w:line="360" w:lineRule="auto"/>
              <w:ind w:firstLine="480" w:firstLineChars="200"/>
              <w:rPr>
                <w:rFonts w:hint="default" w:cs="Times New Roman"/>
                <w:color w:val="000000" w:themeColor="text1"/>
                <w:kern w:val="0"/>
                <w:sz w:val="24"/>
                <w:highlight w:val="none"/>
                <w:lang w:val="en-US" w:eastAsia="zh-CN"/>
                <w14:textFill>
                  <w14:solidFill>
                    <w14:schemeClr w14:val="tx1"/>
                  </w14:solidFill>
                </w14:textFill>
              </w:rPr>
            </w:pPr>
            <w:r>
              <w:rPr>
                <w:rFonts w:hint="default" w:cs="Times New Roman"/>
                <w:color w:val="000000" w:themeColor="text1"/>
                <w:kern w:val="0"/>
                <w:sz w:val="24"/>
                <w:highlight w:val="none"/>
                <w:lang w:val="en-US" w:eastAsia="zh-CN"/>
                <w14:textFill>
                  <w14:solidFill>
                    <w14:schemeClr w14:val="tx1"/>
                  </w14:solidFill>
                </w14:textFill>
              </w:rPr>
              <w:t>根据征占地相关文件、工程施工图资料，本工程总占地面积 12.79hm</w:t>
            </w:r>
            <w:r>
              <w:rPr>
                <w:rFonts w:hint="default" w:cs="Times New Roman"/>
                <w:color w:val="000000" w:themeColor="text1"/>
                <w:kern w:val="0"/>
                <w:sz w:val="24"/>
                <w:highlight w:val="none"/>
                <w:vertAlign w:val="superscript"/>
                <w:lang w:val="en-US" w:eastAsia="zh-CN"/>
                <w14:textFill>
                  <w14:solidFill>
                    <w14:schemeClr w14:val="tx1"/>
                  </w14:solidFill>
                </w14:textFill>
              </w:rPr>
              <w:t>2</w:t>
            </w:r>
            <w:r>
              <w:rPr>
                <w:rFonts w:hint="default" w:cs="Times New Roman"/>
                <w:color w:val="000000" w:themeColor="text1"/>
                <w:kern w:val="0"/>
                <w:sz w:val="24"/>
                <w:highlight w:val="none"/>
                <w:lang w:val="en-US" w:eastAsia="zh-CN"/>
                <w14:textFill>
                  <w14:solidFill>
                    <w14:schemeClr w14:val="tx1"/>
                  </w14:solidFill>
                </w14:textFill>
              </w:rPr>
              <w:t>，其中永久占地 6.95hm</w:t>
            </w:r>
            <w:r>
              <w:rPr>
                <w:rFonts w:hint="default" w:cs="Times New Roman"/>
                <w:color w:val="000000" w:themeColor="text1"/>
                <w:kern w:val="0"/>
                <w:sz w:val="24"/>
                <w:highlight w:val="none"/>
                <w:vertAlign w:val="superscript"/>
                <w:lang w:val="en-US" w:eastAsia="zh-CN"/>
                <w14:textFill>
                  <w14:solidFill>
                    <w14:schemeClr w14:val="tx1"/>
                  </w14:solidFill>
                </w14:textFill>
              </w:rPr>
              <w:t>2</w:t>
            </w:r>
            <w:r>
              <w:rPr>
                <w:rFonts w:hint="default" w:cs="Times New Roman"/>
                <w:color w:val="000000" w:themeColor="text1"/>
                <w:kern w:val="0"/>
                <w:sz w:val="24"/>
                <w:highlight w:val="none"/>
                <w:lang w:val="en-US" w:eastAsia="zh-CN"/>
                <w14:textFill>
                  <w14:solidFill>
                    <w14:schemeClr w14:val="tx1"/>
                  </w14:solidFill>
                </w14:textFill>
              </w:rPr>
              <w:t>，临时占地 5.84hm</w:t>
            </w:r>
            <w:r>
              <w:rPr>
                <w:rFonts w:hint="default" w:cs="Times New Roman"/>
                <w:color w:val="000000" w:themeColor="text1"/>
                <w:kern w:val="0"/>
                <w:sz w:val="24"/>
                <w:highlight w:val="none"/>
                <w:vertAlign w:val="superscript"/>
                <w:lang w:val="en-US" w:eastAsia="zh-CN"/>
                <w14:textFill>
                  <w14:solidFill>
                    <w14:schemeClr w14:val="tx1"/>
                  </w14:solidFill>
                </w14:textFill>
              </w:rPr>
              <w:t>2</w:t>
            </w:r>
            <w:r>
              <w:rPr>
                <w:rFonts w:hint="default" w:cs="Times New Roman"/>
                <w:color w:val="000000" w:themeColor="text1"/>
                <w:kern w:val="0"/>
                <w:sz w:val="24"/>
                <w:highlight w:val="none"/>
                <w:lang w:val="en-US" w:eastAsia="zh-CN"/>
                <w14:textFill>
                  <w14:solidFill>
                    <w14:schemeClr w14:val="tx1"/>
                  </w14:solidFill>
                </w14:textFill>
              </w:rPr>
              <w:t>，占地类型为草地。工程占地详见表 2-</w:t>
            </w:r>
            <w:r>
              <w:rPr>
                <w:rFonts w:hint="eastAsia" w:cs="Times New Roman"/>
                <w:color w:val="000000" w:themeColor="text1"/>
                <w:kern w:val="0"/>
                <w:sz w:val="24"/>
                <w:highlight w:val="none"/>
                <w:lang w:val="en-US" w:eastAsia="zh-CN"/>
                <w14:textFill>
                  <w14:solidFill>
                    <w14:schemeClr w14:val="tx1"/>
                  </w14:solidFill>
                </w14:textFill>
              </w:rPr>
              <w:t>9</w:t>
            </w:r>
            <w:r>
              <w:rPr>
                <w:rFonts w:hint="default" w:cs="Times New Roman"/>
                <w:color w:val="000000" w:themeColor="text1"/>
                <w:kern w:val="0"/>
                <w:sz w:val="24"/>
                <w:highlight w:val="none"/>
                <w:lang w:val="en-US" w:eastAsia="zh-CN"/>
                <w14:textFill>
                  <w14:solidFill>
                    <w14:schemeClr w14:val="tx1"/>
                  </w14:solidFill>
                </w14:textFill>
              </w:rPr>
              <w:t>。</w:t>
            </w:r>
          </w:p>
          <w:p w14:paraId="5B6F3D6F">
            <w:pPr>
              <w:widowControl/>
              <w:spacing w:line="360" w:lineRule="auto"/>
              <w:ind w:firstLine="482" w:firstLineChars="200"/>
              <w:jc w:val="center"/>
              <w:rPr>
                <w:rFonts w:hint="default" w:cs="Times New Roman"/>
                <w:b/>
                <w:bCs/>
                <w:color w:val="000000" w:themeColor="text1"/>
                <w:kern w:val="0"/>
                <w:sz w:val="24"/>
                <w:highlight w:val="none"/>
                <w:vertAlign w:val="baseline"/>
                <w:lang w:val="en-US" w:eastAsia="zh-CN"/>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表2-9 工程占地汇总表  单位：hm</w:t>
            </w:r>
            <w:r>
              <w:rPr>
                <w:rFonts w:hint="eastAsia" w:cs="Times New Roman"/>
                <w:b/>
                <w:bCs/>
                <w:color w:val="000000" w:themeColor="text1"/>
                <w:kern w:val="0"/>
                <w:sz w:val="24"/>
                <w:highlight w:val="none"/>
                <w:vertAlign w:val="superscript"/>
                <w:lang w:val="en-US" w:eastAsia="zh-CN"/>
                <w14:textFill>
                  <w14:solidFill>
                    <w14:schemeClr w14:val="tx1"/>
                  </w14:solidFill>
                </w14:textFill>
              </w:rPr>
              <w:t>2</w:t>
            </w:r>
          </w:p>
          <w:tbl>
            <w:tblPr>
              <w:tblStyle w:val="3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34"/>
              <w:gridCol w:w="1492"/>
              <w:gridCol w:w="1492"/>
              <w:gridCol w:w="975"/>
              <w:gridCol w:w="1493"/>
            </w:tblGrid>
            <w:tr w14:paraId="31F92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1543" w:type="pct"/>
                  <w:vMerge w:val="restart"/>
                  <w:tcBorders>
                    <w:top w:val="single" w:color="474747" w:sz="8" w:space="0"/>
                    <w:left w:val="single" w:color="474747" w:sz="8" w:space="0"/>
                    <w:bottom w:val="single" w:color="888E93" w:sz="8" w:space="0"/>
                    <w:right w:val="single" w:color="888E93" w:sz="8" w:space="0"/>
                  </w:tcBorders>
                  <w:shd w:val="clear" w:color="auto" w:fill="FFFFFF"/>
                  <w:vAlign w:val="center"/>
                </w:tcPr>
                <w:p w14:paraId="482CD849">
                  <w:pPr>
                    <w:keepNext w:val="0"/>
                    <w:keepLines w:val="0"/>
                    <w:widowControl/>
                    <w:suppressLineNumbers w:val="0"/>
                    <w:jc w:val="center"/>
                    <w:textAlignment w:val="center"/>
                    <w:rPr>
                      <w:rFonts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防治分区</w:t>
                  </w:r>
                </w:p>
              </w:tc>
              <w:tc>
                <w:tcPr>
                  <w:tcW w:w="2510" w:type="pct"/>
                  <w:gridSpan w:val="3"/>
                  <w:tcBorders>
                    <w:top w:val="single" w:color="474747" w:sz="8" w:space="0"/>
                    <w:left w:val="single" w:color="888E93" w:sz="8" w:space="0"/>
                    <w:bottom w:val="single" w:color="888E93" w:sz="8" w:space="0"/>
                    <w:right w:val="single" w:color="888E93" w:sz="8" w:space="0"/>
                  </w:tcBorders>
                  <w:shd w:val="clear" w:color="auto" w:fill="FFFFFF"/>
                  <w:vAlign w:val="center"/>
                </w:tcPr>
                <w:p w14:paraId="7C0F23BF">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占地性质</w:t>
                  </w:r>
                </w:p>
              </w:tc>
              <w:tc>
                <w:tcPr>
                  <w:tcW w:w="946" w:type="pct"/>
                  <w:tcBorders>
                    <w:top w:val="single" w:color="474747" w:sz="8" w:space="0"/>
                    <w:left w:val="single" w:color="888E93" w:sz="8" w:space="0"/>
                    <w:bottom w:val="single" w:color="888E93" w:sz="8" w:space="0"/>
                    <w:right w:val="single" w:color="474747" w:sz="8" w:space="0"/>
                  </w:tcBorders>
                  <w:shd w:val="clear" w:color="auto" w:fill="FFFFFF"/>
                  <w:vAlign w:val="center"/>
                </w:tcPr>
                <w:p w14:paraId="295A827F">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占地类型</w:t>
                  </w:r>
                </w:p>
              </w:tc>
            </w:tr>
            <w:tr w14:paraId="386EA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43" w:type="pct"/>
                  <w:vMerge w:val="continue"/>
                  <w:tcBorders>
                    <w:top w:val="single" w:color="474747" w:sz="8" w:space="0"/>
                    <w:left w:val="single" w:color="474747" w:sz="8" w:space="0"/>
                    <w:bottom w:val="single" w:color="888E93" w:sz="8" w:space="0"/>
                    <w:right w:val="single" w:color="888E93" w:sz="8" w:space="0"/>
                  </w:tcBorders>
                  <w:shd w:val="clear" w:color="auto" w:fill="FFFFFF"/>
                  <w:vAlign w:val="center"/>
                </w:tcPr>
                <w:p w14:paraId="72EAA1CA">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94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3498F16F">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永久占地</w:t>
                  </w:r>
                </w:p>
              </w:tc>
              <w:tc>
                <w:tcPr>
                  <w:tcW w:w="94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02AD83CD">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临时占地</w:t>
                  </w:r>
                </w:p>
              </w:tc>
              <w:tc>
                <w:tcPr>
                  <w:tcW w:w="618"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05003847">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合计</w:t>
                  </w:r>
                </w:p>
              </w:tc>
              <w:tc>
                <w:tcPr>
                  <w:tcW w:w="946"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6E3F6707">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草地</w:t>
                  </w:r>
                </w:p>
              </w:tc>
            </w:tr>
            <w:tr w14:paraId="569AD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543"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7E21B0C3">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路基工程区</w:t>
                  </w:r>
                </w:p>
              </w:tc>
              <w:tc>
                <w:tcPr>
                  <w:tcW w:w="94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330662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6.95</w:t>
                  </w:r>
                </w:p>
              </w:tc>
              <w:tc>
                <w:tcPr>
                  <w:tcW w:w="94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674921A">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618"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2C8EC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6.95</w:t>
                  </w:r>
                </w:p>
              </w:tc>
              <w:tc>
                <w:tcPr>
                  <w:tcW w:w="946"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22AF18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6.95</w:t>
                  </w:r>
                </w:p>
              </w:tc>
            </w:tr>
            <w:tr w14:paraId="09058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543"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6548CE7E">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施工生产生活区</w:t>
                  </w:r>
                </w:p>
              </w:tc>
              <w:tc>
                <w:tcPr>
                  <w:tcW w:w="94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A7B6EDE">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94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1468E3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0.41</w:t>
                  </w:r>
                </w:p>
              </w:tc>
              <w:tc>
                <w:tcPr>
                  <w:tcW w:w="618"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79ED47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0.41</w:t>
                  </w:r>
                </w:p>
              </w:tc>
              <w:tc>
                <w:tcPr>
                  <w:tcW w:w="946"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747D39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0.41</w:t>
                  </w:r>
                </w:p>
              </w:tc>
            </w:tr>
            <w:tr w14:paraId="1E4A6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543"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0568CE62">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取土场</w:t>
                  </w:r>
                </w:p>
              </w:tc>
              <w:tc>
                <w:tcPr>
                  <w:tcW w:w="94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6F20C864">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94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10D617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2.14</w:t>
                  </w:r>
                </w:p>
              </w:tc>
              <w:tc>
                <w:tcPr>
                  <w:tcW w:w="618"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B0FB3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2.14</w:t>
                  </w:r>
                </w:p>
              </w:tc>
              <w:tc>
                <w:tcPr>
                  <w:tcW w:w="946"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6F88E1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2.14</w:t>
                  </w:r>
                </w:p>
              </w:tc>
            </w:tr>
            <w:tr w14:paraId="170F2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543"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7D47C9A0">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施工便道</w:t>
                  </w:r>
                </w:p>
              </w:tc>
              <w:tc>
                <w:tcPr>
                  <w:tcW w:w="94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7358E4FD">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94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A43FF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2.65</w:t>
                  </w:r>
                </w:p>
              </w:tc>
              <w:tc>
                <w:tcPr>
                  <w:tcW w:w="618"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323E80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2.65</w:t>
                  </w:r>
                </w:p>
              </w:tc>
              <w:tc>
                <w:tcPr>
                  <w:tcW w:w="946"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457DA9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2.65</w:t>
                  </w:r>
                </w:p>
              </w:tc>
            </w:tr>
            <w:tr w14:paraId="08537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543" w:type="pct"/>
                  <w:tcBorders>
                    <w:top w:val="single" w:color="888E93" w:sz="8" w:space="0"/>
                    <w:left w:val="single" w:color="474747" w:sz="8" w:space="0"/>
                    <w:bottom w:val="single" w:color="888E93" w:sz="8" w:space="0"/>
                    <w:right w:val="single" w:color="888E93" w:sz="8" w:space="0"/>
                  </w:tcBorders>
                  <w:shd w:val="clear" w:color="auto" w:fill="FFFFFF"/>
                  <w:vAlign w:val="center"/>
                </w:tcPr>
                <w:p w14:paraId="7AC8E115">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表土堆放场</w:t>
                  </w:r>
                </w:p>
              </w:tc>
              <w:tc>
                <w:tcPr>
                  <w:tcW w:w="94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0236FAE0">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946"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661294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0.64</w:t>
                  </w:r>
                </w:p>
              </w:tc>
              <w:tc>
                <w:tcPr>
                  <w:tcW w:w="618"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15A561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0.64</w:t>
                  </w:r>
                </w:p>
              </w:tc>
              <w:tc>
                <w:tcPr>
                  <w:tcW w:w="946"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0EF625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0.64</w:t>
                  </w:r>
                </w:p>
              </w:tc>
            </w:tr>
            <w:tr w14:paraId="0DCB4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43" w:type="pct"/>
                  <w:tcBorders>
                    <w:top w:val="single" w:color="888E93" w:sz="8" w:space="0"/>
                    <w:left w:val="single" w:color="474747" w:sz="8" w:space="0"/>
                    <w:bottom w:val="single" w:color="474747" w:sz="8" w:space="0"/>
                    <w:right w:val="single" w:color="888E93" w:sz="8" w:space="0"/>
                  </w:tcBorders>
                  <w:shd w:val="clear" w:color="auto" w:fill="FFFFFF"/>
                  <w:vAlign w:val="center"/>
                </w:tcPr>
                <w:p w14:paraId="734840ED">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合计</w:t>
                  </w:r>
                </w:p>
              </w:tc>
              <w:tc>
                <w:tcPr>
                  <w:tcW w:w="946"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7C2BFD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6.95</w:t>
                  </w:r>
                </w:p>
              </w:tc>
              <w:tc>
                <w:tcPr>
                  <w:tcW w:w="946"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4E82EA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5.84</w:t>
                  </w:r>
                </w:p>
              </w:tc>
              <w:tc>
                <w:tcPr>
                  <w:tcW w:w="618"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0FCDD6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12.79</w:t>
                  </w:r>
                </w:p>
              </w:tc>
              <w:tc>
                <w:tcPr>
                  <w:tcW w:w="946" w:type="pct"/>
                  <w:tcBorders>
                    <w:top w:val="single" w:color="888E93" w:sz="8" w:space="0"/>
                    <w:left w:val="single" w:color="888E93" w:sz="8" w:space="0"/>
                    <w:bottom w:val="single" w:color="474747" w:sz="8" w:space="0"/>
                    <w:right w:val="single" w:color="474747" w:sz="8" w:space="0"/>
                  </w:tcBorders>
                  <w:shd w:val="clear" w:color="auto" w:fill="FFFFFF"/>
                  <w:vAlign w:val="center"/>
                </w:tcPr>
                <w:p w14:paraId="6A6683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12.79</w:t>
                  </w:r>
                </w:p>
              </w:tc>
            </w:tr>
          </w:tbl>
          <w:p w14:paraId="4C9F86F4">
            <w:pPr>
              <w:widowControl/>
              <w:spacing w:line="360" w:lineRule="auto"/>
              <w:ind w:firstLine="480" w:firstLineChars="200"/>
              <w:rPr>
                <w:rFonts w:hint="default" w:cs="Times New Roman"/>
                <w:color w:val="000000" w:themeColor="text1"/>
                <w:kern w:val="0"/>
                <w:sz w:val="24"/>
                <w:highlight w:val="none"/>
                <w:lang w:val="en-US" w:eastAsia="zh-CN"/>
                <w14:textFill>
                  <w14:solidFill>
                    <w14:schemeClr w14:val="tx1"/>
                  </w14:solidFill>
                </w14:textFill>
              </w:rPr>
            </w:pPr>
          </w:p>
        </w:tc>
      </w:tr>
      <w:tr w14:paraId="4152AB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shd w:val="clear" w:color="auto" w:fill="auto"/>
            <w:vAlign w:val="center"/>
          </w:tcPr>
          <w:p w14:paraId="32823379">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施工方案</w:t>
            </w:r>
          </w:p>
        </w:tc>
        <w:tc>
          <w:tcPr>
            <w:tcW w:w="4754" w:type="pct"/>
            <w:shd w:val="clear" w:color="auto" w:fill="auto"/>
            <w:vAlign w:val="center"/>
          </w:tcPr>
          <w:p w14:paraId="35D3AD59">
            <w:pPr>
              <w:widowControl/>
              <w:spacing w:line="360" w:lineRule="auto"/>
              <w:ind w:firstLine="482"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b/>
                <w:bCs/>
                <w:color w:val="000000" w:themeColor="text1"/>
                <w:kern w:val="0"/>
                <w:sz w:val="24"/>
                <w:highlight w:val="none"/>
                <w:lang w:val="en-US" w:eastAsia="zh-CN" w:bidi="ar"/>
                <w14:textFill>
                  <w14:solidFill>
                    <w14:schemeClr w14:val="tx1"/>
                  </w14:solidFill>
                </w14:textFill>
              </w:rPr>
              <w:t>1、</w:t>
            </w: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施工组织及施工计划</w:t>
            </w:r>
          </w:p>
          <w:p w14:paraId="75AF2F7C">
            <w:pPr>
              <w:widowControl/>
              <w:spacing w:line="360" w:lineRule="auto"/>
              <w:ind w:firstLine="480" w:firstLineChars="20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本工程计划于 2025 年 5 月开工，2025 年 10 月完工，总工期 6 个月。</w:t>
            </w:r>
          </w:p>
          <w:p w14:paraId="633362D9">
            <w:pPr>
              <w:widowControl/>
              <w:spacing w:line="360" w:lineRule="auto"/>
              <w:ind w:left="874" w:hanging="454"/>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施工便道</w:t>
            </w:r>
          </w:p>
          <w:p w14:paraId="109BC59B">
            <w:pPr>
              <w:adjustRightInd w:val="0"/>
              <w:snapToGrid w:val="0"/>
              <w:spacing w:line="360" w:lineRule="auto"/>
              <w:ind w:firstLine="480" w:firstLineChars="20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本工程在利用既有道路的基础上，共修建施工便道 6.4km；其中沿路基纵向运营、施工便道长 5.5km，平均宽 3.5m，占地面积 1.93hm2；取土场施工便道长 0.9km，宽 8m，占地面积 0.72hm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，施工场地在路现旁边，无须专门修建便道。</w:t>
            </w:r>
          </w:p>
          <w:p w14:paraId="6CD6637E">
            <w:pPr>
              <w:adjustRightInd w:val="0"/>
              <w:snapToGrid w:val="0"/>
              <w:spacing w:line="360" w:lineRule="auto"/>
              <w:ind w:firstLine="482" w:firstLineChars="200"/>
              <w:jc w:val="center"/>
              <w:rPr>
                <w:rFonts w:hint="eastAsia" w:cs="Times New Roman"/>
                <w:b/>
                <w:bCs/>
                <w:color w:val="000000" w:themeColor="text1"/>
                <w:sz w:val="24"/>
                <w:highlight w:val="none"/>
                <w:lang w:val="en-US" w:eastAsia="zh-CN"/>
                <w14:textFill>
                  <w14:solidFill>
                    <w14:schemeClr w14:val="tx1"/>
                  </w14:solidFill>
                </w14:textFill>
              </w:rPr>
            </w:pPr>
          </w:p>
          <w:p w14:paraId="302CF905">
            <w:pPr>
              <w:adjustRightInd w:val="0"/>
              <w:snapToGrid w:val="0"/>
              <w:spacing w:line="360" w:lineRule="auto"/>
              <w:ind w:firstLine="482" w:firstLineChars="20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表2-10 施工便道占地情况</w:t>
            </w:r>
          </w:p>
          <w:tbl>
            <w:tblPr>
              <w:tblStyle w:val="3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3"/>
              <w:gridCol w:w="1123"/>
              <w:gridCol w:w="1356"/>
              <w:gridCol w:w="1127"/>
              <w:gridCol w:w="668"/>
              <w:gridCol w:w="682"/>
              <w:gridCol w:w="682"/>
              <w:gridCol w:w="1125"/>
            </w:tblGrid>
            <w:tr w14:paraId="5E038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712" w:type="pct"/>
                  <w:vMerge w:val="restart"/>
                  <w:tcBorders>
                    <w:top w:val="single" w:color="474747" w:sz="8" w:space="0"/>
                    <w:left w:val="single" w:color="474747" w:sz="8" w:space="0"/>
                    <w:bottom w:val="single" w:color="888E93" w:sz="8" w:space="0"/>
                    <w:right w:val="single" w:color="888E93" w:sz="8" w:space="0"/>
                  </w:tcBorders>
                  <w:shd w:val="clear" w:color="auto" w:fill="D9D9D9"/>
                  <w:vAlign w:val="center"/>
                </w:tcPr>
                <w:p w14:paraId="5534A371">
                  <w:pPr>
                    <w:keepNext w:val="0"/>
                    <w:keepLines w:val="0"/>
                    <w:widowControl/>
                    <w:suppressLineNumbers w:val="0"/>
                    <w:jc w:val="center"/>
                    <w:textAlignment w:val="center"/>
                    <w:rPr>
                      <w:rFonts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项目组成</w:t>
                  </w:r>
                </w:p>
              </w:tc>
              <w:tc>
                <w:tcPr>
                  <w:tcW w:w="712" w:type="pct"/>
                  <w:vMerge w:val="restart"/>
                  <w:tcBorders>
                    <w:top w:val="single" w:color="474747" w:sz="8" w:space="0"/>
                    <w:left w:val="single" w:color="888E93" w:sz="8" w:space="0"/>
                    <w:bottom w:val="single" w:color="888E93" w:sz="8" w:space="0"/>
                    <w:right w:val="single" w:color="888E93" w:sz="8" w:space="0"/>
                  </w:tcBorders>
                  <w:shd w:val="clear" w:color="auto" w:fill="D9D9D9"/>
                  <w:vAlign w:val="center"/>
                </w:tcPr>
                <w:p w14:paraId="54C65516">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位置</w:t>
                  </w:r>
                </w:p>
              </w:tc>
              <w:tc>
                <w:tcPr>
                  <w:tcW w:w="859" w:type="pct"/>
                  <w:vMerge w:val="restart"/>
                  <w:tcBorders>
                    <w:top w:val="single" w:color="474747" w:sz="8" w:space="0"/>
                    <w:left w:val="single" w:color="888E93" w:sz="8" w:space="0"/>
                    <w:bottom w:val="single" w:color="888E93" w:sz="8" w:space="0"/>
                    <w:right w:val="single" w:color="888E93" w:sz="8" w:space="0"/>
                  </w:tcBorders>
                  <w:shd w:val="clear" w:color="auto" w:fill="D9D9D9"/>
                  <w:vAlign w:val="center"/>
                </w:tcPr>
                <w:p w14:paraId="5F3F318A">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长度（km）</w:t>
                  </w:r>
                </w:p>
              </w:tc>
              <w:tc>
                <w:tcPr>
                  <w:tcW w:w="714" w:type="pct"/>
                  <w:tcBorders>
                    <w:top w:val="single" w:color="474747" w:sz="8" w:space="0"/>
                    <w:left w:val="single" w:color="888E93" w:sz="8" w:space="0"/>
                    <w:bottom w:val="nil"/>
                    <w:right w:val="single" w:color="888E93" w:sz="8" w:space="0"/>
                  </w:tcBorders>
                  <w:shd w:val="clear" w:color="auto" w:fill="D9D9D9"/>
                  <w:vAlign w:val="center"/>
                </w:tcPr>
                <w:p w14:paraId="2F3854D5">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平均宽度</w:t>
                  </w:r>
                </w:p>
              </w:tc>
              <w:tc>
                <w:tcPr>
                  <w:tcW w:w="1287" w:type="pct"/>
                  <w:gridSpan w:val="3"/>
                  <w:tcBorders>
                    <w:top w:val="single" w:color="474747" w:sz="8" w:space="0"/>
                    <w:left w:val="single" w:color="888E93" w:sz="8" w:space="0"/>
                    <w:bottom w:val="single" w:color="888E93" w:sz="8" w:space="0"/>
                    <w:right w:val="single" w:color="888E93" w:sz="8" w:space="0"/>
                  </w:tcBorders>
                  <w:shd w:val="clear" w:color="auto" w:fill="D9D9D9"/>
                  <w:vAlign w:val="center"/>
                </w:tcPr>
                <w:p w14:paraId="507B7F91">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占地性质</w:t>
                  </w:r>
                </w:p>
              </w:tc>
              <w:tc>
                <w:tcPr>
                  <w:tcW w:w="713" w:type="pct"/>
                  <w:tcBorders>
                    <w:top w:val="single" w:color="474747" w:sz="8" w:space="0"/>
                    <w:left w:val="single" w:color="888E93" w:sz="8" w:space="0"/>
                    <w:bottom w:val="single" w:color="888E93" w:sz="8" w:space="0"/>
                    <w:right w:val="single" w:color="474747" w:sz="8" w:space="0"/>
                  </w:tcBorders>
                  <w:shd w:val="clear" w:color="auto" w:fill="D9D9D9"/>
                  <w:vAlign w:val="center"/>
                </w:tcPr>
                <w:p w14:paraId="7B43EB59">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占地类型</w:t>
                  </w:r>
                </w:p>
              </w:tc>
            </w:tr>
            <w:tr w14:paraId="5ADAE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12" w:type="pct"/>
                  <w:vMerge w:val="continue"/>
                  <w:tcBorders>
                    <w:top w:val="single" w:color="474747" w:sz="8" w:space="0"/>
                    <w:left w:val="single" w:color="474747" w:sz="8" w:space="0"/>
                    <w:bottom w:val="single" w:color="888E93" w:sz="8" w:space="0"/>
                    <w:right w:val="single" w:color="888E93" w:sz="8" w:space="0"/>
                  </w:tcBorders>
                  <w:shd w:val="clear" w:color="auto" w:fill="D9D9D9"/>
                  <w:vAlign w:val="center"/>
                </w:tcPr>
                <w:p w14:paraId="32743860">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712" w:type="pct"/>
                  <w:vMerge w:val="continue"/>
                  <w:tcBorders>
                    <w:top w:val="single" w:color="474747" w:sz="8" w:space="0"/>
                    <w:left w:val="single" w:color="888E93" w:sz="8" w:space="0"/>
                    <w:bottom w:val="single" w:color="888E93" w:sz="8" w:space="0"/>
                    <w:right w:val="single" w:color="888E93" w:sz="8" w:space="0"/>
                  </w:tcBorders>
                  <w:shd w:val="clear" w:color="auto" w:fill="D9D9D9"/>
                  <w:vAlign w:val="center"/>
                </w:tcPr>
                <w:p w14:paraId="584E6728">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859" w:type="pct"/>
                  <w:vMerge w:val="continue"/>
                  <w:tcBorders>
                    <w:top w:val="single" w:color="474747" w:sz="8" w:space="0"/>
                    <w:left w:val="single" w:color="888E93" w:sz="8" w:space="0"/>
                    <w:bottom w:val="single" w:color="888E93" w:sz="8" w:space="0"/>
                    <w:right w:val="single" w:color="888E93" w:sz="8" w:space="0"/>
                  </w:tcBorders>
                  <w:shd w:val="clear" w:color="auto" w:fill="D9D9D9"/>
                  <w:vAlign w:val="center"/>
                </w:tcPr>
                <w:p w14:paraId="4577ABFD">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714" w:type="pct"/>
                  <w:tcBorders>
                    <w:top w:val="nil"/>
                    <w:left w:val="single" w:color="888E93" w:sz="8" w:space="0"/>
                    <w:bottom w:val="single" w:color="888E93" w:sz="8" w:space="0"/>
                    <w:right w:val="single" w:color="888E93" w:sz="8" w:space="0"/>
                  </w:tcBorders>
                  <w:shd w:val="clear" w:color="auto" w:fill="D9D9D9"/>
                  <w:vAlign w:val="center"/>
                </w:tcPr>
                <w:p w14:paraId="62E6091F">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（m）</w:t>
                  </w:r>
                </w:p>
              </w:tc>
              <w:tc>
                <w:tcPr>
                  <w:tcW w:w="423"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29B981E">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永久</w:t>
                  </w:r>
                </w:p>
              </w:tc>
              <w:tc>
                <w:tcPr>
                  <w:tcW w:w="432"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9C50CDE">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临时</w:t>
                  </w:r>
                </w:p>
              </w:tc>
              <w:tc>
                <w:tcPr>
                  <w:tcW w:w="432"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15DABBF5">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合计</w:t>
                  </w:r>
                </w:p>
              </w:tc>
              <w:tc>
                <w:tcPr>
                  <w:tcW w:w="713"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39E92EBA">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草地</w:t>
                  </w:r>
                </w:p>
              </w:tc>
            </w:tr>
            <w:tr w14:paraId="0ACD8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712" w:type="pct"/>
                  <w:vMerge w:val="restart"/>
                  <w:tcBorders>
                    <w:top w:val="single" w:color="888E93" w:sz="8" w:space="0"/>
                    <w:left w:val="single" w:color="474747" w:sz="8" w:space="0"/>
                    <w:bottom w:val="single" w:color="888E93" w:sz="8" w:space="0"/>
                    <w:right w:val="single" w:color="888E93" w:sz="8" w:space="0"/>
                  </w:tcBorders>
                  <w:shd w:val="clear" w:color="auto" w:fill="FFFFFF"/>
                  <w:vAlign w:val="center"/>
                </w:tcPr>
                <w:p w14:paraId="7BD5B703">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施工便道</w:t>
                  </w:r>
                </w:p>
              </w:tc>
              <w:tc>
                <w:tcPr>
                  <w:tcW w:w="712"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6B9AA42E">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路基一侧</w:t>
                  </w:r>
                </w:p>
              </w:tc>
              <w:tc>
                <w:tcPr>
                  <w:tcW w:w="859"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693890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w:t>
                  </w:r>
                </w:p>
              </w:tc>
              <w:tc>
                <w:tcPr>
                  <w:tcW w:w="714"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3E0ED5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w:t>
                  </w:r>
                </w:p>
              </w:tc>
              <w:tc>
                <w:tcPr>
                  <w:tcW w:w="423"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0FBFAC64">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32"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3A952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1.93</w:t>
                  </w:r>
                </w:p>
              </w:tc>
              <w:tc>
                <w:tcPr>
                  <w:tcW w:w="432"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3812725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1.93</w:t>
                  </w:r>
                </w:p>
              </w:tc>
              <w:tc>
                <w:tcPr>
                  <w:tcW w:w="713"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408D32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1.93</w:t>
                  </w:r>
                </w:p>
              </w:tc>
            </w:tr>
            <w:tr w14:paraId="567C1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712" w:type="pct"/>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5ACE4CE0">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712"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5052110">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取土场</w:t>
                  </w:r>
                </w:p>
              </w:tc>
              <w:tc>
                <w:tcPr>
                  <w:tcW w:w="859"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1EA789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w:t>
                  </w:r>
                </w:p>
              </w:tc>
              <w:tc>
                <w:tcPr>
                  <w:tcW w:w="714"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EE9C1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423"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392CC7E">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32"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3DC113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0.72</w:t>
                  </w:r>
                </w:p>
              </w:tc>
              <w:tc>
                <w:tcPr>
                  <w:tcW w:w="432"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1D5229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0.72</w:t>
                  </w:r>
                </w:p>
              </w:tc>
              <w:tc>
                <w:tcPr>
                  <w:tcW w:w="713"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01E276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0.72</w:t>
                  </w:r>
                </w:p>
              </w:tc>
            </w:tr>
            <w:tr w14:paraId="05113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712" w:type="pct"/>
                  <w:tcBorders>
                    <w:top w:val="single" w:color="888E93" w:sz="8" w:space="0"/>
                    <w:left w:val="single" w:color="474747" w:sz="8" w:space="0"/>
                    <w:bottom w:val="single" w:color="474747" w:sz="8" w:space="0"/>
                    <w:right w:val="single" w:color="888E93" w:sz="8" w:space="0"/>
                  </w:tcBorders>
                  <w:shd w:val="clear" w:color="auto" w:fill="FFFFFF"/>
                  <w:vAlign w:val="center"/>
                </w:tcPr>
                <w:p w14:paraId="234ADFE9">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合计</w:t>
                  </w:r>
                </w:p>
              </w:tc>
              <w:tc>
                <w:tcPr>
                  <w:tcW w:w="712"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759C265D">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859"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6274C1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6.4</w:t>
                  </w:r>
                </w:p>
              </w:tc>
              <w:tc>
                <w:tcPr>
                  <w:tcW w:w="714"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22BACAD3">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23"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49468AC1">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432"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0A52F5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2.65</w:t>
                  </w:r>
                </w:p>
              </w:tc>
              <w:tc>
                <w:tcPr>
                  <w:tcW w:w="432"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668CB6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2.65</w:t>
                  </w:r>
                </w:p>
              </w:tc>
              <w:tc>
                <w:tcPr>
                  <w:tcW w:w="713" w:type="pct"/>
                  <w:tcBorders>
                    <w:top w:val="single" w:color="888E93" w:sz="8" w:space="0"/>
                    <w:left w:val="single" w:color="888E93" w:sz="8" w:space="0"/>
                    <w:bottom w:val="single" w:color="474747" w:sz="8" w:space="0"/>
                    <w:right w:val="single" w:color="474747" w:sz="8" w:space="0"/>
                  </w:tcBorders>
                  <w:shd w:val="clear" w:color="auto" w:fill="FFFFFF"/>
                  <w:vAlign w:val="center"/>
                </w:tcPr>
                <w:p w14:paraId="60A6014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2.65</w:t>
                  </w:r>
                </w:p>
              </w:tc>
            </w:tr>
          </w:tbl>
          <w:p w14:paraId="78F7907C">
            <w:pPr>
              <w:adjustRightInd w:val="0"/>
              <w:snapToGrid w:val="0"/>
              <w:spacing w:line="360" w:lineRule="auto"/>
              <w:ind w:firstLine="482" w:firstLineChars="200"/>
              <w:jc w:val="left"/>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施工生产生活区 </w:t>
            </w:r>
          </w:p>
          <w:p w14:paraId="2AF89753">
            <w:pPr>
              <w:adjustRightInd w:val="0"/>
              <w:snapToGrid w:val="0"/>
              <w:spacing w:line="360" w:lineRule="auto"/>
              <w:ind w:firstLine="480" w:firstLineChars="20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全线共设置施工场地（包含拌和站及生活区）1 处，施工生活区与拌和站同址建设，位于桩号 K0+000 处右侧，地理坐标：东经 117°47′11.61″，北纬 44°8′25.06″，占地类型为草地，占地面积为 0.40hm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。施工生产生活区供电电源就近接电，由附近的 10kV 线路引接，长度 200m，架电杆 6 基，占地 0.01hm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 xml:space="preserve">。施工用水就近取用，采用水车拉水。 </w:t>
            </w:r>
          </w:p>
          <w:p w14:paraId="728FF9ED">
            <w:pPr>
              <w:adjustRightInd w:val="0"/>
              <w:snapToGrid w:val="0"/>
              <w:spacing w:line="360" w:lineRule="auto"/>
              <w:ind w:firstLine="480" w:firstLineChars="20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施工生产生活区占地情况统计见表 2-</w:t>
            </w:r>
            <w:r>
              <w:rPr>
                <w:rFonts w:hint="eastAsia" w:cs="Times New Roman"/>
                <w:b w:val="0"/>
                <w:bCs w:val="0"/>
                <w:color w:val="000000" w:themeColor="text1"/>
                <w:sz w:val="24"/>
                <w:highlight w:val="none"/>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41A6F2B3">
            <w:pPr>
              <w:adjustRightInd w:val="0"/>
              <w:snapToGrid w:val="0"/>
              <w:spacing w:line="360" w:lineRule="auto"/>
              <w:ind w:firstLine="482" w:firstLineChars="20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 xml:space="preserve">表2-11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施工生产生活区占地情况统计</w:t>
            </w:r>
            <w:r>
              <w:rPr>
                <w:rFonts w:hint="eastAsia" w:cs="Times New Roman"/>
                <w:b/>
                <w:bCs/>
                <w:color w:val="000000" w:themeColor="text1"/>
                <w:sz w:val="24"/>
                <w:highlight w:val="none"/>
                <w:lang w:val="en-US" w:eastAsia="zh-CN"/>
                <w14:textFill>
                  <w14:solidFill>
                    <w14:schemeClr w14:val="tx1"/>
                  </w14:solidFill>
                </w14:textFill>
              </w:rPr>
              <w:t>表</w:t>
            </w:r>
          </w:p>
          <w:tbl>
            <w:tblPr>
              <w:tblStyle w:val="30"/>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18"/>
              <w:gridCol w:w="1390"/>
              <w:gridCol w:w="852"/>
              <w:gridCol w:w="1005"/>
              <w:gridCol w:w="1007"/>
              <w:gridCol w:w="1415"/>
            </w:tblGrid>
            <w:tr w14:paraId="015BC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2287" w:type="pct"/>
                  <w:gridSpan w:val="2"/>
                  <w:vMerge w:val="restart"/>
                  <w:tcBorders>
                    <w:top w:val="single" w:color="474747" w:sz="8" w:space="0"/>
                    <w:left w:val="single" w:color="474747" w:sz="8" w:space="0"/>
                    <w:bottom w:val="single" w:color="888E93" w:sz="8" w:space="0"/>
                    <w:right w:val="single" w:color="888E93" w:sz="8" w:space="0"/>
                  </w:tcBorders>
                  <w:shd w:val="clear" w:color="auto" w:fill="FFFFFF"/>
                  <w:vAlign w:val="center"/>
                </w:tcPr>
                <w:p w14:paraId="56799AF0">
                  <w:pPr>
                    <w:keepNext w:val="0"/>
                    <w:keepLines w:val="0"/>
                    <w:widowControl/>
                    <w:suppressLineNumbers w:val="0"/>
                    <w:jc w:val="center"/>
                    <w:textAlignment w:val="center"/>
                    <w:rPr>
                      <w:rFonts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项目组成</w:t>
                  </w:r>
                </w:p>
              </w:tc>
              <w:tc>
                <w:tcPr>
                  <w:tcW w:w="1815" w:type="pct"/>
                  <w:gridSpan w:val="3"/>
                  <w:tcBorders>
                    <w:top w:val="single" w:color="474747" w:sz="8" w:space="0"/>
                    <w:left w:val="single" w:color="888E93" w:sz="8" w:space="0"/>
                    <w:bottom w:val="single" w:color="888E93" w:sz="8" w:space="0"/>
                    <w:right w:val="single" w:color="888E93" w:sz="8" w:space="0"/>
                  </w:tcBorders>
                  <w:shd w:val="clear" w:color="auto" w:fill="FFFFFF"/>
                  <w:vAlign w:val="center"/>
                </w:tcPr>
                <w:p w14:paraId="27811D9C">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占地性质</w:t>
                  </w:r>
                </w:p>
              </w:tc>
              <w:tc>
                <w:tcPr>
                  <w:tcW w:w="897" w:type="pct"/>
                  <w:tcBorders>
                    <w:top w:val="single" w:color="474747" w:sz="8" w:space="0"/>
                    <w:left w:val="single" w:color="888E93" w:sz="8" w:space="0"/>
                    <w:bottom w:val="single" w:color="888E93" w:sz="8" w:space="0"/>
                    <w:right w:val="single" w:color="474747" w:sz="8" w:space="0"/>
                  </w:tcBorders>
                  <w:shd w:val="clear" w:color="auto" w:fill="FFFFFF"/>
                  <w:vAlign w:val="center"/>
                </w:tcPr>
                <w:p w14:paraId="4E8A4693">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占地类型</w:t>
                  </w:r>
                </w:p>
              </w:tc>
            </w:tr>
            <w:tr w14:paraId="637F5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2287" w:type="pct"/>
                  <w:gridSpan w:val="2"/>
                  <w:vMerge w:val="continue"/>
                  <w:tcBorders>
                    <w:top w:val="single" w:color="474747" w:sz="8" w:space="0"/>
                    <w:left w:val="single" w:color="474747" w:sz="8" w:space="0"/>
                    <w:bottom w:val="single" w:color="888E93" w:sz="8" w:space="0"/>
                    <w:right w:val="single" w:color="888E93" w:sz="8" w:space="0"/>
                  </w:tcBorders>
                  <w:shd w:val="clear" w:color="auto" w:fill="FFFFFF"/>
                  <w:vAlign w:val="center"/>
                </w:tcPr>
                <w:p w14:paraId="06895BB3">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540"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7DE5AF2">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永久</w:t>
                  </w:r>
                </w:p>
              </w:tc>
              <w:tc>
                <w:tcPr>
                  <w:tcW w:w="637"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3B54325B">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临时</w:t>
                  </w:r>
                </w:p>
              </w:tc>
              <w:tc>
                <w:tcPr>
                  <w:tcW w:w="637"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08740602">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合计</w:t>
                  </w:r>
                </w:p>
              </w:tc>
              <w:tc>
                <w:tcPr>
                  <w:tcW w:w="897"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3D1E4CB9">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草地</w:t>
                  </w:r>
                </w:p>
              </w:tc>
            </w:tr>
            <w:tr w14:paraId="7BBCD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406" w:type="pct"/>
                  <w:vMerge w:val="restart"/>
                  <w:tcBorders>
                    <w:top w:val="single" w:color="888E93" w:sz="8" w:space="0"/>
                    <w:left w:val="single" w:color="474747" w:sz="8" w:space="0"/>
                    <w:bottom w:val="single" w:color="888E93" w:sz="8" w:space="0"/>
                    <w:right w:val="single" w:color="888E93" w:sz="8" w:space="0"/>
                  </w:tcBorders>
                  <w:shd w:val="clear" w:color="auto" w:fill="FFFFFF"/>
                  <w:vAlign w:val="center"/>
                </w:tcPr>
                <w:p w14:paraId="5550E1C0">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施工生产生活区</w:t>
                  </w:r>
                </w:p>
              </w:tc>
              <w:tc>
                <w:tcPr>
                  <w:tcW w:w="881"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7171748">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站区</w:t>
                  </w:r>
                </w:p>
              </w:tc>
              <w:tc>
                <w:tcPr>
                  <w:tcW w:w="540"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543F8FA7">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637"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79368E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w:t>
                  </w:r>
                </w:p>
              </w:tc>
              <w:tc>
                <w:tcPr>
                  <w:tcW w:w="637"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14295B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w:t>
                  </w:r>
                </w:p>
              </w:tc>
              <w:tc>
                <w:tcPr>
                  <w:tcW w:w="897"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124669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w:t>
                  </w:r>
                </w:p>
              </w:tc>
            </w:tr>
            <w:tr w14:paraId="17335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406" w:type="pct"/>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6EBA78C0">
                  <w:pPr>
                    <w:jc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p>
              </w:tc>
              <w:tc>
                <w:tcPr>
                  <w:tcW w:w="881"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20CB442B">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供电线路</w:t>
                  </w:r>
                </w:p>
              </w:tc>
              <w:tc>
                <w:tcPr>
                  <w:tcW w:w="540"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0C9A136D">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637"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797601E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637" w:type="pct"/>
                  <w:tcBorders>
                    <w:top w:val="single" w:color="888E93" w:sz="8" w:space="0"/>
                    <w:left w:val="single" w:color="888E93" w:sz="8" w:space="0"/>
                    <w:bottom w:val="single" w:color="888E93" w:sz="8" w:space="0"/>
                    <w:right w:val="single" w:color="888E93" w:sz="8" w:space="0"/>
                  </w:tcBorders>
                  <w:shd w:val="clear" w:color="auto" w:fill="FFFFFF"/>
                  <w:vAlign w:val="center"/>
                </w:tcPr>
                <w:p w14:paraId="49F115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897" w:type="pct"/>
                  <w:tcBorders>
                    <w:top w:val="single" w:color="888E93" w:sz="8" w:space="0"/>
                    <w:left w:val="single" w:color="888E93" w:sz="8" w:space="0"/>
                    <w:bottom w:val="single" w:color="888E93" w:sz="8" w:space="0"/>
                    <w:right w:val="single" w:color="474747" w:sz="8" w:space="0"/>
                  </w:tcBorders>
                  <w:shd w:val="clear" w:color="auto" w:fill="FFFFFF"/>
                  <w:vAlign w:val="center"/>
                </w:tcPr>
                <w:p w14:paraId="277E80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r>
            <w:tr w14:paraId="0BF9D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287" w:type="pct"/>
                  <w:gridSpan w:val="2"/>
                  <w:tcBorders>
                    <w:top w:val="single" w:color="888E93" w:sz="8" w:space="0"/>
                    <w:left w:val="single" w:color="474747" w:sz="8" w:space="0"/>
                    <w:bottom w:val="single" w:color="474747" w:sz="8" w:space="0"/>
                    <w:right w:val="single" w:color="888E93" w:sz="8" w:space="0"/>
                  </w:tcBorders>
                  <w:shd w:val="clear" w:color="auto" w:fill="FFFFFF"/>
                  <w:vAlign w:val="center"/>
                </w:tcPr>
                <w:p w14:paraId="4036F2FA">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合计</w:t>
                  </w:r>
                </w:p>
              </w:tc>
              <w:tc>
                <w:tcPr>
                  <w:tcW w:w="540"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2854B7B0">
                  <w:pPr>
                    <w:jc w:val="center"/>
                    <w:rPr>
                      <w:rFonts w:hint="eastAsia" w:ascii="微软雅黑" w:hAnsi="微软雅黑" w:eastAsia="微软雅黑" w:cs="微软雅黑"/>
                      <w:i w:val="0"/>
                      <w:iCs w:val="0"/>
                      <w:color w:val="000000" w:themeColor="text1"/>
                      <w:sz w:val="21"/>
                      <w:szCs w:val="21"/>
                      <w:highlight w:val="none"/>
                      <w:u w:val="none"/>
                      <w14:textFill>
                        <w14:solidFill>
                          <w14:schemeClr w14:val="tx1"/>
                        </w14:solidFill>
                      </w14:textFill>
                    </w:rPr>
                  </w:pPr>
                </w:p>
              </w:tc>
              <w:tc>
                <w:tcPr>
                  <w:tcW w:w="637"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5DE37BF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0.41</w:t>
                  </w:r>
                </w:p>
              </w:tc>
              <w:tc>
                <w:tcPr>
                  <w:tcW w:w="637" w:type="pct"/>
                  <w:tcBorders>
                    <w:top w:val="single" w:color="888E93" w:sz="8" w:space="0"/>
                    <w:left w:val="single" w:color="888E93" w:sz="8" w:space="0"/>
                    <w:bottom w:val="single" w:color="474747" w:sz="8" w:space="0"/>
                    <w:right w:val="single" w:color="888E93" w:sz="8" w:space="0"/>
                  </w:tcBorders>
                  <w:shd w:val="clear" w:color="auto" w:fill="FFFFFF"/>
                  <w:vAlign w:val="center"/>
                </w:tcPr>
                <w:p w14:paraId="24AD3B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0.41</w:t>
                  </w:r>
                </w:p>
              </w:tc>
              <w:tc>
                <w:tcPr>
                  <w:tcW w:w="897" w:type="pct"/>
                  <w:tcBorders>
                    <w:top w:val="single" w:color="888E93" w:sz="8" w:space="0"/>
                    <w:left w:val="single" w:color="888E93" w:sz="8" w:space="0"/>
                    <w:bottom w:val="single" w:color="474747" w:sz="8" w:space="0"/>
                    <w:right w:val="single" w:color="474747" w:sz="8" w:space="0"/>
                  </w:tcBorders>
                  <w:shd w:val="clear" w:color="auto" w:fill="FFFFFF"/>
                  <w:vAlign w:val="center"/>
                </w:tcPr>
                <w:p w14:paraId="085C122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0.41</w:t>
                  </w:r>
                </w:p>
              </w:tc>
            </w:tr>
          </w:tbl>
          <w:p w14:paraId="158CF92D">
            <w:pPr>
              <w:adjustRightInd w:val="0"/>
              <w:snapToGrid w:val="0"/>
              <w:spacing w:line="360" w:lineRule="auto"/>
              <w:ind w:firstLine="482" w:firstLineChars="20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表土堆放场</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 xml:space="preserve"> </w:t>
            </w:r>
          </w:p>
          <w:p w14:paraId="596E5560">
            <w:pPr>
              <w:adjustRightInd w:val="0"/>
              <w:snapToGrid w:val="0"/>
              <w:spacing w:line="360" w:lineRule="auto"/>
              <w:ind w:firstLine="480" w:firstLineChars="20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根据工程实际需要，设置表土堆放区 1 处，位于路线桩号 K0+670 右侧，用于堆放路基及施工便道剥离的表土，共堆放表土 1.69 万 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，堆高 3m，边坡 1：1，临时占地 0.64hm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，占地类型为草地。</w:t>
            </w:r>
          </w:p>
          <w:p w14:paraId="1F59A379">
            <w:pPr>
              <w:adjustRightInd w:val="0"/>
              <w:snapToGrid w:val="0"/>
              <w:spacing w:line="360" w:lineRule="auto"/>
              <w:ind w:firstLine="482" w:firstLineChars="200"/>
              <w:jc w:val="left"/>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施工用电 </w:t>
            </w:r>
          </w:p>
          <w:p w14:paraId="1D7A41CF">
            <w:pPr>
              <w:adjustRightInd w:val="0"/>
              <w:snapToGrid w:val="0"/>
              <w:spacing w:line="360" w:lineRule="auto"/>
              <w:ind w:firstLine="480" w:firstLineChars="20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施工生产生活区供电电源就近接电，由附近的 10kV 线路引接，长度 200m，架电杆 6 基，占地 0.01hm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 xml:space="preserve">；路基施工零星用电采用发电机发电解决。 </w:t>
            </w:r>
          </w:p>
          <w:p w14:paraId="62BDADCC">
            <w:pPr>
              <w:adjustRightInd w:val="0"/>
              <w:snapToGrid w:val="0"/>
              <w:spacing w:line="360" w:lineRule="auto"/>
              <w:ind w:firstLine="482" w:firstLineChars="200"/>
              <w:jc w:val="left"/>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施工用水 </w:t>
            </w:r>
          </w:p>
          <w:p w14:paraId="6B151CEF">
            <w:pPr>
              <w:adjustRightInd w:val="0"/>
              <w:snapToGrid w:val="0"/>
              <w:spacing w:line="360" w:lineRule="auto"/>
              <w:ind w:firstLine="480" w:firstLineChars="20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项目施工用水就近取用，采用水车拉运解决。</w:t>
            </w:r>
          </w:p>
          <w:p w14:paraId="0E5D3ACF">
            <w:pPr>
              <w:widowControl/>
              <w:numPr>
                <w:ilvl w:val="0"/>
                <w:numId w:val="4"/>
              </w:numPr>
              <w:spacing w:line="360" w:lineRule="auto"/>
              <w:ind w:firstLine="482" w:firstLineChars="200"/>
              <w:jc w:val="left"/>
              <w:rPr>
                <w:rFonts w:hint="eastAsia" w:cs="Times New Roman"/>
                <w:b/>
                <w:bCs/>
                <w:color w:val="000000" w:themeColor="text1"/>
                <w:kern w:val="0"/>
                <w:sz w:val="24"/>
                <w:highlight w:val="none"/>
                <w:lang w:val="en-US" w:eastAsia="zh-CN" w:bidi="ar"/>
                <w14:textFill>
                  <w14:solidFill>
                    <w14:schemeClr w14:val="tx1"/>
                  </w14:solidFill>
                </w14:textFill>
              </w:rPr>
            </w:pPr>
            <w:r>
              <w:rPr>
                <w:rFonts w:hint="eastAsia" w:cs="Times New Roman"/>
                <w:b/>
                <w:bCs/>
                <w:color w:val="000000" w:themeColor="text1"/>
                <w:kern w:val="0"/>
                <w:sz w:val="24"/>
                <w:highlight w:val="none"/>
                <w:lang w:val="en-US" w:eastAsia="zh-CN" w:bidi="ar"/>
                <w14:textFill>
                  <w14:solidFill>
                    <w14:schemeClr w14:val="tx1"/>
                  </w14:solidFill>
                </w14:textFill>
              </w:rPr>
              <w:t>施工原料</w:t>
            </w:r>
          </w:p>
          <w:p w14:paraId="2FC97CA6">
            <w:pPr>
              <w:adjustRightInd w:val="0"/>
              <w:snapToGrid w:val="0"/>
              <w:spacing w:line="360" w:lineRule="auto"/>
              <w:ind w:firstLine="480" w:firstLineChars="20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 xml:space="preserve">(1) 水 泥 </w:t>
            </w:r>
          </w:p>
          <w:p w14:paraId="31A8FFBA">
            <w:pPr>
              <w:adjustRightInd w:val="0"/>
              <w:snapToGrid w:val="0"/>
              <w:spacing w:line="360" w:lineRule="auto"/>
              <w:ind w:firstLine="480" w:firstLineChars="20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采用道路硅酸盐水泥或普通硅酸盐水泥42.5级 ，其28天抗压强度不低于42.5Mpa, 抗折强度不低于7.5Mpa。</w:t>
            </w:r>
            <w:r>
              <w:rPr>
                <w:rFonts w:hint="eastAsia" w:cs="Times New Roman"/>
                <w:b w:val="0"/>
                <w:bCs w:val="0"/>
                <w:color w:val="000000" w:themeColor="text1"/>
                <w:sz w:val="24"/>
                <w:highlight w:val="none"/>
                <w:lang w:val="en-US" w:eastAsia="zh-CN"/>
                <w14:textFill>
                  <w14:solidFill>
                    <w14:schemeClr w14:val="tx1"/>
                  </w14:solidFill>
                </w14:textFill>
              </w:rPr>
              <w:t>暂存施工营地的拌合站的水泥仓内。</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从巴粒嘎尔商勒镇水混厂购买，各明工程指标满足公路使用要求。</w:t>
            </w:r>
          </w:p>
          <w:p w14:paraId="1AC053F8">
            <w:pPr>
              <w:adjustRightInd w:val="0"/>
              <w:snapToGrid w:val="0"/>
              <w:spacing w:line="360" w:lineRule="auto"/>
              <w:ind w:firstLine="480" w:firstLineChars="20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 xml:space="preserve">(2) 粗集料 </w:t>
            </w:r>
          </w:p>
          <w:p w14:paraId="5ED973AE">
            <w:pPr>
              <w:adjustRightInd w:val="0"/>
              <w:snapToGrid w:val="0"/>
              <w:spacing w:line="360" w:lineRule="auto"/>
              <w:ind w:firstLine="480" w:firstLineChars="200"/>
              <w:jc w:val="left"/>
              <w:rPr>
                <w:rFonts w:hint="default"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粗集料应采用质地坚硬、 耐 久、 干 净的碎石。 面层混凝土用粗集料级别应不低于Ⅱ级</w:t>
            </w:r>
            <w:r>
              <w:rPr>
                <w:rFonts w:hint="eastAsia" w:cs="Times New Roman"/>
                <w:b w:val="0"/>
                <w:bCs w:val="0"/>
                <w:color w:val="000000" w:themeColor="text1"/>
                <w:sz w:val="24"/>
                <w:highlight w:val="none"/>
                <w:lang w:val="en-US" w:eastAsia="zh-CN"/>
                <w14:textFill>
                  <w14:solidFill>
                    <w14:schemeClr w14:val="tx1"/>
                  </w14:solidFill>
                </w14:textFill>
              </w:rPr>
              <w:t>，粗集料的最大公称粒径不应大于 31.5mm, 分三个粒级，4.75～9.5mm、 9.5～16mm、 16～31.5mm的比例应符合《公路水泥混凝土路面施工技术细则》 (JTG/TF30-2014) 中表3.3.3的要求。直接外购暂存施工营地。</w:t>
            </w:r>
          </w:p>
          <w:p w14:paraId="045670B1">
            <w:pPr>
              <w:adjustRightInd w:val="0"/>
              <w:snapToGrid w:val="0"/>
              <w:spacing w:line="360" w:lineRule="auto"/>
              <w:ind w:firstLine="480" w:firstLineChars="200"/>
              <w:jc w:val="left"/>
              <w:rPr>
                <w:rFonts w:hint="eastAsia"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(3)细集料</w:t>
            </w:r>
          </w:p>
          <w:p w14:paraId="08E22FDF">
            <w:pPr>
              <w:adjustRightInd w:val="0"/>
              <w:snapToGrid w:val="0"/>
              <w:spacing w:line="360" w:lineRule="auto"/>
              <w:ind w:firstLine="480" w:firstLineChars="200"/>
              <w:jc w:val="left"/>
              <w:rPr>
                <w:rFonts w:hint="default"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相集料应采用质地坚硬、耐久，洁净的天然砂、机制砂成混合砂。砂含混量不得大于器(按质量计)。直接外购暂存施工营地。</w:t>
            </w:r>
          </w:p>
          <w:p w14:paraId="30136A00">
            <w:pPr>
              <w:adjustRightInd w:val="0"/>
              <w:snapToGrid w:val="0"/>
              <w:spacing w:line="360" w:lineRule="auto"/>
              <w:ind w:firstLine="480" w:firstLineChars="200"/>
              <w:jc w:val="left"/>
              <w:rPr>
                <w:rFonts w:hint="eastAsia"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(4)水</w:t>
            </w:r>
          </w:p>
          <w:p w14:paraId="02EC8E09">
            <w:pPr>
              <w:adjustRightInd w:val="0"/>
              <w:snapToGrid w:val="0"/>
              <w:spacing w:line="360" w:lineRule="auto"/>
              <w:ind w:firstLine="480" w:firstLineChars="20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项目施工用水就近取用，采用水车拉运解决。</w:t>
            </w:r>
          </w:p>
          <w:p w14:paraId="51A9346A">
            <w:pPr>
              <w:widowControl/>
              <w:numPr>
                <w:ilvl w:val="0"/>
                <w:numId w:val="0"/>
              </w:numPr>
              <w:spacing w:line="360" w:lineRule="auto"/>
              <w:jc w:val="left"/>
              <w:rPr>
                <w:rFonts w:hint="eastAsia" w:cs="Times New Roman"/>
                <w:b/>
                <w:bCs/>
                <w:color w:val="000000" w:themeColor="text1"/>
                <w:kern w:val="0"/>
                <w:sz w:val="24"/>
                <w:highlight w:val="none"/>
                <w:lang w:val="en-US" w:eastAsia="zh-CN" w:bidi="ar"/>
                <w14:textFill>
                  <w14:solidFill>
                    <w14:schemeClr w14:val="tx1"/>
                  </w14:solidFill>
                </w14:textFill>
              </w:rPr>
            </w:pPr>
            <w:r>
              <w:rPr>
                <w:rFonts w:hint="eastAsia" w:cs="Times New Roman"/>
                <w:b/>
                <w:bCs/>
                <w:color w:val="000000" w:themeColor="text1"/>
                <w:kern w:val="0"/>
                <w:sz w:val="24"/>
                <w:highlight w:val="none"/>
                <w:lang w:val="en-US" w:eastAsia="zh-CN" w:bidi="ar"/>
                <w14:textFill>
                  <w14:solidFill>
                    <w14:schemeClr w14:val="tx1"/>
                  </w14:solidFill>
                </w14:textFill>
              </w:rPr>
              <w:t xml:space="preserve">   </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 xml:space="preserve"> (5)石渣</w:t>
            </w:r>
          </w:p>
          <w:p w14:paraId="4756E9A0">
            <w:pPr>
              <w:adjustRightInd w:val="0"/>
              <w:snapToGrid w:val="0"/>
              <w:spacing w:line="360" w:lineRule="auto"/>
              <w:ind w:firstLine="480" w:firstLineChars="200"/>
              <w:jc w:val="left"/>
              <w:rPr>
                <w:rFonts w:hint="default"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功能层采用重型击实标准。压实度不小于96%,集料最大粒径小于等于10厘米，施工时要求对石渣进行过筛刷除超径颗粒后再辅筑功能层。</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西乌加附近开采，满足使用要求。</w:t>
            </w:r>
          </w:p>
          <w:p w14:paraId="70ADB8F0">
            <w:pPr>
              <w:widowControl/>
              <w:spacing w:line="360" w:lineRule="auto"/>
              <w:ind w:firstLine="482"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b/>
                <w:bCs/>
                <w:color w:val="000000" w:themeColor="text1"/>
                <w:kern w:val="0"/>
                <w:sz w:val="24"/>
                <w:highlight w:val="none"/>
                <w:lang w:val="en-US" w:eastAsia="zh-CN" w:bidi="ar"/>
                <w14:textFill>
                  <w14:solidFill>
                    <w14:schemeClr w14:val="tx1"/>
                  </w14:solidFill>
                </w14:textFill>
              </w:rPr>
              <w:t>8、</w:t>
            </w: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施工工艺流程</w:t>
            </w:r>
          </w:p>
          <w:p w14:paraId="4BECD34F">
            <w:pPr>
              <w:keepNext w:val="0"/>
              <w:keepLines w:val="0"/>
              <w:widowControl/>
              <w:suppressLineNumbers w:val="0"/>
              <w:jc w:val="left"/>
              <w:rPr>
                <w:color w:val="000000" w:themeColor="text1"/>
                <w:highlight w:val="none"/>
                <w14:textFill>
                  <w14:solidFill>
                    <w14:schemeClr w14:val="tx1"/>
                  </w14:solidFill>
                </w14:textFill>
              </w:rPr>
            </w:pPr>
            <w:r>
              <w:rPr>
                <w:rFonts w:ascii="宋体" w:hAnsi="宋体" w:eastAsia="宋体" w:cs="宋体"/>
                <w:color w:val="000000" w:themeColor="text1"/>
                <w:kern w:val="0"/>
                <w:sz w:val="24"/>
                <w:szCs w:val="24"/>
                <w:highlight w:val="none"/>
                <w:lang w:val="en-US" w:eastAsia="zh-CN" w:bidi="ar"/>
                <w14:textFill>
                  <w14:solidFill>
                    <w14:schemeClr w14:val="tx1"/>
                  </w14:solidFill>
                </w14:textFill>
              </w:rPr>
              <w:drawing>
                <wp:inline distT="0" distB="0" distL="114300" distR="114300">
                  <wp:extent cx="4752975" cy="2924175"/>
                  <wp:effectExtent l="0" t="0" r="9525" b="0"/>
                  <wp:docPr id="20"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IMG_256"/>
                          <pic:cNvPicPr>
                            <a:picLocks noChangeAspect="1"/>
                          </pic:cNvPicPr>
                        </pic:nvPicPr>
                        <pic:blipFill>
                          <a:blip r:embed="rId28"/>
                          <a:stretch>
                            <a:fillRect/>
                          </a:stretch>
                        </pic:blipFill>
                        <pic:spPr>
                          <a:xfrm>
                            <a:off x="0" y="0"/>
                            <a:ext cx="4752975" cy="2924175"/>
                          </a:xfrm>
                          <a:prstGeom prst="rect">
                            <a:avLst/>
                          </a:prstGeom>
                          <a:noFill/>
                          <a:ln w="9525">
                            <a:noFill/>
                          </a:ln>
                        </pic:spPr>
                      </pic:pic>
                    </a:graphicData>
                  </a:graphic>
                </wp:inline>
              </w:drawing>
            </w:r>
          </w:p>
          <w:p w14:paraId="1E12B84C">
            <w:pPr>
              <w:keepNext w:val="0"/>
              <w:keepLines w:val="0"/>
              <w:widowControl/>
              <w:suppressLineNumbers w:val="0"/>
              <w:jc w:val="left"/>
              <w:rPr>
                <w:color w:val="000000" w:themeColor="text1"/>
                <w:highlight w:val="none"/>
                <w14:textFill>
                  <w14:solidFill>
                    <w14:schemeClr w14:val="tx1"/>
                  </w14:solidFill>
                </w14:textFill>
              </w:rPr>
            </w:pPr>
          </w:p>
          <w:p w14:paraId="7C86C0F6">
            <w:pPr>
              <w:widowControl/>
              <w:spacing w:line="360" w:lineRule="auto"/>
              <w:jc w:val="center"/>
              <w:rPr>
                <w:rFonts w:hint="default" w:ascii="Times New Roman" w:hAnsi="Times New Roman" w:eastAsia="宋体" w:cs="Times New Roman"/>
                <w:b/>
                <w:bCs/>
                <w:color w:val="000000" w:themeColor="text1"/>
                <w:highlight w:val="none"/>
                <w14:textFill>
                  <w14:solidFill>
                    <w14:schemeClr w14:val="tx1"/>
                  </w14:solidFill>
                </w14:textFill>
              </w:rPr>
            </w:pPr>
          </w:p>
          <w:p w14:paraId="4E6E33CF">
            <w:pPr>
              <w:pStyle w:val="37"/>
              <w:adjustRightInd w:val="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图2-</w:t>
            </w:r>
            <w:r>
              <w:rPr>
                <w:rFonts w:hint="eastAsia" w:cs="Times New Roman"/>
                <w:color w:val="000000" w:themeColor="text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highlight w:val="none"/>
                <w14:textFill>
                  <w14:solidFill>
                    <w14:schemeClr w14:val="tx1"/>
                  </w14:solidFill>
                </w14:textFill>
              </w:rPr>
              <w:t xml:space="preserve">  施工过程工艺流程及产污节点图</w:t>
            </w:r>
          </w:p>
          <w:p w14:paraId="0E1558B2">
            <w:pPr>
              <w:widowControl/>
              <w:spacing w:line="360" w:lineRule="auto"/>
              <w:ind w:firstLine="482" w:firstLineChars="200"/>
              <w:jc w:val="left"/>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1.</w:t>
            </w: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工艺流程简述</w:t>
            </w:r>
          </w:p>
          <w:p w14:paraId="013C5492">
            <w:pPr>
              <w:widowControl/>
              <w:spacing w:line="360" w:lineRule="auto"/>
              <w:ind w:left="420" w:left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（1）施工准备</w:t>
            </w:r>
          </w:p>
          <w:p w14:paraId="46A18074">
            <w:pPr>
              <w:pStyle w:val="55"/>
              <w:spacing w:line="360" w:lineRule="auto"/>
              <w:ind w:firstLine="48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highlight w:val="none"/>
                <w:lang w:eastAsia="zh-CN" w:bidi="ar"/>
                <w14:textFill>
                  <w14:solidFill>
                    <w14:schemeClr w14:val="tx1"/>
                  </w14:solidFill>
                </w14:textFill>
              </w:rPr>
              <w:t>准备工作包括拆迁、恢复中线、三通（通水、通电、通路）、平整场地和临时工程等。</w:t>
            </w:r>
            <w:r>
              <w:rPr>
                <w:rFonts w:hint="default" w:ascii="Times New Roman" w:hAnsi="Times New Roman" w:eastAsia="宋体" w:cs="Times New Roman"/>
                <w:color w:val="000000" w:themeColor="text1"/>
                <w:highlight w:val="none"/>
                <w:lang w:eastAsia="zh-CN"/>
                <w14:textFill>
                  <w14:solidFill>
                    <w14:schemeClr w14:val="tx1"/>
                  </w14:solidFill>
                </w14:textFill>
              </w:rPr>
              <w:t>施工单位组织好施工</w:t>
            </w:r>
            <w:r>
              <w:rPr>
                <w:rFonts w:hint="default" w:ascii="Times New Roman" w:hAnsi="Times New Roman" w:eastAsia="宋体" w:cs="Times New Roman"/>
                <w:color w:val="000000" w:themeColor="text1"/>
                <w:spacing w:val="1"/>
                <w:highlight w:val="none"/>
                <w:lang w:eastAsia="zh-CN"/>
                <w14:textFill>
                  <w14:solidFill>
                    <w14:schemeClr w14:val="tx1"/>
                  </w14:solidFill>
                </w14:textFill>
              </w:rPr>
              <w:t>队伍，安排施工机具，协调好地方关系，保证施工</w:t>
            </w:r>
            <w:r>
              <w:rPr>
                <w:rFonts w:hint="default" w:ascii="Times New Roman" w:hAnsi="Times New Roman" w:eastAsia="宋体" w:cs="Times New Roman"/>
                <w:color w:val="000000" w:themeColor="text1"/>
                <w:highlight w:val="none"/>
                <w:lang w:eastAsia="zh-CN"/>
                <w14:textFill>
                  <w14:solidFill>
                    <w14:schemeClr w14:val="tx1"/>
                  </w14:solidFill>
                </w14:textFill>
              </w:rPr>
              <w:t>队伍的进场和顺利开工</w:t>
            </w:r>
            <w:r>
              <w:rPr>
                <w:rFonts w:hint="default" w:ascii="Times New Roman" w:hAnsi="Times New Roman" w:eastAsia="宋体" w:cs="Times New Roman"/>
                <w:color w:val="000000" w:themeColor="text1"/>
                <w:spacing w:val="5"/>
                <w:highlight w:val="none"/>
                <w:lang w:eastAsia="zh-CN"/>
                <w14:textFill>
                  <w14:solidFill>
                    <w14:schemeClr w14:val="tx1"/>
                  </w14:solidFill>
                </w14:textFill>
              </w:rPr>
              <w:t>建设。</w:t>
            </w:r>
          </w:p>
          <w:p w14:paraId="6A6440FC">
            <w:pPr>
              <w:widowControl/>
              <w:spacing w:line="360" w:lineRule="auto"/>
              <w:ind w:left="420" w:left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（2）路基工程</w:t>
            </w:r>
          </w:p>
          <w:p w14:paraId="405FA1FD">
            <w:pPr>
              <w:widowControl/>
              <w:spacing w:line="360" w:lineRule="auto"/>
              <w:ind w:firstLine="480" w:firstLineChars="200"/>
              <w:rPr>
                <w:rFonts w:hint="default" w:ascii="Times New Roman" w:hAnsi="Times New Roman" w:eastAsia="宋体" w:cs="Times New Roman"/>
                <w:color w:val="000000" w:themeColor="text1"/>
                <w:kern w:val="0"/>
                <w:sz w:val="24"/>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 xml:space="preserve">（1）清表与填前压实 </w:t>
            </w:r>
          </w:p>
          <w:p w14:paraId="6294A070">
            <w:pPr>
              <w:widowControl/>
              <w:spacing w:line="360" w:lineRule="auto"/>
              <w:ind w:firstLine="480" w:firstLineChars="200"/>
              <w:rPr>
                <w:rFonts w:hint="default" w:ascii="Times New Roman" w:hAnsi="Times New Roman" w:eastAsia="宋体" w:cs="Times New Roman"/>
                <w:color w:val="000000" w:themeColor="text1"/>
                <w:kern w:val="0"/>
                <w:sz w:val="24"/>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 xml:space="preserve">公路建设在路基填方前需清除原地面腐殖层，剥离厚度为 20cm，集中堆放在表土堆放场，并采取临时防护，工程结束时作为路基植物防护的覆土源；清理表土后，将路基沿线用地范围内的坑洞用地表土进行回填并压实，用平地机整平，在路基范围内全面进行填前压实，压实度不小于 90%。 </w:t>
            </w:r>
          </w:p>
          <w:p w14:paraId="48D3DC30">
            <w:pPr>
              <w:widowControl/>
              <w:spacing w:line="360" w:lineRule="auto"/>
              <w:ind w:firstLine="480" w:firstLineChars="200"/>
              <w:rPr>
                <w:rFonts w:hint="default" w:ascii="Times New Roman" w:hAnsi="Times New Roman" w:eastAsia="宋体" w:cs="Times New Roman"/>
                <w:color w:val="000000" w:themeColor="text1"/>
                <w:kern w:val="0"/>
                <w:sz w:val="24"/>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 xml:space="preserve">（2）挖方路基 </w:t>
            </w:r>
          </w:p>
          <w:p w14:paraId="7684FC71">
            <w:pPr>
              <w:widowControl/>
              <w:spacing w:line="360" w:lineRule="auto"/>
              <w:ind w:firstLine="480" w:firstLineChars="200"/>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 xml:space="preserve">针对挖方路基，挖掘形式依路堑深度和纵向长度采取分段全断面横挖法，从路堑一 端或两端按横断面全宽逐渐向前开挖。土方开挖自上而下进行，采取以大型挖掘机和装载机为主，近距离纵向调配以推土机为主，远距离以挖掘机挖，自卸汽车运输为主。 </w:t>
            </w:r>
          </w:p>
          <w:p w14:paraId="1D960EB8">
            <w:pPr>
              <w:widowControl/>
              <w:spacing w:line="360" w:lineRule="auto"/>
              <w:ind w:firstLine="480" w:firstLineChars="200"/>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 xml:space="preserve">（3）路基填筑 </w:t>
            </w:r>
          </w:p>
          <w:p w14:paraId="75315B49">
            <w:pPr>
              <w:widowControl/>
              <w:spacing w:line="360" w:lineRule="auto"/>
              <w:ind w:firstLine="480" w:firstLineChars="200"/>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 xml:space="preserve">路基填筑采用水平分层全断面填筑方法施工，逐段逐层向上填筑。对于路基范围开挖出来的土，经试验符合填料要求的土作为填方的材料充分利用，不同的填料分层填筑。 </w:t>
            </w:r>
          </w:p>
          <w:p w14:paraId="0424CDCB">
            <w:pPr>
              <w:widowControl/>
              <w:spacing w:line="360" w:lineRule="auto"/>
              <w:ind w:firstLine="480" w:firstLineChars="200"/>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 xml:space="preserve">路基填筑采取挖、装、运、摊、平、压路机压实的机械化流水作业，摊平土方时每层摊铺厚度控制在 40cm，要求挂线施工，每层填压的土方均要平行于最终的路基表面。 </w:t>
            </w:r>
          </w:p>
          <w:p w14:paraId="719C33C3">
            <w:pPr>
              <w:widowControl/>
              <w:spacing w:line="360" w:lineRule="auto"/>
              <w:ind w:firstLine="480" w:firstLineChars="200"/>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 xml:space="preserve">（4）特殊路基段施工 </w:t>
            </w:r>
          </w:p>
          <w:p w14:paraId="05400102">
            <w:pPr>
              <w:widowControl/>
              <w:spacing w:line="360" w:lineRule="auto"/>
              <w:ind w:firstLine="480" w:firstLineChars="200"/>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全线有低填浅挖路段 783m，采用路基基底换填石渣的方法来处理。基底开挖须选择适宜季节施工，避开雨季，如施工期无法避开雨季，应做好临时排水、围挡工程，并在开挖后及时回填，禁止雨水浸泡。当地下水位较高，开挖后基底出水无法碾压时，应先回填一层（碾压层厚）碎石土再进行碾压。</w:t>
            </w:r>
          </w:p>
          <w:p w14:paraId="15F096D9">
            <w:pPr>
              <w:widowControl/>
              <w:spacing w:line="360" w:lineRule="auto"/>
              <w:ind w:firstLine="482"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此过程会产生施工扬尘及运输车辆排放废气G</w:t>
            </w:r>
            <w:r>
              <w:rPr>
                <w:rFonts w:hint="default" w:ascii="Times New Roman" w:hAnsi="Times New Roman" w:eastAsia="宋体" w:cs="Times New Roman"/>
                <w:b/>
                <w:bCs/>
                <w:color w:val="000000" w:themeColor="text1"/>
                <w:kern w:val="0"/>
                <w:sz w:val="24"/>
                <w:highlight w:val="none"/>
                <w:vertAlign w:val="subscript"/>
                <w:lang w:bidi="ar"/>
                <w14:textFill>
                  <w14:solidFill>
                    <w14:schemeClr w14:val="tx1"/>
                  </w14:solidFill>
                </w14:textFill>
              </w:rPr>
              <w:t>1</w:t>
            </w: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、设备噪声N以及开挖固废S</w:t>
            </w:r>
            <w:r>
              <w:rPr>
                <w:rFonts w:hint="default" w:ascii="Times New Roman" w:hAnsi="Times New Roman" w:eastAsia="宋体" w:cs="Times New Roman"/>
                <w:b/>
                <w:bCs/>
                <w:color w:val="000000" w:themeColor="text1"/>
                <w:kern w:val="0"/>
                <w:sz w:val="24"/>
                <w:highlight w:val="none"/>
                <w:vertAlign w:val="subscript"/>
                <w:lang w:bidi="ar"/>
                <w14:textFill>
                  <w14:solidFill>
                    <w14:schemeClr w14:val="tx1"/>
                  </w14:solidFill>
                </w14:textFill>
              </w:rPr>
              <w:t>1</w:t>
            </w: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w:t>
            </w:r>
          </w:p>
          <w:p w14:paraId="0553655B">
            <w:pPr>
              <w:widowControl/>
              <w:spacing w:line="360" w:lineRule="auto"/>
              <w:ind w:left="420" w:leftChars="200"/>
              <w:jc w:val="left"/>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w:t>
            </w:r>
            <w:r>
              <w:rPr>
                <w:rFonts w:hint="eastAsia" w:cs="Times New Roman"/>
                <w:b/>
                <w:bCs/>
                <w:color w:val="000000" w:themeColor="text1"/>
                <w:kern w:val="0"/>
                <w:sz w:val="24"/>
                <w:highlight w:val="none"/>
                <w:lang w:val="en-US" w:eastAsia="zh-CN" w:bidi="ar"/>
                <w14:textFill>
                  <w14:solidFill>
                    <w14:schemeClr w14:val="tx1"/>
                  </w14:solidFill>
                </w14:textFill>
              </w:rPr>
              <w:t>2</w:t>
            </w: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）路面工程</w:t>
            </w:r>
          </w:p>
          <w:p w14:paraId="26C8549A">
            <w:pPr>
              <w:widowControl/>
              <w:spacing w:line="360" w:lineRule="auto"/>
              <w:ind w:firstLine="480"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路基及桥涵工程完成后开始路面工程，按照图纸要求针对不同路面进行施工，路面工程以采用大型机械专业施工为主，以少量人工操作小型机械为辅。</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全线路面采用水泥混凝土面层的路面结构，</w:t>
            </w:r>
            <w:r>
              <w:rPr>
                <w:rFonts w:hint="eastAsia" w:cs="Times New Roman"/>
                <w:color w:val="000000" w:themeColor="text1"/>
                <w:kern w:val="0"/>
                <w:sz w:val="24"/>
                <w:highlight w:val="none"/>
                <w:lang w:val="en-US" w:eastAsia="zh-CN" w:bidi="ar"/>
                <w14:textFill>
                  <w14:solidFill>
                    <w14:schemeClr w14:val="tx1"/>
                  </w14:solidFill>
                </w14:textFill>
              </w:rPr>
              <w:t>水泥混凝土经拌合站拌合后运至路基进行水泥混凝土路面浇筑</w:t>
            </w: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w:t>
            </w:r>
          </w:p>
          <w:p w14:paraId="691D92C2">
            <w:pPr>
              <w:widowControl/>
              <w:spacing w:line="360" w:lineRule="auto"/>
              <w:ind w:firstLine="482" w:firstLineChars="200"/>
              <w:jc w:val="left"/>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此过程会产生施工扬尘、运输车辆排放废气、设备噪声N以及施工固废S</w:t>
            </w:r>
            <w:r>
              <w:rPr>
                <w:rFonts w:hint="default" w:ascii="Times New Roman" w:hAnsi="Times New Roman" w:eastAsia="宋体" w:cs="Times New Roman"/>
                <w:b/>
                <w:bCs/>
                <w:color w:val="000000" w:themeColor="text1"/>
                <w:kern w:val="0"/>
                <w:sz w:val="24"/>
                <w:highlight w:val="none"/>
                <w:vertAlign w:val="subscript"/>
                <w:lang w:bidi="ar"/>
                <w14:textFill>
                  <w14:solidFill>
                    <w14:schemeClr w14:val="tx1"/>
                  </w14:solidFill>
                </w14:textFill>
              </w:rPr>
              <w:t>3</w:t>
            </w: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w:t>
            </w:r>
          </w:p>
          <w:p w14:paraId="3CB54AFA">
            <w:pPr>
              <w:widowControl/>
              <w:spacing w:line="360" w:lineRule="auto"/>
              <w:ind w:firstLine="480"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取土场施工 </w:t>
            </w:r>
          </w:p>
          <w:p w14:paraId="7E6B2094">
            <w:pPr>
              <w:widowControl/>
              <w:spacing w:line="360" w:lineRule="auto"/>
              <w:ind w:firstLine="480" w:firstLineChars="20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本工程全线共设置取土场 1 处，取土采用挖掘机挖土装载机装土，汽车运输的方法。 同时坚持边建设边治理的原则，在取土时首先对可剥离区域进行表土剥离，平均剥离 20cm，初期集中堆放取土场一侧，待形成取土平台后，后剥离的表土直接用于覆土使 用。待取土结束后进行平整，并对边坡进行整理，整形后的边坡坡率不陡于 1：2，与临近地形相协调。施工结束后取土场采取覆土、土地整治措施，坑底及边坡恢复植被。 </w:t>
            </w:r>
          </w:p>
          <w:p w14:paraId="37ECBC98">
            <w:pPr>
              <w:widowControl/>
              <w:spacing w:line="360" w:lineRule="auto"/>
              <w:ind w:firstLine="482" w:firstLineChars="200"/>
              <w:jc w:val="left"/>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此过程会产生</w:t>
            </w:r>
            <w:r>
              <w:rPr>
                <w:rFonts w:hint="eastAsia" w:cs="Times New Roman"/>
                <w:b/>
                <w:bCs/>
                <w:color w:val="000000" w:themeColor="text1"/>
                <w:kern w:val="0"/>
                <w:sz w:val="24"/>
                <w:highlight w:val="none"/>
                <w:lang w:val="en-US" w:eastAsia="zh-CN" w:bidi="ar"/>
                <w14:textFill>
                  <w14:solidFill>
                    <w14:schemeClr w14:val="tx1"/>
                  </w14:solidFill>
                </w14:textFill>
              </w:rPr>
              <w:t>取土场取土</w:t>
            </w: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施工扬尘、运输车辆排放废气。</w:t>
            </w:r>
          </w:p>
          <w:p w14:paraId="47B97553">
            <w:pPr>
              <w:widowControl/>
              <w:spacing w:line="360" w:lineRule="auto"/>
              <w:ind w:firstLine="480"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施工生产生活区 </w:t>
            </w:r>
          </w:p>
          <w:p w14:paraId="670B61BB">
            <w:pPr>
              <w:widowControl/>
              <w:spacing w:line="360" w:lineRule="auto"/>
              <w:ind w:firstLine="480" w:firstLineChars="20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本工程设施工生产生活区 1 处，施工准备期场地进行简单的整平，挖高填低。主要以机械施工为主，推土机推土、摊平，使用轻型压路机碾压，最后修筑施工生活设施，施工结束后，实施土地整治并人工种草恢复植被。</w:t>
            </w:r>
          </w:p>
          <w:p w14:paraId="38501DD7">
            <w:pPr>
              <w:widowControl/>
              <w:spacing w:line="360" w:lineRule="auto"/>
              <w:ind w:firstLine="482" w:firstLineChars="200"/>
              <w:jc w:val="left"/>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此过程会产生</w:t>
            </w:r>
            <w:r>
              <w:rPr>
                <w:rFonts w:hint="eastAsia" w:cs="Times New Roman"/>
                <w:b/>
                <w:bCs/>
                <w:color w:val="000000" w:themeColor="text1"/>
                <w:kern w:val="0"/>
                <w:sz w:val="24"/>
                <w:highlight w:val="none"/>
                <w:lang w:val="en-US" w:eastAsia="zh-CN" w:bidi="ar"/>
                <w14:textFill>
                  <w14:solidFill>
                    <w14:schemeClr w14:val="tx1"/>
                  </w14:solidFill>
                </w14:textFill>
              </w:rPr>
              <w:t>拌合站粉尘</w:t>
            </w: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、运输车辆排放废气。</w:t>
            </w:r>
          </w:p>
          <w:p w14:paraId="00AF2A5E">
            <w:pPr>
              <w:widowControl/>
              <w:spacing w:line="360" w:lineRule="auto"/>
              <w:ind w:firstLine="480"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施工便道施工 </w:t>
            </w:r>
          </w:p>
          <w:p w14:paraId="6CCBF84F">
            <w:pPr>
              <w:widowControl/>
              <w:spacing w:line="360" w:lineRule="auto"/>
              <w:ind w:firstLine="480"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本工程在尽可能利用即有道路作为施工便道的情况下，修建纵向运营、施工便道长 5.5km，取土场施工便道 0.9km，便道纵向顺自然地形，全部采用 20cm 厚石渣路面。修筑施工便道主要通过压路机、推土机等机械施工。在施工便道上设置齐全的交通安全标志，保证车辆通行安全。</w:t>
            </w:r>
          </w:p>
          <w:p w14:paraId="52C2C267">
            <w:pPr>
              <w:widowControl/>
              <w:spacing w:line="360" w:lineRule="auto"/>
              <w:ind w:firstLine="482" w:firstLineChars="200"/>
              <w:jc w:val="left"/>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此过程会产生</w:t>
            </w:r>
            <w:r>
              <w:rPr>
                <w:rFonts w:hint="eastAsia" w:cs="Times New Roman"/>
                <w:b/>
                <w:bCs/>
                <w:color w:val="000000" w:themeColor="text1"/>
                <w:kern w:val="0"/>
                <w:sz w:val="24"/>
                <w:highlight w:val="none"/>
                <w:lang w:val="en-US" w:eastAsia="zh-CN" w:bidi="ar"/>
                <w14:textFill>
                  <w14:solidFill>
                    <w14:schemeClr w14:val="tx1"/>
                  </w14:solidFill>
                </w14:textFill>
              </w:rPr>
              <w:t>施工便道施工粉尘</w:t>
            </w: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w:t>
            </w:r>
          </w:p>
          <w:p w14:paraId="2B8D4C19">
            <w:pPr>
              <w:spacing w:line="360" w:lineRule="auto"/>
              <w:ind w:firstLine="478" w:firstLineChars="200"/>
              <w:rPr>
                <w:rFonts w:hint="eastAsia" w:ascii="Times New Roman" w:hAnsi="Times New Roman" w:eastAsia="宋体" w:cs="Times New Roman"/>
                <w:color w:val="000000" w:themeColor="text1"/>
                <w:spacing w:val="-1"/>
                <w:sz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1"/>
                <w:sz w:val="24"/>
                <w:highlight w:val="none"/>
                <w14:textFill>
                  <w14:solidFill>
                    <w14:schemeClr w14:val="tx1"/>
                  </w14:solidFill>
                </w14:textFill>
              </w:rPr>
              <w:t>施工期产生污染物的环节</w:t>
            </w:r>
            <w:r>
              <w:rPr>
                <w:rFonts w:hint="eastAsia" w:ascii="Times New Roman" w:hAnsi="Times New Roman" w:eastAsia="宋体" w:cs="Times New Roman"/>
                <w:b/>
                <w:bCs/>
                <w:color w:val="000000" w:themeColor="text1"/>
                <w:spacing w:val="-1"/>
                <w:sz w:val="24"/>
                <w:highlight w:val="none"/>
                <w:lang w:eastAsia="zh-CN"/>
                <w14:textFill>
                  <w14:solidFill>
                    <w14:schemeClr w14:val="tx1"/>
                  </w14:solidFill>
                </w14:textFill>
              </w:rPr>
              <w:t>：</w:t>
            </w:r>
          </w:p>
          <w:p w14:paraId="2141E228">
            <w:pPr>
              <w:spacing w:line="360" w:lineRule="auto"/>
              <w:ind w:firstLine="476" w:firstLineChars="200"/>
              <w:rPr>
                <w:rFonts w:hint="default" w:ascii="Times New Roman" w:hAnsi="Times New Roman" w:eastAsia="宋体" w:cs="Times New Roman"/>
                <w:color w:val="000000" w:themeColor="text1"/>
                <w:spacing w:val="-1"/>
                <w:sz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highlight w:val="none"/>
                <w14:textFill>
                  <w14:solidFill>
                    <w14:schemeClr w14:val="tx1"/>
                  </w14:solidFill>
                </w14:textFill>
              </w:rPr>
              <w:t>根据项目的施工期特点，项目施工期废气主要为施工扬尘、汽车尾气；废水主要是生活污水；噪声主要为车辆噪声，固体废物主要为生活垃圾和建筑垃圾，主要污染源汇总详见表</w:t>
            </w:r>
            <w:r>
              <w:rPr>
                <w:rFonts w:hint="eastAsia" w:ascii="Times New Roman" w:hAnsi="Times New Roman" w:eastAsia="宋体" w:cs="Times New Roman"/>
                <w:color w:val="000000" w:themeColor="text1"/>
                <w:spacing w:val="-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1"/>
                <w:sz w:val="24"/>
                <w:highlight w:val="none"/>
                <w14:textFill>
                  <w14:solidFill>
                    <w14:schemeClr w14:val="tx1"/>
                  </w14:solidFill>
                </w14:textFill>
              </w:rPr>
              <w:t>-1</w:t>
            </w:r>
            <w:r>
              <w:rPr>
                <w:rFonts w:hint="eastAsia" w:cs="Times New Roman"/>
                <w:color w:val="000000" w:themeColor="text1"/>
                <w:spacing w:val="-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1"/>
                <w:sz w:val="24"/>
                <w:highlight w:val="none"/>
                <w14:textFill>
                  <w14:solidFill>
                    <w14:schemeClr w14:val="tx1"/>
                  </w14:solidFill>
                </w14:textFill>
              </w:rPr>
              <w:t>。</w:t>
            </w:r>
          </w:p>
          <w:p w14:paraId="6A4C232B">
            <w:pPr>
              <w:jc w:val="center"/>
              <w:rPr>
                <w:rFonts w:hint="default" w:ascii="Times New Roman" w:hAnsi="Times New Roman" w:eastAsia="宋体" w:cs="Times New Roman"/>
                <w:b/>
                <w:color w:val="000000" w:themeColor="text1"/>
                <w:spacing w:val="-1"/>
                <w:szCs w:val="21"/>
                <w:highlight w:val="none"/>
                <w14:textFill>
                  <w14:solidFill>
                    <w14:schemeClr w14:val="tx1"/>
                  </w14:solidFill>
                </w14:textFill>
              </w:rPr>
            </w:pPr>
          </w:p>
          <w:p w14:paraId="3F2AF5EE">
            <w:pPr>
              <w:jc w:val="center"/>
              <w:rPr>
                <w:rFonts w:hint="default" w:ascii="Times New Roman" w:hAnsi="Times New Roman" w:eastAsia="宋体" w:cs="Times New Roman"/>
                <w:color w:val="000000" w:themeColor="text1"/>
                <w:spacing w:val="-1"/>
                <w:sz w:val="24"/>
                <w:highlight w:val="none"/>
                <w14:textFill>
                  <w14:solidFill>
                    <w14:schemeClr w14:val="tx1"/>
                  </w14:solidFill>
                </w14:textFill>
              </w:rPr>
            </w:pPr>
            <w:r>
              <w:rPr>
                <w:rFonts w:hint="default" w:ascii="Times New Roman" w:hAnsi="Times New Roman" w:eastAsia="宋体" w:cs="Times New Roman"/>
                <w:b/>
                <w:color w:val="000000" w:themeColor="text1"/>
                <w:spacing w:val="-1"/>
                <w:szCs w:val="21"/>
                <w:highlight w:val="none"/>
                <w14:textFill>
                  <w14:solidFill>
                    <w14:schemeClr w14:val="tx1"/>
                  </w14:solidFill>
                </w14:textFill>
              </w:rPr>
              <w:t>表</w:t>
            </w:r>
            <w:r>
              <w:rPr>
                <w:rFonts w:hint="eastAsia" w:ascii="Times New Roman" w:hAnsi="Times New Roman" w:eastAsia="宋体" w:cs="Times New Roman"/>
                <w:b/>
                <w:color w:val="000000" w:themeColor="text1"/>
                <w:spacing w:val="-1"/>
                <w:szCs w:val="21"/>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pacing w:val="-1"/>
                <w:szCs w:val="21"/>
                <w:highlight w:val="none"/>
                <w14:textFill>
                  <w14:solidFill>
                    <w14:schemeClr w14:val="tx1"/>
                  </w14:solidFill>
                </w14:textFill>
              </w:rPr>
              <w:t>-</w:t>
            </w:r>
            <w:r>
              <w:rPr>
                <w:rFonts w:hint="eastAsia" w:cs="Times New Roman"/>
                <w:b/>
                <w:color w:val="000000" w:themeColor="text1"/>
                <w:spacing w:val="-1"/>
                <w:szCs w:val="21"/>
                <w:highlight w:val="none"/>
                <w:lang w:val="en-US" w:eastAsia="zh-CN"/>
                <w14:textFill>
                  <w14:solidFill>
                    <w14:schemeClr w14:val="tx1"/>
                  </w14:solidFill>
                </w14:textFill>
              </w:rPr>
              <w:t>12施工期</w:t>
            </w:r>
            <w:r>
              <w:rPr>
                <w:rFonts w:hint="default" w:ascii="Times New Roman" w:hAnsi="Times New Roman" w:eastAsia="宋体" w:cs="Times New Roman"/>
                <w:b/>
                <w:color w:val="000000" w:themeColor="text1"/>
                <w:spacing w:val="-1"/>
                <w:szCs w:val="21"/>
                <w:highlight w:val="none"/>
                <w14:textFill>
                  <w14:solidFill>
                    <w14:schemeClr w14:val="tx1"/>
                  </w14:solidFill>
                </w14:textFill>
              </w:rPr>
              <w:t>产生污染物环节一览表</w:t>
            </w:r>
          </w:p>
          <w:tbl>
            <w:tblPr>
              <w:tblStyle w:val="30"/>
              <w:tblW w:w="7889" w:type="dxa"/>
              <w:jc w:val="center"/>
              <w:tblLayout w:type="fixed"/>
              <w:tblCellMar>
                <w:top w:w="0" w:type="dxa"/>
                <w:left w:w="108" w:type="dxa"/>
                <w:bottom w:w="0" w:type="dxa"/>
                <w:right w:w="108" w:type="dxa"/>
              </w:tblCellMar>
            </w:tblPr>
            <w:tblGrid>
              <w:gridCol w:w="879"/>
              <w:gridCol w:w="1334"/>
              <w:gridCol w:w="1884"/>
              <w:gridCol w:w="3792"/>
            </w:tblGrid>
            <w:tr w14:paraId="2FE454B3">
              <w:tblPrEx>
                <w:tblCellMar>
                  <w:top w:w="0" w:type="dxa"/>
                  <w:left w:w="108" w:type="dxa"/>
                  <w:bottom w:w="0" w:type="dxa"/>
                  <w:right w:w="108" w:type="dxa"/>
                </w:tblCellMar>
              </w:tblPrEx>
              <w:trPr>
                <w:trHeight w:val="340" w:hRule="atLeast"/>
                <w:jc w:val="center"/>
              </w:trPr>
              <w:tc>
                <w:tcPr>
                  <w:tcW w:w="557" w:type="pct"/>
                  <w:tcBorders>
                    <w:top w:val="single" w:color="000000" w:sz="4" w:space="0"/>
                    <w:left w:val="single" w:color="000000" w:sz="4" w:space="0"/>
                    <w:bottom w:val="single" w:color="000000" w:sz="4" w:space="0"/>
                    <w:right w:val="single" w:color="000000" w:sz="4" w:space="0"/>
                  </w:tcBorders>
                  <w:vAlign w:val="center"/>
                </w:tcPr>
                <w:p w14:paraId="2A344858">
                  <w:pPr>
                    <w:widowControl/>
                    <w:jc w:val="center"/>
                    <w:rPr>
                      <w:rFonts w:hint="default" w:ascii="Times New Roman" w:hAnsi="Times New Roman" w:eastAsia="宋体" w:cs="Times New Roman"/>
                      <w:b/>
                      <w:color w:val="000000" w:themeColor="text1"/>
                      <w:spacing w:val="-1"/>
                      <w:szCs w:val="21"/>
                      <w:highlight w:val="none"/>
                      <w14:textFill>
                        <w14:solidFill>
                          <w14:schemeClr w14:val="tx1"/>
                        </w14:solidFill>
                      </w14:textFill>
                    </w:rPr>
                  </w:pPr>
                  <w:r>
                    <w:rPr>
                      <w:rFonts w:hint="default" w:ascii="Times New Roman" w:hAnsi="Times New Roman" w:eastAsia="宋体" w:cs="Times New Roman"/>
                      <w:b/>
                      <w:color w:val="000000" w:themeColor="text1"/>
                      <w:spacing w:val="-1"/>
                      <w:szCs w:val="21"/>
                      <w:highlight w:val="none"/>
                      <w14:textFill>
                        <w14:solidFill>
                          <w14:schemeClr w14:val="tx1"/>
                        </w14:solidFill>
                      </w14:textFill>
                    </w:rPr>
                    <w:t>类别</w:t>
                  </w:r>
                </w:p>
              </w:tc>
              <w:tc>
                <w:tcPr>
                  <w:tcW w:w="845" w:type="pct"/>
                  <w:tcBorders>
                    <w:top w:val="single" w:color="000000" w:sz="4" w:space="0"/>
                    <w:left w:val="single" w:color="000000" w:sz="4" w:space="0"/>
                    <w:bottom w:val="single" w:color="000000" w:sz="4" w:space="0"/>
                    <w:right w:val="single" w:color="000000" w:sz="4" w:space="0"/>
                  </w:tcBorders>
                  <w:vAlign w:val="center"/>
                </w:tcPr>
                <w:p w14:paraId="0BA3D88B">
                  <w:pPr>
                    <w:widowControl/>
                    <w:jc w:val="center"/>
                    <w:rPr>
                      <w:rFonts w:hint="default" w:ascii="Times New Roman" w:hAnsi="Times New Roman" w:eastAsia="宋体" w:cs="Times New Roman"/>
                      <w:b/>
                      <w:color w:val="000000" w:themeColor="text1"/>
                      <w:spacing w:val="-1"/>
                      <w:szCs w:val="21"/>
                      <w:highlight w:val="none"/>
                      <w14:textFill>
                        <w14:solidFill>
                          <w14:schemeClr w14:val="tx1"/>
                        </w14:solidFill>
                      </w14:textFill>
                    </w:rPr>
                  </w:pPr>
                  <w:r>
                    <w:rPr>
                      <w:rFonts w:hint="default" w:ascii="Times New Roman" w:hAnsi="Times New Roman" w:eastAsia="宋体" w:cs="Times New Roman"/>
                      <w:b/>
                      <w:color w:val="000000" w:themeColor="text1"/>
                      <w:spacing w:val="-1"/>
                      <w:szCs w:val="21"/>
                      <w:highlight w:val="none"/>
                      <w14:textFill>
                        <w14:solidFill>
                          <w14:schemeClr w14:val="tx1"/>
                        </w14:solidFill>
                      </w14:textFill>
                    </w:rPr>
                    <w:t>主要环节</w:t>
                  </w:r>
                </w:p>
              </w:tc>
              <w:tc>
                <w:tcPr>
                  <w:tcW w:w="1194" w:type="pct"/>
                  <w:tcBorders>
                    <w:top w:val="single" w:color="000000" w:sz="4" w:space="0"/>
                    <w:left w:val="single" w:color="000000" w:sz="4" w:space="0"/>
                    <w:bottom w:val="single" w:color="000000" w:sz="4" w:space="0"/>
                    <w:right w:val="single" w:color="000000" w:sz="4" w:space="0"/>
                  </w:tcBorders>
                  <w:vAlign w:val="center"/>
                </w:tcPr>
                <w:p w14:paraId="7BBAE5C4">
                  <w:pPr>
                    <w:widowControl/>
                    <w:jc w:val="center"/>
                    <w:rPr>
                      <w:rFonts w:hint="default" w:ascii="Times New Roman" w:hAnsi="Times New Roman" w:eastAsia="宋体" w:cs="Times New Roman"/>
                      <w:b/>
                      <w:color w:val="000000" w:themeColor="text1"/>
                      <w:spacing w:val="-1"/>
                      <w:szCs w:val="21"/>
                      <w:highlight w:val="none"/>
                      <w14:textFill>
                        <w14:solidFill>
                          <w14:schemeClr w14:val="tx1"/>
                        </w14:solidFill>
                      </w14:textFill>
                    </w:rPr>
                  </w:pPr>
                  <w:r>
                    <w:rPr>
                      <w:rFonts w:hint="default" w:ascii="Times New Roman" w:hAnsi="Times New Roman" w:eastAsia="宋体" w:cs="Times New Roman"/>
                      <w:b/>
                      <w:color w:val="000000" w:themeColor="text1"/>
                      <w:spacing w:val="-1"/>
                      <w:szCs w:val="21"/>
                      <w:highlight w:val="none"/>
                      <w14:textFill>
                        <w14:solidFill>
                          <w14:schemeClr w14:val="tx1"/>
                        </w14:solidFill>
                      </w14:textFill>
                    </w:rPr>
                    <w:t>污染源名称</w:t>
                  </w:r>
                </w:p>
              </w:tc>
              <w:tc>
                <w:tcPr>
                  <w:tcW w:w="2403" w:type="pct"/>
                  <w:tcBorders>
                    <w:top w:val="single" w:color="000000" w:sz="4" w:space="0"/>
                    <w:left w:val="single" w:color="000000" w:sz="4" w:space="0"/>
                    <w:bottom w:val="single" w:color="000000" w:sz="4" w:space="0"/>
                    <w:right w:val="single" w:color="000000" w:sz="4" w:space="0"/>
                  </w:tcBorders>
                  <w:vAlign w:val="center"/>
                </w:tcPr>
                <w:p w14:paraId="3BC71DE6">
                  <w:pPr>
                    <w:widowControl/>
                    <w:jc w:val="center"/>
                    <w:rPr>
                      <w:rFonts w:hint="default" w:ascii="Times New Roman" w:hAnsi="Times New Roman" w:eastAsia="宋体" w:cs="Times New Roman"/>
                      <w:b/>
                      <w:color w:val="000000" w:themeColor="text1"/>
                      <w:spacing w:val="-1"/>
                      <w:szCs w:val="21"/>
                      <w:highlight w:val="none"/>
                      <w14:textFill>
                        <w14:solidFill>
                          <w14:schemeClr w14:val="tx1"/>
                        </w14:solidFill>
                      </w14:textFill>
                    </w:rPr>
                  </w:pPr>
                  <w:r>
                    <w:rPr>
                      <w:rFonts w:hint="default" w:ascii="Times New Roman" w:hAnsi="Times New Roman" w:eastAsia="宋体" w:cs="Times New Roman"/>
                      <w:b/>
                      <w:color w:val="000000" w:themeColor="text1"/>
                      <w:spacing w:val="-1"/>
                      <w:szCs w:val="21"/>
                      <w:highlight w:val="none"/>
                      <w14:textFill>
                        <w14:solidFill>
                          <w14:schemeClr w14:val="tx1"/>
                        </w14:solidFill>
                      </w14:textFill>
                    </w:rPr>
                    <w:t>污染因素</w:t>
                  </w:r>
                </w:p>
              </w:tc>
            </w:tr>
            <w:tr w14:paraId="4745E03B">
              <w:tblPrEx>
                <w:tblCellMar>
                  <w:top w:w="0" w:type="dxa"/>
                  <w:left w:w="108" w:type="dxa"/>
                  <w:bottom w:w="0" w:type="dxa"/>
                  <w:right w:w="108" w:type="dxa"/>
                </w:tblCellMar>
              </w:tblPrEx>
              <w:trPr>
                <w:trHeight w:val="311" w:hRule="atLeast"/>
                <w:jc w:val="center"/>
              </w:trPr>
              <w:tc>
                <w:tcPr>
                  <w:tcW w:w="557" w:type="pct"/>
                  <w:vMerge w:val="restart"/>
                  <w:tcBorders>
                    <w:top w:val="single" w:color="000000" w:sz="4" w:space="0"/>
                    <w:left w:val="single" w:color="000000" w:sz="4" w:space="0"/>
                    <w:right w:val="single" w:color="000000" w:sz="4" w:space="0"/>
                  </w:tcBorders>
                  <w:vAlign w:val="center"/>
                </w:tcPr>
                <w:p w14:paraId="3F95A09A">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废气</w:t>
                  </w:r>
                </w:p>
              </w:tc>
              <w:tc>
                <w:tcPr>
                  <w:tcW w:w="845" w:type="pct"/>
                  <w:vMerge w:val="restart"/>
                  <w:tcBorders>
                    <w:top w:val="single" w:color="000000" w:sz="4" w:space="0"/>
                    <w:left w:val="single" w:color="000000" w:sz="4" w:space="0"/>
                    <w:right w:val="single" w:color="000000" w:sz="4" w:space="0"/>
                  </w:tcBorders>
                  <w:vAlign w:val="center"/>
                </w:tcPr>
                <w:p w14:paraId="785A179A">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施工扬尘</w:t>
                  </w:r>
                </w:p>
              </w:tc>
              <w:tc>
                <w:tcPr>
                  <w:tcW w:w="1194" w:type="pct"/>
                  <w:tcBorders>
                    <w:top w:val="single" w:color="000000" w:sz="4" w:space="0"/>
                    <w:left w:val="single" w:color="000000" w:sz="4" w:space="0"/>
                    <w:bottom w:val="single" w:color="000000" w:sz="4" w:space="0"/>
                    <w:right w:val="single" w:color="000000" w:sz="4" w:space="0"/>
                  </w:tcBorders>
                  <w:vAlign w:val="center"/>
                </w:tcPr>
                <w:p w14:paraId="7EF3B79D">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eastAsia" w:cs="Times New Roman"/>
                      <w:color w:val="000000" w:themeColor="text1"/>
                      <w:spacing w:val="-1"/>
                      <w:szCs w:val="21"/>
                      <w:highlight w:val="none"/>
                      <w:lang w:val="en-US" w:eastAsia="zh-CN"/>
                      <w14:textFill>
                        <w14:solidFill>
                          <w14:schemeClr w14:val="tx1"/>
                        </w14:solidFill>
                      </w14:textFill>
                    </w:rPr>
                    <w:t>道路施工</w:t>
                  </w:r>
                  <w:r>
                    <w:rPr>
                      <w:rFonts w:hint="default" w:ascii="Times New Roman" w:hAnsi="Times New Roman" w:eastAsia="宋体" w:cs="Times New Roman"/>
                      <w:color w:val="000000" w:themeColor="text1"/>
                      <w:spacing w:val="-1"/>
                      <w:szCs w:val="21"/>
                      <w:highlight w:val="none"/>
                      <w14:textFill>
                        <w14:solidFill>
                          <w14:schemeClr w14:val="tx1"/>
                        </w14:solidFill>
                      </w14:textFill>
                    </w:rPr>
                    <w:t>扬尘</w:t>
                  </w:r>
                </w:p>
              </w:tc>
              <w:tc>
                <w:tcPr>
                  <w:tcW w:w="2403" w:type="pct"/>
                  <w:tcBorders>
                    <w:top w:val="single" w:color="000000" w:sz="4" w:space="0"/>
                    <w:left w:val="single" w:color="000000" w:sz="4" w:space="0"/>
                    <w:bottom w:val="single" w:color="000000" w:sz="4" w:space="0"/>
                    <w:right w:val="single" w:color="000000" w:sz="4" w:space="0"/>
                  </w:tcBorders>
                  <w:vAlign w:val="center"/>
                </w:tcPr>
                <w:p w14:paraId="493B7412">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颗粒物</w:t>
                  </w:r>
                </w:p>
              </w:tc>
            </w:tr>
            <w:tr w14:paraId="65D38C77">
              <w:tblPrEx>
                <w:tblCellMar>
                  <w:top w:w="0" w:type="dxa"/>
                  <w:left w:w="108" w:type="dxa"/>
                  <w:bottom w:w="0" w:type="dxa"/>
                  <w:right w:w="108" w:type="dxa"/>
                </w:tblCellMar>
              </w:tblPrEx>
              <w:trPr>
                <w:trHeight w:val="259" w:hRule="atLeast"/>
                <w:jc w:val="center"/>
              </w:trPr>
              <w:tc>
                <w:tcPr>
                  <w:tcW w:w="557" w:type="pct"/>
                  <w:vMerge w:val="continue"/>
                  <w:tcBorders>
                    <w:left w:val="single" w:color="000000" w:sz="4" w:space="0"/>
                    <w:right w:val="single" w:color="000000" w:sz="4" w:space="0"/>
                  </w:tcBorders>
                  <w:vAlign w:val="center"/>
                </w:tcPr>
                <w:p w14:paraId="5ED3FF37">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p>
              </w:tc>
              <w:tc>
                <w:tcPr>
                  <w:tcW w:w="845" w:type="pct"/>
                  <w:vMerge w:val="continue"/>
                  <w:tcBorders>
                    <w:left w:val="single" w:color="000000" w:sz="4" w:space="0"/>
                    <w:right w:val="single" w:color="000000" w:sz="4" w:space="0"/>
                  </w:tcBorders>
                  <w:vAlign w:val="center"/>
                </w:tcPr>
                <w:p w14:paraId="7BDAA542">
                  <w:pPr>
                    <w:widowControl/>
                    <w:ind w:firstLine="832" w:firstLineChars="400"/>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p>
              </w:tc>
              <w:tc>
                <w:tcPr>
                  <w:tcW w:w="1194" w:type="pct"/>
                  <w:tcBorders>
                    <w:top w:val="single" w:color="000000" w:sz="4" w:space="0"/>
                    <w:left w:val="single" w:color="000000" w:sz="4" w:space="0"/>
                    <w:bottom w:val="single" w:color="000000" w:sz="4" w:space="0"/>
                    <w:right w:val="single" w:color="000000" w:sz="4" w:space="0"/>
                  </w:tcBorders>
                  <w:vAlign w:val="center"/>
                </w:tcPr>
                <w:p w14:paraId="778A19AF">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eastAsia" w:cs="Times New Roman"/>
                      <w:color w:val="000000" w:themeColor="text1"/>
                      <w:spacing w:val="-1"/>
                      <w:szCs w:val="21"/>
                      <w:highlight w:val="none"/>
                      <w:lang w:val="en-US" w:eastAsia="zh-CN"/>
                      <w14:textFill>
                        <w14:solidFill>
                          <w14:schemeClr w14:val="tx1"/>
                        </w14:solidFill>
                      </w14:textFill>
                    </w:rPr>
                    <w:t>取土场取土</w:t>
                  </w:r>
                  <w:r>
                    <w:rPr>
                      <w:rFonts w:hint="default" w:ascii="Times New Roman" w:hAnsi="Times New Roman" w:eastAsia="宋体" w:cs="Times New Roman"/>
                      <w:color w:val="000000" w:themeColor="text1"/>
                      <w:spacing w:val="-1"/>
                      <w:szCs w:val="21"/>
                      <w:highlight w:val="none"/>
                      <w14:textFill>
                        <w14:solidFill>
                          <w14:schemeClr w14:val="tx1"/>
                        </w14:solidFill>
                      </w14:textFill>
                    </w:rPr>
                    <w:t>扬尘</w:t>
                  </w:r>
                </w:p>
              </w:tc>
              <w:tc>
                <w:tcPr>
                  <w:tcW w:w="2403" w:type="pct"/>
                  <w:tcBorders>
                    <w:top w:val="single" w:color="000000" w:sz="4" w:space="0"/>
                    <w:left w:val="single" w:color="000000" w:sz="4" w:space="0"/>
                    <w:bottom w:val="single" w:color="000000" w:sz="4" w:space="0"/>
                    <w:right w:val="single" w:color="000000" w:sz="4" w:space="0"/>
                  </w:tcBorders>
                  <w:vAlign w:val="center"/>
                </w:tcPr>
                <w:p w14:paraId="66D5897C">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颗粒物</w:t>
                  </w:r>
                </w:p>
              </w:tc>
            </w:tr>
            <w:tr w14:paraId="2DAF68B1">
              <w:tblPrEx>
                <w:tblCellMar>
                  <w:top w:w="0" w:type="dxa"/>
                  <w:left w:w="108" w:type="dxa"/>
                  <w:bottom w:w="0" w:type="dxa"/>
                  <w:right w:w="108" w:type="dxa"/>
                </w:tblCellMar>
              </w:tblPrEx>
              <w:trPr>
                <w:trHeight w:val="259" w:hRule="atLeast"/>
                <w:jc w:val="center"/>
              </w:trPr>
              <w:tc>
                <w:tcPr>
                  <w:tcW w:w="557" w:type="pct"/>
                  <w:vMerge w:val="continue"/>
                  <w:tcBorders>
                    <w:left w:val="single" w:color="000000" w:sz="4" w:space="0"/>
                    <w:right w:val="single" w:color="000000" w:sz="4" w:space="0"/>
                  </w:tcBorders>
                  <w:vAlign w:val="center"/>
                </w:tcPr>
                <w:p w14:paraId="74B808E3">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p>
              </w:tc>
              <w:tc>
                <w:tcPr>
                  <w:tcW w:w="845" w:type="pct"/>
                  <w:vMerge w:val="continue"/>
                  <w:tcBorders>
                    <w:left w:val="single" w:color="000000" w:sz="4" w:space="0"/>
                    <w:bottom w:val="single" w:color="000000" w:sz="4" w:space="0"/>
                    <w:right w:val="single" w:color="000000" w:sz="4" w:space="0"/>
                  </w:tcBorders>
                  <w:vAlign w:val="center"/>
                </w:tcPr>
                <w:p w14:paraId="64FE6FE3">
                  <w:pPr>
                    <w:widowControl/>
                    <w:ind w:firstLine="832" w:firstLineChars="400"/>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p>
              </w:tc>
              <w:tc>
                <w:tcPr>
                  <w:tcW w:w="1194" w:type="pct"/>
                  <w:tcBorders>
                    <w:top w:val="single" w:color="000000" w:sz="4" w:space="0"/>
                    <w:left w:val="single" w:color="000000" w:sz="4" w:space="0"/>
                    <w:bottom w:val="single" w:color="000000" w:sz="4" w:space="0"/>
                    <w:right w:val="single" w:color="000000" w:sz="4" w:space="0"/>
                  </w:tcBorders>
                  <w:vAlign w:val="center"/>
                </w:tcPr>
                <w:p w14:paraId="5FD51FD5">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eastAsia" w:cs="Times New Roman"/>
                      <w:color w:val="000000" w:themeColor="text1"/>
                      <w:spacing w:val="-1"/>
                      <w:szCs w:val="21"/>
                      <w:highlight w:val="none"/>
                      <w:lang w:val="en-US" w:eastAsia="zh-CN"/>
                      <w14:textFill>
                        <w14:solidFill>
                          <w14:schemeClr w14:val="tx1"/>
                        </w14:solidFill>
                      </w14:textFill>
                    </w:rPr>
                    <w:t>拌合站</w:t>
                  </w:r>
                  <w:r>
                    <w:rPr>
                      <w:rFonts w:hint="default" w:ascii="Times New Roman" w:hAnsi="Times New Roman" w:eastAsia="宋体" w:cs="Times New Roman"/>
                      <w:color w:val="000000" w:themeColor="text1"/>
                      <w:spacing w:val="-1"/>
                      <w:szCs w:val="21"/>
                      <w:highlight w:val="none"/>
                      <w14:textFill>
                        <w14:solidFill>
                          <w14:schemeClr w14:val="tx1"/>
                        </w14:solidFill>
                      </w14:textFill>
                    </w:rPr>
                    <w:t>扬尘</w:t>
                  </w:r>
                </w:p>
              </w:tc>
              <w:tc>
                <w:tcPr>
                  <w:tcW w:w="2403" w:type="pct"/>
                  <w:tcBorders>
                    <w:top w:val="single" w:color="000000" w:sz="4" w:space="0"/>
                    <w:left w:val="single" w:color="000000" w:sz="4" w:space="0"/>
                    <w:bottom w:val="single" w:color="000000" w:sz="4" w:space="0"/>
                    <w:right w:val="single" w:color="000000" w:sz="4" w:space="0"/>
                  </w:tcBorders>
                  <w:vAlign w:val="center"/>
                </w:tcPr>
                <w:p w14:paraId="4E852927">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颗粒物</w:t>
                  </w:r>
                </w:p>
              </w:tc>
            </w:tr>
            <w:tr w14:paraId="24F1E357">
              <w:tblPrEx>
                <w:tblCellMar>
                  <w:top w:w="0" w:type="dxa"/>
                  <w:left w:w="108" w:type="dxa"/>
                  <w:bottom w:w="0" w:type="dxa"/>
                  <w:right w:w="108" w:type="dxa"/>
                </w:tblCellMar>
              </w:tblPrEx>
              <w:trPr>
                <w:trHeight w:val="259" w:hRule="atLeast"/>
                <w:jc w:val="center"/>
              </w:trPr>
              <w:tc>
                <w:tcPr>
                  <w:tcW w:w="557" w:type="pct"/>
                  <w:vMerge w:val="continue"/>
                  <w:tcBorders>
                    <w:left w:val="single" w:color="000000" w:sz="4" w:space="0"/>
                    <w:bottom w:val="single" w:color="000000" w:sz="4" w:space="0"/>
                    <w:right w:val="single" w:color="000000" w:sz="4" w:space="0"/>
                  </w:tcBorders>
                  <w:vAlign w:val="center"/>
                </w:tcPr>
                <w:p w14:paraId="46F1347A">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p>
              </w:tc>
              <w:tc>
                <w:tcPr>
                  <w:tcW w:w="845" w:type="pct"/>
                  <w:tcBorders>
                    <w:left w:val="single" w:color="000000" w:sz="4" w:space="0"/>
                    <w:bottom w:val="single" w:color="000000" w:sz="4" w:space="0"/>
                    <w:right w:val="single" w:color="000000" w:sz="4" w:space="0"/>
                  </w:tcBorders>
                  <w:vAlign w:val="center"/>
                </w:tcPr>
                <w:p w14:paraId="2438C5E6">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汽车运输</w:t>
                  </w:r>
                </w:p>
              </w:tc>
              <w:tc>
                <w:tcPr>
                  <w:tcW w:w="1194" w:type="pct"/>
                  <w:tcBorders>
                    <w:top w:val="single" w:color="000000" w:sz="4" w:space="0"/>
                    <w:left w:val="single" w:color="000000" w:sz="4" w:space="0"/>
                    <w:bottom w:val="single" w:color="auto" w:sz="4" w:space="0"/>
                    <w:right w:val="single" w:color="000000" w:sz="4" w:space="0"/>
                  </w:tcBorders>
                  <w:vAlign w:val="center"/>
                </w:tcPr>
                <w:p w14:paraId="67B394B0">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汽车尾气</w:t>
                  </w:r>
                </w:p>
              </w:tc>
              <w:tc>
                <w:tcPr>
                  <w:tcW w:w="2403" w:type="pct"/>
                  <w:tcBorders>
                    <w:top w:val="single" w:color="000000" w:sz="4" w:space="0"/>
                    <w:left w:val="single" w:color="000000" w:sz="4" w:space="0"/>
                    <w:bottom w:val="single" w:color="auto" w:sz="4" w:space="0"/>
                    <w:right w:val="single" w:color="000000" w:sz="4" w:space="0"/>
                  </w:tcBorders>
                  <w:vAlign w:val="center"/>
                </w:tcPr>
                <w:p w14:paraId="5590F887">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CO、NOx、THC</w:t>
                  </w:r>
                </w:p>
              </w:tc>
            </w:tr>
            <w:tr w14:paraId="3E43327C">
              <w:tblPrEx>
                <w:tblCellMar>
                  <w:top w:w="0" w:type="dxa"/>
                  <w:left w:w="108" w:type="dxa"/>
                  <w:bottom w:w="0" w:type="dxa"/>
                  <w:right w:w="108" w:type="dxa"/>
                </w:tblCellMar>
              </w:tblPrEx>
              <w:trPr>
                <w:trHeight w:val="135" w:hRule="atLeast"/>
                <w:jc w:val="center"/>
              </w:trPr>
              <w:tc>
                <w:tcPr>
                  <w:tcW w:w="557" w:type="pct"/>
                  <w:tcBorders>
                    <w:top w:val="single" w:color="000000" w:sz="4" w:space="0"/>
                    <w:left w:val="single" w:color="000000" w:sz="4" w:space="0"/>
                    <w:right w:val="single" w:color="000000" w:sz="4" w:space="0"/>
                  </w:tcBorders>
                  <w:vAlign w:val="center"/>
                </w:tcPr>
                <w:p w14:paraId="710B7263">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废水</w:t>
                  </w:r>
                </w:p>
              </w:tc>
              <w:tc>
                <w:tcPr>
                  <w:tcW w:w="845" w:type="pct"/>
                  <w:tcBorders>
                    <w:top w:val="single" w:color="000000" w:sz="4" w:space="0"/>
                    <w:left w:val="single" w:color="000000" w:sz="4" w:space="0"/>
                    <w:bottom w:val="single" w:color="000000" w:sz="4" w:space="0"/>
                    <w:right w:val="single" w:color="auto" w:sz="4" w:space="0"/>
                  </w:tcBorders>
                  <w:vAlign w:val="center"/>
                </w:tcPr>
                <w:p w14:paraId="207ADFBA">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生活污水</w:t>
                  </w:r>
                </w:p>
              </w:tc>
              <w:tc>
                <w:tcPr>
                  <w:tcW w:w="1194" w:type="pct"/>
                  <w:tcBorders>
                    <w:top w:val="single" w:color="auto" w:sz="4" w:space="0"/>
                    <w:left w:val="single" w:color="auto" w:sz="4" w:space="0"/>
                    <w:bottom w:val="single" w:color="auto" w:sz="4" w:space="0"/>
                    <w:right w:val="single" w:color="auto" w:sz="4" w:space="0"/>
                  </w:tcBorders>
                  <w:vAlign w:val="center"/>
                </w:tcPr>
                <w:p w14:paraId="3B3B3C16">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生活污水</w:t>
                  </w:r>
                </w:p>
              </w:tc>
              <w:tc>
                <w:tcPr>
                  <w:tcW w:w="2403" w:type="pct"/>
                  <w:tcBorders>
                    <w:top w:val="single" w:color="auto" w:sz="4" w:space="0"/>
                    <w:left w:val="single" w:color="auto" w:sz="4" w:space="0"/>
                    <w:bottom w:val="single" w:color="auto" w:sz="4" w:space="0"/>
                    <w:right w:val="single" w:color="auto" w:sz="4" w:space="0"/>
                  </w:tcBorders>
                  <w:vAlign w:val="center"/>
                </w:tcPr>
                <w:p w14:paraId="06BC1C82">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COD、NH</w:t>
                  </w:r>
                  <w:r>
                    <w:rPr>
                      <w:rFonts w:hint="default" w:ascii="Times New Roman" w:hAnsi="Times New Roman" w:eastAsia="宋体" w:cs="Times New Roman"/>
                      <w:color w:val="000000" w:themeColor="text1"/>
                      <w:spacing w:val="-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pacing w:val="-1"/>
                      <w:szCs w:val="21"/>
                      <w:highlight w:val="none"/>
                      <w14:textFill>
                        <w14:solidFill>
                          <w14:schemeClr w14:val="tx1"/>
                        </w14:solidFill>
                      </w14:textFill>
                    </w:rPr>
                    <w:t>-N、动植物油、SS、BOD</w:t>
                  </w:r>
                  <w:r>
                    <w:rPr>
                      <w:rFonts w:hint="default" w:ascii="Times New Roman" w:hAnsi="Times New Roman" w:eastAsia="宋体" w:cs="Times New Roman"/>
                      <w:color w:val="000000" w:themeColor="text1"/>
                      <w:spacing w:val="-1"/>
                      <w:szCs w:val="21"/>
                      <w:highlight w:val="none"/>
                      <w:vertAlign w:val="subscript"/>
                      <w14:textFill>
                        <w14:solidFill>
                          <w14:schemeClr w14:val="tx1"/>
                        </w14:solidFill>
                      </w14:textFill>
                    </w:rPr>
                    <w:t>5</w:t>
                  </w:r>
                </w:p>
              </w:tc>
            </w:tr>
            <w:tr w14:paraId="58B36ACD">
              <w:tblPrEx>
                <w:tblCellMar>
                  <w:top w:w="0" w:type="dxa"/>
                  <w:left w:w="108" w:type="dxa"/>
                  <w:bottom w:w="0" w:type="dxa"/>
                  <w:right w:w="108" w:type="dxa"/>
                </w:tblCellMar>
              </w:tblPrEx>
              <w:trPr>
                <w:trHeight w:val="270" w:hRule="atLeast"/>
                <w:jc w:val="center"/>
              </w:trPr>
              <w:tc>
                <w:tcPr>
                  <w:tcW w:w="557" w:type="pct"/>
                  <w:tcBorders>
                    <w:top w:val="single" w:color="000000" w:sz="4" w:space="0"/>
                    <w:left w:val="single" w:color="000000" w:sz="4" w:space="0"/>
                    <w:right w:val="single" w:color="000000" w:sz="4" w:space="0"/>
                  </w:tcBorders>
                  <w:vAlign w:val="center"/>
                </w:tcPr>
                <w:p w14:paraId="6F5B1690">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固废</w:t>
                  </w:r>
                </w:p>
              </w:tc>
              <w:tc>
                <w:tcPr>
                  <w:tcW w:w="845" w:type="pct"/>
                  <w:tcBorders>
                    <w:top w:val="single" w:color="000000" w:sz="4" w:space="0"/>
                    <w:left w:val="single" w:color="000000" w:sz="4" w:space="0"/>
                    <w:bottom w:val="single" w:color="000000" w:sz="4" w:space="0"/>
                    <w:right w:val="single" w:color="auto" w:sz="4" w:space="0"/>
                  </w:tcBorders>
                  <w:vAlign w:val="center"/>
                </w:tcPr>
                <w:p w14:paraId="3B0102FD">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生活垃圾</w:t>
                  </w:r>
                </w:p>
              </w:tc>
              <w:tc>
                <w:tcPr>
                  <w:tcW w:w="1194" w:type="pct"/>
                  <w:tcBorders>
                    <w:top w:val="single" w:color="auto" w:sz="4" w:space="0"/>
                    <w:left w:val="single" w:color="auto" w:sz="4" w:space="0"/>
                    <w:bottom w:val="single" w:color="auto" w:sz="4" w:space="0"/>
                    <w:right w:val="single" w:color="auto" w:sz="4" w:space="0"/>
                  </w:tcBorders>
                  <w:vAlign w:val="center"/>
                </w:tcPr>
                <w:p w14:paraId="54DE357A">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生活垃圾</w:t>
                  </w:r>
                </w:p>
              </w:tc>
              <w:tc>
                <w:tcPr>
                  <w:tcW w:w="2403" w:type="pct"/>
                  <w:tcBorders>
                    <w:top w:val="single" w:color="auto" w:sz="4" w:space="0"/>
                    <w:left w:val="single" w:color="auto" w:sz="4" w:space="0"/>
                    <w:bottom w:val="single" w:color="auto" w:sz="4" w:space="0"/>
                    <w:right w:val="single" w:color="auto" w:sz="4" w:space="0"/>
                  </w:tcBorders>
                  <w:vAlign w:val="center"/>
                </w:tcPr>
                <w:p w14:paraId="7181F10B">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果皮、纸屑、塑料及包装废弃物</w:t>
                  </w:r>
                </w:p>
              </w:tc>
            </w:tr>
            <w:tr w14:paraId="0EE991B2">
              <w:tblPrEx>
                <w:tblCellMar>
                  <w:top w:w="0" w:type="dxa"/>
                  <w:left w:w="108" w:type="dxa"/>
                  <w:bottom w:w="0" w:type="dxa"/>
                  <w:right w:w="108" w:type="dxa"/>
                </w:tblCellMar>
              </w:tblPrEx>
              <w:trPr>
                <w:trHeight w:val="270" w:hRule="atLeast"/>
                <w:jc w:val="center"/>
              </w:trPr>
              <w:tc>
                <w:tcPr>
                  <w:tcW w:w="557" w:type="pct"/>
                  <w:vMerge w:val="restart"/>
                  <w:tcBorders>
                    <w:top w:val="single" w:color="auto" w:sz="4" w:space="0"/>
                    <w:left w:val="single" w:color="auto" w:sz="4" w:space="0"/>
                    <w:right w:val="single" w:color="auto" w:sz="4" w:space="0"/>
                  </w:tcBorders>
                  <w:vAlign w:val="center"/>
                </w:tcPr>
                <w:p w14:paraId="74C1F3B3">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噪声</w:t>
                  </w:r>
                </w:p>
              </w:tc>
              <w:tc>
                <w:tcPr>
                  <w:tcW w:w="845" w:type="pct"/>
                  <w:tcBorders>
                    <w:top w:val="single" w:color="auto" w:sz="4" w:space="0"/>
                    <w:left w:val="single" w:color="auto" w:sz="4" w:space="0"/>
                    <w:bottom w:val="single" w:color="auto" w:sz="4" w:space="0"/>
                    <w:right w:val="single" w:color="auto" w:sz="4" w:space="0"/>
                  </w:tcBorders>
                  <w:vAlign w:val="center"/>
                </w:tcPr>
                <w:p w14:paraId="5B87A5A5">
                  <w:pPr>
                    <w:widowControl/>
                    <w:jc w:val="center"/>
                    <w:rPr>
                      <w:rFonts w:hint="default" w:ascii="Times New Roman" w:hAnsi="Times New Roman" w:eastAsia="宋体" w:cs="Times New Roman"/>
                      <w:color w:val="000000" w:themeColor="text1"/>
                      <w:spacing w:val="-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
                      <w:szCs w:val="21"/>
                      <w:highlight w:val="none"/>
                      <w:lang w:val="en-US" w:eastAsia="zh-CN"/>
                      <w14:textFill>
                        <w14:solidFill>
                          <w14:schemeClr w14:val="tx1"/>
                        </w14:solidFill>
                      </w14:textFill>
                    </w:rPr>
                    <w:t>施工车辆</w:t>
                  </w:r>
                </w:p>
              </w:tc>
              <w:tc>
                <w:tcPr>
                  <w:tcW w:w="1194" w:type="pct"/>
                  <w:tcBorders>
                    <w:top w:val="single" w:color="auto" w:sz="4" w:space="0"/>
                    <w:left w:val="single" w:color="auto" w:sz="4" w:space="0"/>
                    <w:bottom w:val="single" w:color="auto" w:sz="4" w:space="0"/>
                    <w:right w:val="single" w:color="auto" w:sz="4" w:space="0"/>
                  </w:tcBorders>
                  <w:vAlign w:val="center"/>
                </w:tcPr>
                <w:p w14:paraId="6044A961">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交通噪声</w:t>
                  </w:r>
                </w:p>
              </w:tc>
              <w:tc>
                <w:tcPr>
                  <w:tcW w:w="2403" w:type="pct"/>
                  <w:tcBorders>
                    <w:top w:val="single" w:color="auto" w:sz="4" w:space="0"/>
                    <w:left w:val="single" w:color="auto" w:sz="4" w:space="0"/>
                    <w:bottom w:val="single" w:color="auto" w:sz="4" w:space="0"/>
                    <w:right w:val="single" w:color="auto" w:sz="4" w:space="0"/>
                  </w:tcBorders>
                  <w:vAlign w:val="center"/>
                </w:tcPr>
                <w:p w14:paraId="2CD37EA9">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车辆噪声</w:t>
                  </w:r>
                </w:p>
              </w:tc>
            </w:tr>
            <w:tr w14:paraId="2DF484A0">
              <w:tblPrEx>
                <w:tblCellMar>
                  <w:top w:w="0" w:type="dxa"/>
                  <w:left w:w="108" w:type="dxa"/>
                  <w:bottom w:w="0" w:type="dxa"/>
                  <w:right w:w="108" w:type="dxa"/>
                </w:tblCellMar>
              </w:tblPrEx>
              <w:trPr>
                <w:trHeight w:val="270" w:hRule="atLeast"/>
                <w:jc w:val="center"/>
              </w:trPr>
              <w:tc>
                <w:tcPr>
                  <w:tcW w:w="557" w:type="pct"/>
                  <w:vMerge w:val="continue"/>
                  <w:tcBorders>
                    <w:left w:val="single" w:color="auto" w:sz="4" w:space="0"/>
                    <w:bottom w:val="single" w:color="auto" w:sz="4" w:space="0"/>
                    <w:right w:val="single" w:color="auto" w:sz="4" w:space="0"/>
                  </w:tcBorders>
                  <w:vAlign w:val="center"/>
                </w:tcPr>
                <w:p w14:paraId="63B08394">
                  <w:pPr>
                    <w:widowControl/>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p>
              </w:tc>
              <w:tc>
                <w:tcPr>
                  <w:tcW w:w="845" w:type="pct"/>
                  <w:tcBorders>
                    <w:top w:val="single" w:color="auto" w:sz="4" w:space="0"/>
                    <w:left w:val="single" w:color="auto" w:sz="4" w:space="0"/>
                    <w:bottom w:val="single" w:color="auto" w:sz="4" w:space="0"/>
                    <w:right w:val="single" w:color="auto" w:sz="4" w:space="0"/>
                  </w:tcBorders>
                  <w:vAlign w:val="center"/>
                </w:tcPr>
                <w:p w14:paraId="054EF6DD">
                  <w:pPr>
                    <w:widowControl/>
                    <w:jc w:val="center"/>
                    <w:rPr>
                      <w:rFonts w:hint="eastAsia" w:ascii="Times New Roman" w:hAnsi="Times New Roman" w:eastAsia="宋体" w:cs="Times New Roman"/>
                      <w:color w:val="000000" w:themeColor="text1"/>
                      <w:spacing w:val="-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
                      <w:szCs w:val="21"/>
                      <w:highlight w:val="none"/>
                      <w:lang w:val="en-US" w:eastAsia="zh-CN"/>
                      <w14:textFill>
                        <w14:solidFill>
                          <w14:schemeClr w14:val="tx1"/>
                        </w14:solidFill>
                      </w14:textFill>
                    </w:rPr>
                    <w:t>拌合站</w:t>
                  </w:r>
                </w:p>
              </w:tc>
              <w:tc>
                <w:tcPr>
                  <w:tcW w:w="1194" w:type="pct"/>
                  <w:tcBorders>
                    <w:top w:val="single" w:color="auto" w:sz="4" w:space="0"/>
                    <w:left w:val="single" w:color="auto" w:sz="4" w:space="0"/>
                    <w:bottom w:val="single" w:color="auto" w:sz="4" w:space="0"/>
                    <w:right w:val="single" w:color="auto" w:sz="4" w:space="0"/>
                  </w:tcBorders>
                  <w:vAlign w:val="center"/>
                </w:tcPr>
                <w:p w14:paraId="3F1AF38E">
                  <w:pPr>
                    <w:widowControl/>
                    <w:jc w:val="center"/>
                    <w:rPr>
                      <w:rFonts w:hint="default" w:ascii="Times New Roman" w:hAnsi="Times New Roman" w:eastAsia="宋体" w:cs="Times New Roman"/>
                      <w:color w:val="000000" w:themeColor="text1"/>
                      <w:spacing w:val="-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
                      <w:szCs w:val="21"/>
                      <w:highlight w:val="none"/>
                      <w:lang w:val="en-US" w:eastAsia="zh-CN"/>
                      <w14:textFill>
                        <w14:solidFill>
                          <w14:schemeClr w14:val="tx1"/>
                        </w14:solidFill>
                      </w14:textFill>
                    </w:rPr>
                    <w:t>机械噪声</w:t>
                  </w:r>
                </w:p>
              </w:tc>
              <w:tc>
                <w:tcPr>
                  <w:tcW w:w="2403" w:type="pct"/>
                  <w:tcBorders>
                    <w:top w:val="single" w:color="auto" w:sz="4" w:space="0"/>
                    <w:left w:val="single" w:color="auto" w:sz="4" w:space="0"/>
                    <w:bottom w:val="single" w:color="auto" w:sz="4" w:space="0"/>
                    <w:right w:val="single" w:color="auto" w:sz="4" w:space="0"/>
                  </w:tcBorders>
                  <w:vAlign w:val="center"/>
                </w:tcPr>
                <w:p w14:paraId="5F0BA638">
                  <w:pPr>
                    <w:widowControl/>
                    <w:jc w:val="center"/>
                    <w:rPr>
                      <w:rFonts w:hint="default" w:ascii="Times New Roman" w:hAnsi="Times New Roman" w:eastAsia="宋体" w:cs="Times New Roman"/>
                      <w:color w:val="000000" w:themeColor="text1"/>
                      <w:spacing w:val="-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
                      <w:szCs w:val="21"/>
                      <w:highlight w:val="none"/>
                      <w:lang w:val="en-US" w:eastAsia="zh-CN"/>
                      <w14:textFill>
                        <w14:solidFill>
                          <w14:schemeClr w14:val="tx1"/>
                        </w14:solidFill>
                      </w14:textFill>
                    </w:rPr>
                    <w:t>等效连续A声级</w:t>
                  </w:r>
                </w:p>
              </w:tc>
            </w:tr>
          </w:tbl>
          <w:p w14:paraId="3922B3AB">
            <w:pPr>
              <w:widowControl/>
              <w:spacing w:line="360" w:lineRule="auto"/>
              <w:ind w:firstLine="480"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p>
        </w:tc>
      </w:tr>
      <w:tr w14:paraId="354503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45" w:type="pct"/>
            <w:shd w:val="clear" w:color="auto" w:fill="auto"/>
            <w:vAlign w:val="center"/>
          </w:tcPr>
          <w:p w14:paraId="401DD224">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其他</w:t>
            </w:r>
          </w:p>
        </w:tc>
        <w:tc>
          <w:tcPr>
            <w:tcW w:w="4754" w:type="pct"/>
            <w:shd w:val="clear" w:color="auto" w:fill="auto"/>
            <w:vAlign w:val="center"/>
          </w:tcPr>
          <w:p w14:paraId="685DBC9F">
            <w:pPr>
              <w:widowControl/>
              <w:spacing w:line="360" w:lineRule="auto"/>
              <w:ind w:firstLine="480" w:firstLineChars="200"/>
              <w:jc w:val="left"/>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无</w:t>
            </w:r>
          </w:p>
        </w:tc>
      </w:tr>
    </w:tbl>
    <w:p w14:paraId="039F5F77">
      <w:pPr>
        <w:rPr>
          <w:rFonts w:hint="default" w:ascii="Times New Roman" w:hAnsi="Times New Roman" w:eastAsia="宋体" w:cs="Times New Roman"/>
          <w:color w:val="000000" w:themeColor="text1"/>
          <w:highlight w:val="none"/>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4FE256E6">
      <w:pPr>
        <w:pStyle w:val="26"/>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t>三、生态环境现状、保护目标及评价标准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7729"/>
      </w:tblGrid>
      <w:tr w14:paraId="1B7E04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7" w:type="dxa"/>
            <w:vAlign w:val="center"/>
          </w:tcPr>
          <w:p w14:paraId="35ECCC66">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生态环境现状</w:t>
            </w:r>
          </w:p>
        </w:tc>
        <w:tc>
          <w:tcPr>
            <w:tcW w:w="7729" w:type="dxa"/>
            <w:vAlign w:val="center"/>
          </w:tcPr>
          <w:p w14:paraId="31853124">
            <w:pPr>
              <w:widowControl/>
              <w:spacing w:line="360" w:lineRule="auto"/>
              <w:ind w:firstLine="482"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1、环境质量现状</w:t>
            </w:r>
          </w:p>
          <w:p w14:paraId="594126EC">
            <w:pPr>
              <w:widowControl/>
              <w:spacing w:line="360" w:lineRule="auto"/>
              <w:ind w:firstLine="482"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bidi="ar"/>
                <w14:textFill>
                  <w14:solidFill>
                    <w14:schemeClr w14:val="tx1"/>
                  </w14:solidFill>
                </w14:textFill>
              </w:rPr>
              <w:t>（1）环境空气质量现状</w:t>
            </w:r>
          </w:p>
          <w:p w14:paraId="02EE9472">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项目位于西乌珠穆沁旗浩勒图高勒镇境。</w:t>
            </w:r>
            <w:r>
              <w:rPr>
                <w:rFonts w:hint="default" w:ascii="Times New Roman" w:hAnsi="Times New Roman" w:eastAsia="宋体" w:cs="Times New Roman"/>
                <w:color w:val="000000" w:themeColor="text1"/>
                <w:sz w:val="24"/>
                <w:highlight w:val="none"/>
                <w14:textFill>
                  <w14:solidFill>
                    <w14:schemeClr w14:val="tx1"/>
                  </w14:solidFill>
                </w14:textFill>
              </w:rPr>
              <w:t>本项目所在地环境空气质量为二类功能区，因此该地区环境空气质量执行《环境空气质量标准》（GB3095-2012）中的二级标准。</w:t>
            </w:r>
            <w:r>
              <w:rPr>
                <w:rFonts w:hint="default" w:ascii="Times New Roman" w:hAnsi="Times New Roman" w:eastAsia="宋体" w:cs="Times New Roman"/>
                <w:color w:val="000000" w:themeColor="text1"/>
                <w:kern w:val="0"/>
                <w:sz w:val="24"/>
                <w:highlight w:val="none"/>
                <w14:textFill>
                  <w14:solidFill>
                    <w14:schemeClr w14:val="tx1"/>
                  </w14:solidFill>
                </w14:textFill>
              </w:rPr>
              <w:t>根据内蒙古自治区</w:t>
            </w:r>
            <w:r>
              <w:rPr>
                <w:rFonts w:hint="eastAsia" w:cs="Times New Roman"/>
                <w:color w:val="000000" w:themeColor="text1"/>
                <w:kern w:val="0"/>
                <w:sz w:val="24"/>
                <w:highlight w:val="none"/>
                <w:lang w:val="en-US" w:eastAsia="zh-CN"/>
                <w14:textFill>
                  <w14:solidFill>
                    <w14:schemeClr w14:val="tx1"/>
                  </w14:solidFill>
                </w14:textFill>
              </w:rPr>
              <w:t>生态环境</w:t>
            </w:r>
            <w:r>
              <w:rPr>
                <w:rFonts w:hint="default" w:ascii="Times New Roman" w:hAnsi="Times New Roman" w:eastAsia="宋体" w:cs="Times New Roman"/>
                <w:color w:val="000000" w:themeColor="text1"/>
                <w:kern w:val="0"/>
                <w:sz w:val="24"/>
                <w:highlight w:val="none"/>
                <w14:textFill>
                  <w14:solidFill>
                    <w14:schemeClr w14:val="tx1"/>
                  </w14:solidFill>
                </w14:textFill>
              </w:rPr>
              <w:t>厅2024年6月3日发布的2023年度内蒙古自治区生态环境状况公报，锡林郭勒盟环境空气质量较好，采用国控自动监测站点的监测数据，</w:t>
            </w:r>
            <w:r>
              <w:rPr>
                <w:rFonts w:hint="default" w:ascii="Times New Roman" w:hAnsi="Times New Roman" w:eastAsia="宋体" w:cs="Times New Roman"/>
                <w:color w:val="000000" w:themeColor="text1"/>
                <w:sz w:val="24"/>
                <w:highlight w:val="none"/>
                <w14:textFill>
                  <w14:solidFill>
                    <w14:schemeClr w14:val="tx1"/>
                  </w14:solidFill>
                </w14:textFill>
              </w:rPr>
              <w:t>环境空气评价因子为SO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、NO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、PM</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4"/>
                <w:highlight w:val="none"/>
                <w14:textFill>
                  <w14:solidFill>
                    <w14:schemeClr w14:val="tx1"/>
                  </w14:solidFill>
                </w14:textFill>
              </w:rPr>
              <w:t>、PM</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4"/>
                <w:highlight w:val="none"/>
                <w14:textFill>
                  <w14:solidFill>
                    <w14:schemeClr w14:val="tx1"/>
                  </w14:solidFill>
                </w14:textFill>
              </w:rPr>
              <w:t>、CO、O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等。统计结果</w:t>
            </w:r>
            <w:r>
              <w:rPr>
                <w:rFonts w:hint="default" w:ascii="Times New Roman" w:hAnsi="Times New Roman" w:eastAsia="宋体" w:cs="Times New Roman"/>
                <w:color w:val="000000" w:themeColor="text1"/>
                <w:kern w:val="0"/>
                <w:sz w:val="24"/>
                <w:highlight w:val="none"/>
                <w14:textFill>
                  <w14:solidFill>
                    <w14:schemeClr w14:val="tx1"/>
                  </w14:solidFill>
                </w14:textFill>
              </w:rPr>
              <w:t>见下表。</w:t>
            </w:r>
          </w:p>
          <w:p w14:paraId="25687D44">
            <w:pPr>
              <w:adjustRightInd w:val="0"/>
              <w:snapToGrid w:val="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表3-1  区域环境空气质量现状评价表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2653"/>
              <w:gridCol w:w="1163"/>
              <w:gridCol w:w="1340"/>
              <w:gridCol w:w="842"/>
              <w:gridCol w:w="725"/>
            </w:tblGrid>
            <w:tr w14:paraId="17DB4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6" w:type="pct"/>
                  <w:vAlign w:val="center"/>
                </w:tcPr>
                <w:p w14:paraId="07B8E233">
                  <w:pPr>
                    <w:autoSpaceDE w:val="0"/>
                    <w:autoSpaceDN w:val="0"/>
                    <w:adjustRightInd w:val="0"/>
                    <w:snapToGrid w:val="0"/>
                    <w:jc w:val="center"/>
                    <w:rPr>
                      <w:rFonts w:hint="default" w:ascii="Times New Roman" w:hAnsi="Times New Roman" w:eastAsia="宋体" w:cs="Times New Roman"/>
                      <w:b/>
                      <w:color w:val="000000" w:themeColor="text1"/>
                      <w:kern w:val="0"/>
                      <w:szCs w:val="21"/>
                      <w:highlight w:val="none"/>
                      <w14:textFill>
                        <w14:solidFill>
                          <w14:schemeClr w14:val="tx1"/>
                        </w14:solidFill>
                      </w14:textFill>
                    </w:rPr>
                  </w:pPr>
                  <w:r>
                    <w:rPr>
                      <w:rFonts w:hint="default" w:ascii="Times New Roman" w:hAnsi="Times New Roman" w:eastAsia="宋体" w:cs="Times New Roman"/>
                      <w:b/>
                      <w:color w:val="000000" w:themeColor="text1"/>
                      <w:kern w:val="0"/>
                      <w:szCs w:val="21"/>
                      <w:highlight w:val="none"/>
                      <w14:textFill>
                        <w14:solidFill>
                          <w14:schemeClr w14:val="tx1"/>
                        </w14:solidFill>
                      </w14:textFill>
                    </w:rPr>
                    <w:t>污染物</w:t>
                  </w:r>
                </w:p>
              </w:tc>
              <w:tc>
                <w:tcPr>
                  <w:tcW w:w="1765" w:type="pct"/>
                  <w:vAlign w:val="center"/>
                </w:tcPr>
                <w:p w14:paraId="5F834A81">
                  <w:pPr>
                    <w:autoSpaceDE w:val="0"/>
                    <w:autoSpaceDN w:val="0"/>
                    <w:adjustRightInd w:val="0"/>
                    <w:snapToGrid w:val="0"/>
                    <w:jc w:val="center"/>
                    <w:rPr>
                      <w:rFonts w:hint="default" w:ascii="Times New Roman" w:hAnsi="Times New Roman" w:eastAsia="宋体" w:cs="Times New Roman"/>
                      <w:b/>
                      <w:color w:val="000000" w:themeColor="text1"/>
                      <w:kern w:val="0"/>
                      <w:szCs w:val="21"/>
                      <w:highlight w:val="none"/>
                      <w14:textFill>
                        <w14:solidFill>
                          <w14:schemeClr w14:val="tx1"/>
                        </w14:solidFill>
                      </w14:textFill>
                    </w:rPr>
                  </w:pPr>
                  <w:r>
                    <w:rPr>
                      <w:rFonts w:hint="default" w:ascii="Times New Roman" w:hAnsi="Times New Roman" w:eastAsia="宋体" w:cs="Times New Roman"/>
                      <w:b/>
                      <w:color w:val="000000" w:themeColor="text1"/>
                      <w:kern w:val="0"/>
                      <w:szCs w:val="21"/>
                      <w:highlight w:val="none"/>
                      <w14:textFill>
                        <w14:solidFill>
                          <w14:schemeClr w14:val="tx1"/>
                        </w14:solidFill>
                      </w14:textFill>
                    </w:rPr>
                    <w:t>年评价指标</w:t>
                  </w:r>
                </w:p>
              </w:tc>
              <w:tc>
                <w:tcPr>
                  <w:tcW w:w="772" w:type="pct"/>
                  <w:vAlign w:val="center"/>
                </w:tcPr>
                <w:p w14:paraId="31A46511">
                  <w:pPr>
                    <w:autoSpaceDE w:val="0"/>
                    <w:autoSpaceDN w:val="0"/>
                    <w:adjustRightInd w:val="0"/>
                    <w:snapToGrid w:val="0"/>
                    <w:jc w:val="center"/>
                    <w:rPr>
                      <w:rFonts w:hint="default" w:ascii="Times New Roman" w:hAnsi="Times New Roman" w:eastAsia="宋体" w:cs="Times New Roman"/>
                      <w:b/>
                      <w:color w:val="000000" w:themeColor="text1"/>
                      <w:kern w:val="0"/>
                      <w:szCs w:val="21"/>
                      <w:highlight w:val="none"/>
                      <w14:textFill>
                        <w14:solidFill>
                          <w14:schemeClr w14:val="tx1"/>
                        </w14:solidFill>
                      </w14:textFill>
                    </w:rPr>
                  </w:pPr>
                  <w:r>
                    <w:rPr>
                      <w:rFonts w:hint="default" w:ascii="Times New Roman" w:hAnsi="Times New Roman" w:eastAsia="宋体" w:cs="Times New Roman"/>
                      <w:b/>
                      <w:color w:val="000000" w:themeColor="text1"/>
                      <w:kern w:val="0"/>
                      <w:szCs w:val="21"/>
                      <w:highlight w:val="none"/>
                      <w14:textFill>
                        <w14:solidFill>
                          <w14:schemeClr w14:val="tx1"/>
                        </w14:solidFill>
                      </w14:textFill>
                    </w:rPr>
                    <w:t>现状浓度（μg/m</w:t>
                  </w:r>
                  <w:r>
                    <w:rPr>
                      <w:rFonts w:hint="default" w:ascii="Times New Roman" w:hAnsi="Times New Roman" w:eastAsia="宋体" w:cs="Times New Roman"/>
                      <w:b/>
                      <w:color w:val="000000" w:themeColor="text1"/>
                      <w:kern w:val="0"/>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kern w:val="0"/>
                      <w:szCs w:val="21"/>
                      <w:highlight w:val="none"/>
                      <w14:textFill>
                        <w14:solidFill>
                          <w14:schemeClr w14:val="tx1"/>
                        </w14:solidFill>
                      </w14:textFill>
                    </w:rPr>
                    <w:t>）</w:t>
                  </w:r>
                </w:p>
              </w:tc>
              <w:tc>
                <w:tcPr>
                  <w:tcW w:w="892" w:type="pct"/>
                  <w:vAlign w:val="center"/>
                </w:tcPr>
                <w:p w14:paraId="70A21E2D">
                  <w:pPr>
                    <w:autoSpaceDE w:val="0"/>
                    <w:autoSpaceDN w:val="0"/>
                    <w:adjustRightInd w:val="0"/>
                    <w:snapToGrid w:val="0"/>
                    <w:jc w:val="center"/>
                    <w:rPr>
                      <w:rFonts w:hint="default" w:ascii="Times New Roman" w:hAnsi="Times New Roman" w:eastAsia="宋体" w:cs="Times New Roman"/>
                      <w:b/>
                      <w:color w:val="000000" w:themeColor="text1"/>
                      <w:kern w:val="0"/>
                      <w:szCs w:val="21"/>
                      <w:highlight w:val="none"/>
                      <w14:textFill>
                        <w14:solidFill>
                          <w14:schemeClr w14:val="tx1"/>
                        </w14:solidFill>
                      </w14:textFill>
                    </w:rPr>
                  </w:pPr>
                  <w:r>
                    <w:rPr>
                      <w:rFonts w:hint="default" w:ascii="Times New Roman" w:hAnsi="Times New Roman" w:eastAsia="宋体" w:cs="Times New Roman"/>
                      <w:b/>
                      <w:color w:val="000000" w:themeColor="text1"/>
                      <w:kern w:val="0"/>
                      <w:szCs w:val="21"/>
                      <w:highlight w:val="none"/>
                      <w14:textFill>
                        <w14:solidFill>
                          <w14:schemeClr w14:val="tx1"/>
                        </w14:solidFill>
                      </w14:textFill>
                    </w:rPr>
                    <w:t>标准值（μg/m</w:t>
                  </w:r>
                  <w:r>
                    <w:rPr>
                      <w:rFonts w:hint="default" w:ascii="Times New Roman" w:hAnsi="Times New Roman" w:eastAsia="宋体" w:cs="Times New Roman"/>
                      <w:b/>
                      <w:color w:val="000000" w:themeColor="text1"/>
                      <w:kern w:val="0"/>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kern w:val="0"/>
                      <w:szCs w:val="21"/>
                      <w:highlight w:val="none"/>
                      <w14:textFill>
                        <w14:solidFill>
                          <w14:schemeClr w14:val="tx1"/>
                        </w14:solidFill>
                      </w14:textFill>
                    </w:rPr>
                    <w:t>）</w:t>
                  </w:r>
                </w:p>
              </w:tc>
              <w:tc>
                <w:tcPr>
                  <w:tcW w:w="560" w:type="pct"/>
                  <w:vAlign w:val="center"/>
                </w:tcPr>
                <w:p w14:paraId="6A5EEDFE">
                  <w:pPr>
                    <w:autoSpaceDE w:val="0"/>
                    <w:autoSpaceDN w:val="0"/>
                    <w:adjustRightInd w:val="0"/>
                    <w:snapToGrid w:val="0"/>
                    <w:jc w:val="center"/>
                    <w:rPr>
                      <w:rFonts w:hint="default" w:ascii="Times New Roman" w:hAnsi="Times New Roman" w:eastAsia="宋体" w:cs="Times New Roman"/>
                      <w:b/>
                      <w:color w:val="000000" w:themeColor="text1"/>
                      <w:kern w:val="0"/>
                      <w:szCs w:val="21"/>
                      <w:highlight w:val="none"/>
                      <w14:textFill>
                        <w14:solidFill>
                          <w14:schemeClr w14:val="tx1"/>
                        </w14:solidFill>
                      </w14:textFill>
                    </w:rPr>
                  </w:pPr>
                  <w:r>
                    <w:rPr>
                      <w:rFonts w:hint="default" w:ascii="Times New Roman" w:hAnsi="Times New Roman" w:eastAsia="宋体" w:cs="Times New Roman"/>
                      <w:b/>
                      <w:color w:val="000000" w:themeColor="text1"/>
                      <w:kern w:val="0"/>
                      <w:szCs w:val="21"/>
                      <w:highlight w:val="none"/>
                      <w14:textFill>
                        <w14:solidFill>
                          <w14:schemeClr w14:val="tx1"/>
                        </w14:solidFill>
                      </w14:textFill>
                    </w:rPr>
                    <w:t>占标率%</w:t>
                  </w:r>
                </w:p>
              </w:tc>
              <w:tc>
                <w:tcPr>
                  <w:tcW w:w="482" w:type="pct"/>
                  <w:vAlign w:val="center"/>
                </w:tcPr>
                <w:p w14:paraId="1180DF8F">
                  <w:pPr>
                    <w:autoSpaceDE w:val="0"/>
                    <w:autoSpaceDN w:val="0"/>
                    <w:adjustRightInd w:val="0"/>
                    <w:snapToGrid w:val="0"/>
                    <w:jc w:val="center"/>
                    <w:rPr>
                      <w:rFonts w:hint="default" w:ascii="Times New Roman" w:hAnsi="Times New Roman" w:eastAsia="宋体" w:cs="Times New Roman"/>
                      <w:b/>
                      <w:color w:val="000000" w:themeColor="text1"/>
                      <w:kern w:val="0"/>
                      <w:szCs w:val="21"/>
                      <w:highlight w:val="none"/>
                      <w14:textFill>
                        <w14:solidFill>
                          <w14:schemeClr w14:val="tx1"/>
                        </w14:solidFill>
                      </w14:textFill>
                    </w:rPr>
                  </w:pPr>
                  <w:r>
                    <w:rPr>
                      <w:rFonts w:hint="default" w:ascii="Times New Roman" w:hAnsi="Times New Roman" w:eastAsia="宋体" w:cs="Times New Roman"/>
                      <w:b/>
                      <w:color w:val="000000" w:themeColor="text1"/>
                      <w:kern w:val="0"/>
                      <w:szCs w:val="21"/>
                      <w:highlight w:val="none"/>
                      <w14:textFill>
                        <w14:solidFill>
                          <w14:schemeClr w14:val="tx1"/>
                        </w14:solidFill>
                      </w14:textFill>
                    </w:rPr>
                    <w:t>达标情况</w:t>
                  </w:r>
                </w:p>
              </w:tc>
            </w:tr>
            <w:tr w14:paraId="7037C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 w:type="pct"/>
                  <w:vAlign w:val="center"/>
                </w:tcPr>
                <w:p w14:paraId="3B61399A">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PM</w:t>
                  </w:r>
                  <w:r>
                    <w:rPr>
                      <w:rFonts w:hint="default" w:ascii="Times New Roman" w:hAnsi="Times New Roman" w:eastAsia="宋体" w:cs="Times New Roman"/>
                      <w:bCs/>
                      <w:color w:val="000000" w:themeColor="text1"/>
                      <w:kern w:val="0"/>
                      <w:szCs w:val="21"/>
                      <w:highlight w:val="none"/>
                      <w:vertAlign w:val="subscript"/>
                      <w14:textFill>
                        <w14:solidFill>
                          <w14:schemeClr w14:val="tx1"/>
                        </w14:solidFill>
                      </w14:textFill>
                    </w:rPr>
                    <w:t>2.5</w:t>
                  </w:r>
                </w:p>
              </w:tc>
              <w:tc>
                <w:tcPr>
                  <w:tcW w:w="1765" w:type="pct"/>
                  <w:vAlign w:val="center"/>
                </w:tcPr>
                <w:p w14:paraId="5ABAEF3A">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年平均质量浓度</w:t>
                  </w:r>
                </w:p>
              </w:tc>
              <w:tc>
                <w:tcPr>
                  <w:tcW w:w="772" w:type="pct"/>
                  <w:vAlign w:val="center"/>
                </w:tcPr>
                <w:p w14:paraId="13ED14A4">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7</w:t>
                  </w:r>
                </w:p>
              </w:tc>
              <w:tc>
                <w:tcPr>
                  <w:tcW w:w="892" w:type="pct"/>
                  <w:vAlign w:val="center"/>
                </w:tcPr>
                <w:p w14:paraId="6F1832DF">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35</w:t>
                  </w:r>
                </w:p>
              </w:tc>
              <w:tc>
                <w:tcPr>
                  <w:tcW w:w="560" w:type="pct"/>
                  <w:vAlign w:val="center"/>
                </w:tcPr>
                <w:p w14:paraId="7B710383">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20.00</w:t>
                  </w:r>
                </w:p>
              </w:tc>
              <w:tc>
                <w:tcPr>
                  <w:tcW w:w="482" w:type="pct"/>
                  <w:vAlign w:val="center"/>
                </w:tcPr>
                <w:p w14:paraId="486CFFD0">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达标</w:t>
                  </w:r>
                </w:p>
              </w:tc>
            </w:tr>
            <w:tr w14:paraId="438A8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6" w:type="pct"/>
                  <w:vAlign w:val="center"/>
                </w:tcPr>
                <w:p w14:paraId="6280CDF7">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PM</w:t>
                  </w:r>
                  <w:r>
                    <w:rPr>
                      <w:rFonts w:hint="default" w:ascii="Times New Roman" w:hAnsi="Times New Roman" w:eastAsia="宋体" w:cs="Times New Roman"/>
                      <w:bCs/>
                      <w:color w:val="000000" w:themeColor="text1"/>
                      <w:kern w:val="0"/>
                      <w:szCs w:val="21"/>
                      <w:highlight w:val="none"/>
                      <w:vertAlign w:val="subscript"/>
                      <w14:textFill>
                        <w14:solidFill>
                          <w14:schemeClr w14:val="tx1"/>
                        </w14:solidFill>
                      </w14:textFill>
                    </w:rPr>
                    <w:t>10</w:t>
                  </w:r>
                </w:p>
              </w:tc>
              <w:tc>
                <w:tcPr>
                  <w:tcW w:w="1765" w:type="pct"/>
                  <w:vAlign w:val="center"/>
                </w:tcPr>
                <w:p w14:paraId="45806902">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年平均质量浓度</w:t>
                  </w:r>
                </w:p>
              </w:tc>
              <w:tc>
                <w:tcPr>
                  <w:tcW w:w="772" w:type="pct"/>
                  <w:vAlign w:val="center"/>
                </w:tcPr>
                <w:p w14:paraId="26FCA9FD">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15</w:t>
                  </w:r>
                </w:p>
              </w:tc>
              <w:tc>
                <w:tcPr>
                  <w:tcW w:w="892" w:type="pct"/>
                  <w:vAlign w:val="center"/>
                </w:tcPr>
                <w:p w14:paraId="35433570">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70</w:t>
                  </w:r>
                </w:p>
              </w:tc>
              <w:tc>
                <w:tcPr>
                  <w:tcW w:w="560" w:type="pct"/>
                  <w:vAlign w:val="center"/>
                </w:tcPr>
                <w:p w14:paraId="50C8159E">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21.43</w:t>
                  </w:r>
                </w:p>
              </w:tc>
              <w:tc>
                <w:tcPr>
                  <w:tcW w:w="482" w:type="pct"/>
                  <w:vAlign w:val="center"/>
                </w:tcPr>
                <w:p w14:paraId="263F849B">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达标</w:t>
                  </w:r>
                </w:p>
              </w:tc>
            </w:tr>
            <w:tr w14:paraId="020CB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6" w:type="pct"/>
                  <w:vAlign w:val="center"/>
                </w:tcPr>
                <w:p w14:paraId="1C21FD24">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SO</w:t>
                  </w:r>
                  <w:r>
                    <w:rPr>
                      <w:rFonts w:hint="default" w:ascii="Times New Roman" w:hAnsi="Times New Roman" w:eastAsia="宋体" w:cs="Times New Roman"/>
                      <w:bCs/>
                      <w:color w:val="000000" w:themeColor="text1"/>
                      <w:kern w:val="0"/>
                      <w:szCs w:val="21"/>
                      <w:highlight w:val="none"/>
                      <w:vertAlign w:val="subscript"/>
                      <w14:textFill>
                        <w14:solidFill>
                          <w14:schemeClr w14:val="tx1"/>
                        </w14:solidFill>
                      </w14:textFill>
                    </w:rPr>
                    <w:t>2</w:t>
                  </w:r>
                </w:p>
              </w:tc>
              <w:tc>
                <w:tcPr>
                  <w:tcW w:w="1765" w:type="pct"/>
                  <w:vAlign w:val="center"/>
                </w:tcPr>
                <w:p w14:paraId="47393538">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年平均质量浓度</w:t>
                  </w:r>
                </w:p>
              </w:tc>
              <w:tc>
                <w:tcPr>
                  <w:tcW w:w="772" w:type="pct"/>
                  <w:vAlign w:val="center"/>
                </w:tcPr>
                <w:p w14:paraId="7AACD2D8">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9</w:t>
                  </w:r>
                </w:p>
              </w:tc>
              <w:tc>
                <w:tcPr>
                  <w:tcW w:w="892" w:type="pct"/>
                  <w:vAlign w:val="center"/>
                </w:tcPr>
                <w:p w14:paraId="6249B652">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60</w:t>
                  </w:r>
                </w:p>
              </w:tc>
              <w:tc>
                <w:tcPr>
                  <w:tcW w:w="560" w:type="pct"/>
                  <w:vAlign w:val="center"/>
                </w:tcPr>
                <w:p w14:paraId="3F8FE769">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15.00</w:t>
                  </w:r>
                </w:p>
              </w:tc>
              <w:tc>
                <w:tcPr>
                  <w:tcW w:w="482" w:type="pct"/>
                  <w:vAlign w:val="center"/>
                </w:tcPr>
                <w:p w14:paraId="2C5E5535">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达标</w:t>
                  </w:r>
                </w:p>
              </w:tc>
            </w:tr>
            <w:tr w14:paraId="472F1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6" w:type="pct"/>
                  <w:vAlign w:val="center"/>
                </w:tcPr>
                <w:p w14:paraId="641989C8">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NO</w:t>
                  </w:r>
                  <w:r>
                    <w:rPr>
                      <w:rFonts w:hint="default" w:ascii="Times New Roman" w:hAnsi="Times New Roman" w:eastAsia="宋体" w:cs="Times New Roman"/>
                      <w:bCs/>
                      <w:color w:val="000000" w:themeColor="text1"/>
                      <w:kern w:val="0"/>
                      <w:szCs w:val="21"/>
                      <w:highlight w:val="none"/>
                      <w:vertAlign w:val="subscript"/>
                      <w14:textFill>
                        <w14:solidFill>
                          <w14:schemeClr w14:val="tx1"/>
                        </w14:solidFill>
                      </w14:textFill>
                    </w:rPr>
                    <w:t>2</w:t>
                  </w:r>
                </w:p>
              </w:tc>
              <w:tc>
                <w:tcPr>
                  <w:tcW w:w="1765" w:type="pct"/>
                  <w:vAlign w:val="center"/>
                </w:tcPr>
                <w:p w14:paraId="6DAEA4D1">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年平均质量浓度</w:t>
                  </w:r>
                </w:p>
              </w:tc>
              <w:tc>
                <w:tcPr>
                  <w:tcW w:w="772" w:type="pct"/>
                  <w:vAlign w:val="center"/>
                </w:tcPr>
                <w:p w14:paraId="3E70F5B3">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10</w:t>
                  </w:r>
                </w:p>
              </w:tc>
              <w:tc>
                <w:tcPr>
                  <w:tcW w:w="892" w:type="pct"/>
                  <w:vAlign w:val="center"/>
                </w:tcPr>
                <w:p w14:paraId="6044060E">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40</w:t>
                  </w:r>
                </w:p>
              </w:tc>
              <w:tc>
                <w:tcPr>
                  <w:tcW w:w="560" w:type="pct"/>
                  <w:vAlign w:val="center"/>
                </w:tcPr>
                <w:p w14:paraId="35DE3978">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25.00</w:t>
                  </w:r>
                </w:p>
              </w:tc>
              <w:tc>
                <w:tcPr>
                  <w:tcW w:w="482" w:type="pct"/>
                  <w:vAlign w:val="center"/>
                </w:tcPr>
                <w:p w14:paraId="71D2F681">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达标</w:t>
                  </w:r>
                </w:p>
              </w:tc>
            </w:tr>
            <w:tr w14:paraId="656DF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6" w:type="pct"/>
                  <w:vAlign w:val="center"/>
                </w:tcPr>
                <w:p w14:paraId="14E5C368">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CO</w:t>
                  </w:r>
                </w:p>
              </w:tc>
              <w:tc>
                <w:tcPr>
                  <w:tcW w:w="1765" w:type="pct"/>
                  <w:vAlign w:val="center"/>
                </w:tcPr>
                <w:p w14:paraId="6561ABD0">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24小时平均第95百分位数</w:t>
                  </w:r>
                </w:p>
              </w:tc>
              <w:tc>
                <w:tcPr>
                  <w:tcW w:w="772" w:type="pct"/>
                  <w:vAlign w:val="center"/>
                </w:tcPr>
                <w:p w14:paraId="1E27639D">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0.7mg/m</w:t>
                  </w:r>
                  <w:r>
                    <w:rPr>
                      <w:rFonts w:hint="default" w:ascii="Times New Roman" w:hAnsi="Times New Roman" w:eastAsia="宋体" w:cs="Times New Roman"/>
                      <w:bCs/>
                      <w:color w:val="000000" w:themeColor="text1"/>
                      <w:kern w:val="0"/>
                      <w:szCs w:val="21"/>
                      <w:highlight w:val="none"/>
                      <w:vertAlign w:val="superscript"/>
                      <w14:textFill>
                        <w14:solidFill>
                          <w14:schemeClr w14:val="tx1"/>
                        </w14:solidFill>
                      </w14:textFill>
                    </w:rPr>
                    <w:t>3</w:t>
                  </w:r>
                </w:p>
              </w:tc>
              <w:tc>
                <w:tcPr>
                  <w:tcW w:w="892" w:type="pct"/>
                  <w:vAlign w:val="center"/>
                </w:tcPr>
                <w:p w14:paraId="7335E5A4">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4mg/m</w:t>
                  </w:r>
                  <w:r>
                    <w:rPr>
                      <w:rFonts w:hint="default" w:ascii="Times New Roman" w:hAnsi="Times New Roman" w:eastAsia="宋体" w:cs="Times New Roman"/>
                      <w:bCs/>
                      <w:color w:val="000000" w:themeColor="text1"/>
                      <w:kern w:val="0"/>
                      <w:szCs w:val="21"/>
                      <w:highlight w:val="none"/>
                      <w:vertAlign w:val="superscript"/>
                      <w14:textFill>
                        <w14:solidFill>
                          <w14:schemeClr w14:val="tx1"/>
                        </w14:solidFill>
                      </w14:textFill>
                    </w:rPr>
                    <w:t>3</w:t>
                  </w:r>
                </w:p>
              </w:tc>
              <w:tc>
                <w:tcPr>
                  <w:tcW w:w="560" w:type="pct"/>
                  <w:vAlign w:val="center"/>
                </w:tcPr>
                <w:p w14:paraId="646A1883">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1.75</w:t>
                  </w:r>
                </w:p>
              </w:tc>
              <w:tc>
                <w:tcPr>
                  <w:tcW w:w="482" w:type="pct"/>
                  <w:vAlign w:val="center"/>
                </w:tcPr>
                <w:p w14:paraId="12E55128">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达标</w:t>
                  </w:r>
                </w:p>
              </w:tc>
            </w:tr>
            <w:tr w14:paraId="76850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6" w:type="pct"/>
                  <w:vAlign w:val="center"/>
                </w:tcPr>
                <w:p w14:paraId="121C939B">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O</w:t>
                  </w:r>
                  <w:r>
                    <w:rPr>
                      <w:rFonts w:hint="default" w:ascii="Times New Roman" w:hAnsi="Times New Roman" w:eastAsia="宋体" w:cs="Times New Roman"/>
                      <w:bCs/>
                      <w:color w:val="000000" w:themeColor="text1"/>
                      <w:kern w:val="0"/>
                      <w:szCs w:val="21"/>
                      <w:highlight w:val="none"/>
                      <w:vertAlign w:val="subscript"/>
                      <w14:textFill>
                        <w14:solidFill>
                          <w14:schemeClr w14:val="tx1"/>
                        </w14:solidFill>
                      </w14:textFill>
                    </w:rPr>
                    <w:t>3</w:t>
                  </w:r>
                </w:p>
              </w:tc>
              <w:tc>
                <w:tcPr>
                  <w:tcW w:w="1765" w:type="pct"/>
                  <w:vAlign w:val="center"/>
                </w:tcPr>
                <w:p w14:paraId="0C60514A">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日最大8小时滑动平均值第90百分位数</w:t>
                  </w:r>
                </w:p>
              </w:tc>
              <w:tc>
                <w:tcPr>
                  <w:tcW w:w="772" w:type="pct"/>
                  <w:vAlign w:val="center"/>
                </w:tcPr>
                <w:p w14:paraId="58462FEB">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115</w:t>
                  </w:r>
                </w:p>
              </w:tc>
              <w:tc>
                <w:tcPr>
                  <w:tcW w:w="892" w:type="pct"/>
                  <w:vAlign w:val="center"/>
                </w:tcPr>
                <w:p w14:paraId="52807CAC">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160</w:t>
                  </w:r>
                </w:p>
              </w:tc>
              <w:tc>
                <w:tcPr>
                  <w:tcW w:w="560" w:type="pct"/>
                  <w:vAlign w:val="center"/>
                </w:tcPr>
                <w:p w14:paraId="51401770">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71.88</w:t>
                  </w:r>
                </w:p>
              </w:tc>
              <w:tc>
                <w:tcPr>
                  <w:tcW w:w="482" w:type="pct"/>
                  <w:vAlign w:val="center"/>
                </w:tcPr>
                <w:p w14:paraId="30072C3B">
                  <w:pPr>
                    <w:autoSpaceDE w:val="0"/>
                    <w:autoSpaceDN w:val="0"/>
                    <w:adjustRightInd w:val="0"/>
                    <w:snapToGrid w:val="0"/>
                    <w:jc w:val="center"/>
                    <w:rPr>
                      <w:rFonts w:hint="default" w:ascii="Times New Roman" w:hAnsi="Times New Roman" w:eastAsia="宋体" w:cs="Times New Roman"/>
                      <w:bCs/>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Cs w:val="21"/>
                      <w:highlight w:val="none"/>
                      <w14:textFill>
                        <w14:solidFill>
                          <w14:schemeClr w14:val="tx1"/>
                        </w14:solidFill>
                      </w14:textFill>
                    </w:rPr>
                    <w:t>达标</w:t>
                  </w:r>
                </w:p>
              </w:tc>
            </w:tr>
          </w:tbl>
          <w:p w14:paraId="34EF0A7B">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根据该公报，环境空气评价因子为SO</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highlight w:val="none"/>
                <w14:textFill>
                  <w14:solidFill>
                    <w14:schemeClr w14:val="tx1"/>
                  </w14:solidFill>
                </w14:textFill>
              </w:rPr>
              <w:t>、NO</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highlight w:val="none"/>
                <w14:textFill>
                  <w14:solidFill>
                    <w14:schemeClr w14:val="tx1"/>
                  </w14:solidFill>
                </w14:textFill>
              </w:rPr>
              <w:t>、PM</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kern w:val="0"/>
                <w:sz w:val="24"/>
                <w:highlight w:val="none"/>
                <w14:textFill>
                  <w14:solidFill>
                    <w14:schemeClr w14:val="tx1"/>
                  </w14:solidFill>
                </w14:textFill>
              </w:rPr>
              <w:t>、PM</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2.5</w:t>
            </w:r>
            <w:r>
              <w:rPr>
                <w:rFonts w:hint="default" w:ascii="Times New Roman" w:hAnsi="Times New Roman" w:eastAsia="宋体" w:cs="Times New Roman"/>
                <w:color w:val="000000" w:themeColor="text1"/>
                <w:kern w:val="0"/>
                <w:sz w:val="24"/>
                <w:highlight w:val="none"/>
                <w14:textFill>
                  <w14:solidFill>
                    <w14:schemeClr w14:val="tx1"/>
                  </w14:solidFill>
                </w14:textFill>
              </w:rPr>
              <w:t>、CO、O</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0"/>
                <w:sz w:val="24"/>
                <w:highlight w:val="none"/>
                <w14:textFill>
                  <w14:solidFill>
                    <w14:schemeClr w14:val="tx1"/>
                  </w14:solidFill>
                </w14:textFill>
              </w:rPr>
              <w:t>等六项，所监测的6项基本污染物中，SO</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highlight w:val="none"/>
                <w14:textFill>
                  <w14:solidFill>
                    <w14:schemeClr w14:val="tx1"/>
                  </w14:solidFill>
                </w14:textFill>
              </w:rPr>
              <w:t>、NO</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highlight w:val="none"/>
                <w14:textFill>
                  <w14:solidFill>
                    <w14:schemeClr w14:val="tx1"/>
                  </w14:solidFill>
                </w14:textFill>
              </w:rPr>
              <w:t>、PM</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kern w:val="0"/>
                <w:sz w:val="24"/>
                <w:highlight w:val="none"/>
                <w14:textFill>
                  <w14:solidFill>
                    <w14:schemeClr w14:val="tx1"/>
                  </w14:solidFill>
                </w14:textFill>
              </w:rPr>
              <w:t>、PM</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2.5</w:t>
            </w:r>
            <w:r>
              <w:rPr>
                <w:rFonts w:hint="default" w:ascii="Times New Roman" w:hAnsi="Times New Roman" w:eastAsia="宋体" w:cs="Times New Roman"/>
                <w:color w:val="000000" w:themeColor="text1"/>
                <w:kern w:val="0"/>
                <w:sz w:val="24"/>
                <w:highlight w:val="none"/>
                <w14:textFill>
                  <w14:solidFill>
                    <w14:schemeClr w14:val="tx1"/>
                  </w14:solidFill>
                </w14:textFill>
              </w:rPr>
              <w:t>年均值浓度低于《环境空气质量标准》（GB3095-2012）及其修改单中规定的标准限值，CO24小时平均浓度和O</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0"/>
                <w:sz w:val="24"/>
                <w:highlight w:val="none"/>
                <w14:textFill>
                  <w14:solidFill>
                    <w14:schemeClr w14:val="tx1"/>
                  </w14:solidFill>
                </w14:textFill>
              </w:rPr>
              <w:t>日最大8小时平均浓度低于《环境空气质量标准》（GB3095-2012）及其修改单中规定的标准限值，区域环境质量达标。</w:t>
            </w:r>
          </w:p>
          <w:p w14:paraId="00996EF2">
            <w:pPr>
              <w:spacing w:line="360" w:lineRule="auto"/>
              <w:ind w:firstLine="430" w:firstLineChars="200"/>
              <w:rPr>
                <w:rFonts w:hint="default" w:ascii="Times New Roman" w:hAnsi="Times New Roman" w:eastAsia="宋体" w:cs="Times New Roman"/>
                <w:b/>
                <w:bCs/>
                <w:color w:val="000000" w:themeColor="text1"/>
                <w:spacing w:val="-13"/>
                <w:sz w:val="24"/>
                <w:highlight w:val="none"/>
                <w14:textFill>
                  <w14:solidFill>
                    <w14:schemeClr w14:val="tx1"/>
                  </w14:solidFill>
                </w14:textFill>
              </w:rPr>
            </w:pPr>
            <w:r>
              <w:rPr>
                <w:rFonts w:hint="default" w:ascii="Times New Roman" w:hAnsi="Times New Roman" w:eastAsia="宋体" w:cs="Times New Roman"/>
                <w:b/>
                <w:bCs/>
                <w:color w:val="000000" w:themeColor="text1"/>
                <w:spacing w:val="-13"/>
                <w:sz w:val="24"/>
                <w:highlight w:val="none"/>
                <w14:textFill>
                  <w14:solidFill>
                    <w14:schemeClr w14:val="tx1"/>
                  </w14:solidFill>
                </w14:textFill>
              </w:rPr>
              <w:t>2、声环境质量现状</w:t>
            </w:r>
          </w:p>
          <w:p w14:paraId="5D859AB3">
            <w:pPr>
              <w:pStyle w:val="55"/>
              <w:spacing w:line="360" w:lineRule="auto"/>
              <w:ind w:firstLine="476"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highlight w:val="none"/>
                <w:lang w:eastAsia="zh-CN"/>
                <w14:textFill>
                  <w14:solidFill>
                    <w14:schemeClr w14:val="tx1"/>
                  </w14:solidFill>
                </w14:textFill>
              </w:rPr>
              <w:t>具体声环境现状详见声专项评价</w:t>
            </w:r>
            <w:r>
              <w:rPr>
                <w:rFonts w:hint="default" w:ascii="Times New Roman" w:hAnsi="Times New Roman" w:eastAsia="宋体" w:cs="Times New Roman"/>
                <w:color w:val="000000" w:themeColor="text1"/>
                <w:highlight w:val="none"/>
                <w:lang w:eastAsia="zh-CN"/>
                <w14:textFill>
                  <w14:solidFill>
                    <w14:schemeClr w14:val="tx1"/>
                  </w14:solidFill>
                </w14:textFill>
              </w:rPr>
              <w:t>。</w:t>
            </w:r>
          </w:p>
          <w:p w14:paraId="5F8BDF27">
            <w:pPr>
              <w:pStyle w:val="55"/>
              <w:spacing w:line="360" w:lineRule="auto"/>
              <w:ind w:firstLine="458"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6"/>
                <w:highlight w:val="none"/>
                <w:lang w:eastAsia="zh-CN"/>
                <w14:textFill>
                  <w14:solidFill>
                    <w14:schemeClr w14:val="tx1"/>
                  </w14:solidFill>
                </w14:textFill>
              </w:rPr>
              <w:t>3、生态环境现状</w:t>
            </w:r>
          </w:p>
          <w:p w14:paraId="4C5B8501">
            <w:pPr>
              <w:pStyle w:val="55"/>
              <w:spacing w:line="360" w:lineRule="auto"/>
              <w:ind w:firstLine="476"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highlight w:val="none"/>
                <w:lang w:eastAsia="zh-CN"/>
                <w14:textFill>
                  <w14:solidFill>
                    <w14:schemeClr w14:val="tx1"/>
                  </w14:solidFill>
                </w14:textFill>
              </w:rPr>
              <w:t>具体生态环境现状详见生态专项评价。</w:t>
            </w:r>
          </w:p>
        </w:tc>
      </w:tr>
      <w:tr w14:paraId="1E5F30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5" w:hRule="atLeast"/>
          <w:jc w:val="center"/>
        </w:trPr>
        <w:tc>
          <w:tcPr>
            <w:tcW w:w="557" w:type="dxa"/>
            <w:vAlign w:val="center"/>
          </w:tcPr>
          <w:p w14:paraId="6A096FD8">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与项目有关的原有环境污染和生态破坏问题</w:t>
            </w:r>
          </w:p>
        </w:tc>
        <w:tc>
          <w:tcPr>
            <w:tcW w:w="7729" w:type="dxa"/>
            <w:vAlign w:val="center"/>
          </w:tcPr>
          <w:p w14:paraId="40A56784">
            <w:pPr>
              <w:pStyle w:val="55"/>
              <w:spacing w:line="360" w:lineRule="auto"/>
              <w:ind w:firstLine="484" w:firstLineChars="200"/>
              <w:jc w:val="both"/>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highlight w:val="none"/>
                <w:lang w:eastAsia="zh-CN"/>
                <w14:textFill>
                  <w14:solidFill>
                    <w14:schemeClr w14:val="tx1"/>
                  </w14:solidFill>
                </w14:textFill>
              </w:rPr>
              <w:t>项目为新建项目，不存在与项目有关的原有环境污染和生态破</w:t>
            </w:r>
            <w:r>
              <w:rPr>
                <w:rFonts w:hint="default" w:ascii="Times New Roman" w:hAnsi="Times New Roman" w:eastAsia="宋体" w:cs="Times New Roman"/>
                <w:color w:val="000000" w:themeColor="text1"/>
                <w:highlight w:val="none"/>
                <w:lang w:eastAsia="zh-CN"/>
                <w14:textFill>
                  <w14:solidFill>
                    <w14:schemeClr w14:val="tx1"/>
                  </w14:solidFill>
                </w14:textFill>
              </w:rPr>
              <w:t>坏问题。</w:t>
            </w:r>
          </w:p>
          <w:p w14:paraId="5D935876">
            <w:pPr>
              <w:pStyle w:val="55"/>
              <w:spacing w:line="360" w:lineRule="auto"/>
              <w:jc w:val="both"/>
              <w:rPr>
                <w:rFonts w:hint="default" w:ascii="Times New Roman" w:hAnsi="Times New Roman" w:eastAsia="宋体" w:cs="Times New Roman"/>
                <w:color w:val="000000" w:themeColor="text1"/>
                <w:highlight w:val="none"/>
                <w:lang w:eastAsia="zh-CN"/>
                <w14:textFill>
                  <w14:solidFill>
                    <w14:schemeClr w14:val="tx1"/>
                  </w14:solidFill>
                </w14:textFill>
              </w:rPr>
            </w:pPr>
          </w:p>
          <w:p w14:paraId="7BC06B8A">
            <w:pPr>
              <w:pStyle w:val="37"/>
              <w:jc w:val="both"/>
              <w:rPr>
                <w:rFonts w:hint="default" w:ascii="Times New Roman" w:hAnsi="Times New Roman" w:eastAsia="宋体" w:cs="Times New Roman"/>
                <w:color w:val="000000" w:themeColor="text1"/>
                <w:highlight w:val="none"/>
                <w14:textFill>
                  <w14:solidFill>
                    <w14:schemeClr w14:val="tx1"/>
                  </w14:solidFill>
                </w14:textFill>
              </w:rPr>
            </w:pPr>
          </w:p>
        </w:tc>
      </w:tr>
      <w:tr w14:paraId="72908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7" w:type="dxa"/>
            <w:vAlign w:val="center"/>
          </w:tcPr>
          <w:p w14:paraId="5891009C">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生态环境保护目标</w:t>
            </w:r>
          </w:p>
        </w:tc>
        <w:tc>
          <w:tcPr>
            <w:tcW w:w="7729" w:type="dxa"/>
            <w:vAlign w:val="center"/>
          </w:tcPr>
          <w:p w14:paraId="4543E71B">
            <w:pPr>
              <w:adjustRightInd w:val="0"/>
              <w:snapToGrid w:val="0"/>
              <w:spacing w:line="360" w:lineRule="auto"/>
              <w:rPr>
                <w:rFonts w:cs="宋体"/>
                <w:b/>
                <w:bCs/>
                <w:color w:val="000000" w:themeColor="text1"/>
                <w:kern w:val="0"/>
                <w:sz w:val="24"/>
                <w:highlight w:val="none"/>
                <w14:textFill>
                  <w14:solidFill>
                    <w14:schemeClr w14:val="tx1"/>
                  </w14:solidFill>
                </w14:textFill>
              </w:rPr>
            </w:pPr>
            <w:r>
              <w:rPr>
                <w:rFonts w:hint="eastAsia" w:cs="宋体"/>
                <w:b/>
                <w:bCs/>
                <w:color w:val="000000" w:themeColor="text1"/>
                <w:kern w:val="0"/>
                <w:sz w:val="24"/>
                <w:highlight w:val="none"/>
                <w14:textFill>
                  <w14:solidFill>
                    <w14:schemeClr w14:val="tx1"/>
                  </w14:solidFill>
                </w14:textFill>
              </w:rPr>
              <w:t>一、评价范围的确定</w:t>
            </w:r>
          </w:p>
          <w:p w14:paraId="75A8989D">
            <w:pPr>
              <w:adjustRightInd w:val="0"/>
              <w:snapToGrid w:val="0"/>
              <w:spacing w:line="360" w:lineRule="auto"/>
              <w:rPr>
                <w:rFonts w:cs="宋体"/>
                <w:b/>
                <w:color w:val="000000" w:themeColor="text1"/>
                <w:kern w:val="0"/>
                <w:sz w:val="24"/>
                <w:highlight w:val="none"/>
                <w14:textFill>
                  <w14:solidFill>
                    <w14:schemeClr w14:val="tx1"/>
                  </w14:solidFill>
                </w14:textFill>
              </w:rPr>
            </w:pPr>
            <w:r>
              <w:rPr>
                <w:rFonts w:hint="eastAsia" w:cs="宋体"/>
                <w:b/>
                <w:color w:val="000000" w:themeColor="text1"/>
                <w:kern w:val="0"/>
                <w:sz w:val="24"/>
                <w:highlight w:val="none"/>
                <w14:textFill>
                  <w14:solidFill>
                    <w14:schemeClr w14:val="tx1"/>
                  </w14:solidFill>
                </w14:textFill>
              </w:rPr>
              <w:t>1、环境空气</w:t>
            </w:r>
          </w:p>
          <w:p w14:paraId="1BEDA1F0">
            <w:pPr>
              <w:adjustRightInd w:val="0"/>
              <w:snapToGrid w:val="0"/>
              <w:spacing w:line="360" w:lineRule="auto"/>
              <w:rPr>
                <w:rFonts w:hint="default" w:eastAsia="宋体" w:cs="宋体"/>
                <w:color w:val="000000" w:themeColor="text1"/>
                <w:kern w:val="0"/>
                <w:sz w:val="24"/>
                <w:highlight w:val="none"/>
                <w:lang w:val="en-US" w:eastAsia="zh-CN"/>
                <w14:textFill>
                  <w14:solidFill>
                    <w14:schemeClr w14:val="tx1"/>
                  </w14:solidFill>
                </w14:textFill>
              </w:rPr>
            </w:pPr>
            <w:r>
              <w:rPr>
                <w:rFonts w:hint="eastAsia" w:cs="宋体"/>
                <w:color w:val="000000" w:themeColor="text1"/>
                <w:kern w:val="0"/>
                <w:sz w:val="24"/>
                <w:highlight w:val="none"/>
                <w14:textFill>
                  <w14:solidFill>
                    <w14:schemeClr w14:val="tx1"/>
                  </w14:solidFill>
                </w14:textFill>
              </w:rPr>
              <w:t xml:space="preserve">   </w:t>
            </w:r>
            <w:r>
              <w:rPr>
                <w:rFonts w:hint="eastAsia" w:cs="宋体"/>
                <w:color w:val="000000" w:themeColor="text1"/>
                <w:kern w:val="0"/>
                <w:sz w:val="24"/>
                <w:highlight w:val="none"/>
                <w:lang w:val="en-US" w:eastAsia="zh-CN"/>
                <w14:textFill>
                  <w14:solidFill>
                    <w14:schemeClr w14:val="tx1"/>
                  </w14:solidFill>
                </w14:textFill>
              </w:rPr>
              <w:t>参考</w:t>
            </w:r>
            <w:r>
              <w:rPr>
                <w:rFonts w:hint="eastAsia" w:cs="宋体"/>
                <w:color w:val="000000" w:themeColor="text1"/>
                <w:kern w:val="0"/>
                <w:sz w:val="24"/>
                <w:highlight w:val="none"/>
                <w14:textFill>
                  <w14:solidFill>
                    <w14:schemeClr w14:val="tx1"/>
                  </w14:solidFill>
                </w14:textFill>
              </w:rPr>
              <w:t xml:space="preserve">《环境影响评价技术导则 </w:t>
            </w:r>
            <w:r>
              <w:rPr>
                <w:rFonts w:hint="eastAsia" w:cs="宋体"/>
                <w:color w:val="000000" w:themeColor="text1"/>
                <w:kern w:val="0"/>
                <w:sz w:val="24"/>
                <w:highlight w:val="none"/>
                <w:lang w:val="en-US" w:eastAsia="zh-CN"/>
                <w14:textFill>
                  <w14:solidFill>
                    <w14:schemeClr w14:val="tx1"/>
                  </w14:solidFill>
                </w14:textFill>
              </w:rPr>
              <w:t>公路建设项目</w:t>
            </w:r>
            <w:r>
              <w:rPr>
                <w:rFonts w:hint="eastAsia" w:cs="宋体"/>
                <w:color w:val="000000" w:themeColor="text1"/>
                <w:kern w:val="0"/>
                <w:sz w:val="24"/>
                <w:highlight w:val="none"/>
                <w14:textFill>
                  <w14:solidFill>
                    <w14:schemeClr w14:val="tx1"/>
                  </w14:solidFill>
                </w14:textFill>
              </w:rPr>
              <w:t>》（</w:t>
            </w:r>
            <w:r>
              <w:rPr>
                <w:rFonts w:hint="eastAsia" w:cs="宋体"/>
                <w:color w:val="000000" w:themeColor="text1"/>
                <w:kern w:val="0"/>
                <w:sz w:val="24"/>
                <w:highlight w:val="none"/>
                <w:lang w:val="en-US" w:eastAsia="zh-CN"/>
                <w14:textFill>
                  <w14:solidFill>
                    <w14:schemeClr w14:val="tx1"/>
                  </w14:solidFill>
                </w14:textFill>
              </w:rPr>
              <w:t>HJ 1358—2024</w:t>
            </w:r>
            <w:r>
              <w:rPr>
                <w:rFonts w:hint="eastAsia" w:cs="宋体"/>
                <w:color w:val="000000" w:themeColor="text1"/>
                <w:kern w:val="0"/>
                <w:sz w:val="24"/>
                <w:highlight w:val="none"/>
                <w14:textFill>
                  <w14:solidFill>
                    <w14:schemeClr w14:val="tx1"/>
                  </w14:solidFill>
                </w14:textFill>
              </w:rPr>
              <w:t>），</w:t>
            </w:r>
            <w:r>
              <w:rPr>
                <w:rFonts w:hint="eastAsia" w:cs="宋体"/>
                <w:color w:val="000000" w:themeColor="text1"/>
                <w:kern w:val="0"/>
                <w:sz w:val="24"/>
                <w:highlight w:val="none"/>
                <w:lang w:val="en-US" w:eastAsia="zh-CN"/>
                <w14:textFill>
                  <w14:solidFill>
                    <w14:schemeClr w14:val="tx1"/>
                  </w14:solidFill>
                </w14:textFill>
              </w:rPr>
              <w:t>大气评价不进行等级判定及评价范围设置。</w:t>
            </w:r>
          </w:p>
          <w:p w14:paraId="419A803F">
            <w:pPr>
              <w:adjustRightInd w:val="0"/>
              <w:snapToGrid w:val="0"/>
              <w:spacing w:line="360" w:lineRule="auto"/>
              <w:rPr>
                <w:rFonts w:cs="宋体"/>
                <w:b/>
                <w:color w:val="000000" w:themeColor="text1"/>
                <w:kern w:val="0"/>
                <w:sz w:val="24"/>
                <w:highlight w:val="none"/>
                <w14:textFill>
                  <w14:solidFill>
                    <w14:schemeClr w14:val="tx1"/>
                  </w14:solidFill>
                </w14:textFill>
              </w:rPr>
            </w:pPr>
            <w:r>
              <w:rPr>
                <w:rFonts w:hint="eastAsia" w:cs="宋体"/>
                <w:b/>
                <w:color w:val="000000" w:themeColor="text1"/>
                <w:kern w:val="0"/>
                <w:sz w:val="24"/>
                <w:highlight w:val="none"/>
                <w14:textFill>
                  <w14:solidFill>
                    <w14:schemeClr w14:val="tx1"/>
                  </w14:solidFill>
                </w14:textFill>
              </w:rPr>
              <w:t>2、声环境</w:t>
            </w:r>
          </w:p>
          <w:p w14:paraId="2C95E5C8">
            <w:pPr>
              <w:adjustRightInd w:val="0"/>
              <w:snapToGrid w:val="0"/>
              <w:spacing w:line="360" w:lineRule="auto"/>
              <w:rPr>
                <w:rFonts w:cs="宋体"/>
                <w:color w:val="000000" w:themeColor="text1"/>
                <w:kern w:val="0"/>
                <w:sz w:val="24"/>
                <w:highlight w:val="none"/>
                <w14:textFill>
                  <w14:solidFill>
                    <w14:schemeClr w14:val="tx1"/>
                  </w14:solidFill>
                </w14:textFill>
              </w:rPr>
            </w:pPr>
            <w:r>
              <w:rPr>
                <w:rFonts w:hint="eastAsia" w:cs="宋体"/>
                <w:color w:val="000000" w:themeColor="text1"/>
                <w:kern w:val="0"/>
                <w:sz w:val="24"/>
                <w:highlight w:val="none"/>
                <w14:textFill>
                  <w14:solidFill>
                    <w14:schemeClr w14:val="tx1"/>
                  </w14:solidFill>
                </w14:textFill>
              </w:rPr>
              <w:t xml:space="preserve">  根据《环境影响评价技术导则·声环境》(HJ2.4-2009)</w:t>
            </w:r>
            <w:r>
              <w:rPr>
                <w:rFonts w:hint="eastAsia" w:cs="宋体"/>
                <w:color w:val="000000" w:themeColor="text1"/>
                <w:kern w:val="0"/>
                <w:sz w:val="24"/>
                <w:highlight w:val="none"/>
                <w:lang w:val="en-US" w:eastAsia="zh-CN"/>
                <w14:textFill>
                  <w14:solidFill>
                    <w14:schemeClr w14:val="tx1"/>
                  </w14:solidFill>
                </w14:textFill>
              </w:rPr>
              <w:t>及</w:t>
            </w:r>
            <w:r>
              <w:rPr>
                <w:rFonts w:hint="eastAsia" w:cs="宋体"/>
                <w:color w:val="000000" w:themeColor="text1"/>
                <w:kern w:val="0"/>
                <w:sz w:val="24"/>
                <w:highlight w:val="none"/>
                <w14:textFill>
                  <w14:solidFill>
                    <w14:schemeClr w14:val="tx1"/>
                  </w14:solidFill>
                </w14:textFill>
              </w:rPr>
              <w:t xml:space="preserve">《环境影响评价技术导则 </w:t>
            </w:r>
            <w:r>
              <w:rPr>
                <w:rFonts w:hint="eastAsia" w:cs="宋体"/>
                <w:color w:val="000000" w:themeColor="text1"/>
                <w:kern w:val="0"/>
                <w:sz w:val="24"/>
                <w:highlight w:val="none"/>
                <w:lang w:val="en-US" w:eastAsia="zh-CN"/>
                <w14:textFill>
                  <w14:solidFill>
                    <w14:schemeClr w14:val="tx1"/>
                  </w14:solidFill>
                </w14:textFill>
              </w:rPr>
              <w:t>公路建设项目</w:t>
            </w:r>
            <w:r>
              <w:rPr>
                <w:rFonts w:hint="eastAsia" w:cs="宋体"/>
                <w:color w:val="000000" w:themeColor="text1"/>
                <w:kern w:val="0"/>
                <w:sz w:val="24"/>
                <w:highlight w:val="none"/>
                <w14:textFill>
                  <w14:solidFill>
                    <w14:schemeClr w14:val="tx1"/>
                  </w14:solidFill>
                </w14:textFill>
              </w:rPr>
              <w:t>》（</w:t>
            </w:r>
            <w:r>
              <w:rPr>
                <w:rFonts w:hint="eastAsia" w:cs="宋体"/>
                <w:color w:val="000000" w:themeColor="text1"/>
                <w:kern w:val="0"/>
                <w:sz w:val="24"/>
                <w:highlight w:val="none"/>
                <w:lang w:val="en-US" w:eastAsia="zh-CN"/>
                <w14:textFill>
                  <w14:solidFill>
                    <w14:schemeClr w14:val="tx1"/>
                  </w14:solidFill>
                </w14:textFill>
              </w:rPr>
              <w:t>HJ 1358—2024</w:t>
            </w:r>
            <w:r>
              <w:rPr>
                <w:rFonts w:hint="eastAsia" w:cs="宋体"/>
                <w:color w:val="000000" w:themeColor="text1"/>
                <w:kern w:val="0"/>
                <w:sz w:val="24"/>
                <w:highlight w:val="none"/>
                <w14:textFill>
                  <w14:solidFill>
                    <w14:schemeClr w14:val="tx1"/>
                  </w14:solidFill>
                </w14:textFill>
              </w:rPr>
              <w:t>）</w:t>
            </w:r>
            <w:r>
              <w:rPr>
                <w:rFonts w:hint="eastAsia" w:cs="宋体"/>
                <w:color w:val="000000" w:themeColor="text1"/>
                <w:kern w:val="0"/>
                <w:sz w:val="24"/>
                <w:highlight w:val="none"/>
                <w:lang w:eastAsia="zh-CN"/>
                <w14:textFill>
                  <w14:solidFill>
                    <w14:schemeClr w14:val="tx1"/>
                  </w14:solidFill>
                </w14:textFill>
              </w:rPr>
              <w:t>，</w:t>
            </w:r>
            <w:r>
              <w:rPr>
                <w:rFonts w:hint="eastAsia" w:cs="宋体"/>
                <w:color w:val="000000" w:themeColor="text1"/>
                <w:kern w:val="0"/>
                <w:sz w:val="24"/>
                <w:highlight w:val="none"/>
                <w14:textFill>
                  <w14:solidFill>
                    <w14:schemeClr w14:val="tx1"/>
                  </w14:solidFill>
                </w14:textFill>
              </w:rPr>
              <w:t>声环境影响评价级别划分原则，建设项目所处的声环境功能区为GB 3096 规定的1类、2类地区，或建设项目建设前后评价范围内敏感目标噪声级增高量达3～5dB(A) [含5dB(A)]，或受噪声影响人口数量增加较多时，按二级评价。</w:t>
            </w:r>
          </w:p>
          <w:p w14:paraId="455F8AB7">
            <w:pPr>
              <w:adjustRightInd w:val="0"/>
              <w:snapToGrid w:val="0"/>
              <w:spacing w:line="360" w:lineRule="auto"/>
              <w:ind w:firstLine="240" w:firstLineChars="100"/>
              <w:rPr>
                <w:rFonts w:cs="宋体"/>
                <w:color w:val="000000" w:themeColor="text1"/>
                <w:kern w:val="0"/>
                <w:sz w:val="24"/>
                <w:highlight w:val="none"/>
                <w14:textFill>
                  <w14:solidFill>
                    <w14:schemeClr w14:val="tx1"/>
                  </w14:solidFill>
                </w14:textFill>
              </w:rPr>
            </w:pPr>
            <w:r>
              <w:rPr>
                <w:rFonts w:hint="eastAsia" w:cs="宋体"/>
                <w:color w:val="000000" w:themeColor="text1"/>
                <w:kern w:val="0"/>
                <w:sz w:val="24"/>
                <w:highlight w:val="none"/>
                <w14:textFill>
                  <w14:solidFill>
                    <w14:schemeClr w14:val="tx1"/>
                  </w14:solidFill>
                </w14:textFill>
              </w:rPr>
              <w:t>项目所在区域声环境功能属《声环境质量标准》(GB3096-2008)</w:t>
            </w:r>
            <w:r>
              <w:rPr>
                <w:rFonts w:hint="eastAsia" w:cs="宋体"/>
                <w:color w:val="000000" w:themeColor="text1"/>
                <w:kern w:val="0"/>
                <w:sz w:val="24"/>
                <w:highlight w:val="none"/>
                <w:lang w:val="en-US" w:eastAsia="zh-CN"/>
                <w14:textFill>
                  <w14:solidFill>
                    <w14:schemeClr w14:val="tx1"/>
                  </w14:solidFill>
                </w14:textFill>
              </w:rPr>
              <w:t>1</w:t>
            </w:r>
            <w:r>
              <w:rPr>
                <w:rFonts w:hint="eastAsia" w:cs="宋体"/>
                <w:color w:val="000000" w:themeColor="text1"/>
                <w:kern w:val="0"/>
                <w:sz w:val="24"/>
                <w:highlight w:val="none"/>
                <w14:textFill>
                  <w14:solidFill>
                    <w14:schemeClr w14:val="tx1"/>
                  </w14:solidFill>
                </w14:textFill>
              </w:rPr>
              <w:t>类声环境功能区；项目建设前后，敏感目标噪声级增高量小于5dB(A)，因此确定本项目声环境影响评价工作级别为二级。</w:t>
            </w:r>
          </w:p>
          <w:p w14:paraId="61237E82">
            <w:pPr>
              <w:adjustRightInd w:val="0"/>
              <w:snapToGrid w:val="0"/>
              <w:spacing w:line="360" w:lineRule="auto"/>
              <w:ind w:firstLine="480" w:firstLineChars="200"/>
              <w:rPr>
                <w:rFonts w:cs="宋体"/>
                <w:color w:val="000000" w:themeColor="text1"/>
                <w:kern w:val="0"/>
                <w:sz w:val="24"/>
                <w:highlight w:val="none"/>
                <w14:textFill>
                  <w14:solidFill>
                    <w14:schemeClr w14:val="tx1"/>
                  </w14:solidFill>
                </w14:textFill>
              </w:rPr>
            </w:pPr>
            <w:r>
              <w:rPr>
                <w:rFonts w:hint="eastAsia" w:cs="宋体"/>
                <w:color w:val="000000" w:themeColor="text1"/>
                <w:kern w:val="0"/>
                <w:sz w:val="24"/>
                <w:highlight w:val="none"/>
                <w14:textFill>
                  <w14:solidFill>
                    <w14:schemeClr w14:val="tx1"/>
                  </w14:solidFill>
                </w14:textFill>
              </w:rPr>
              <w:t>评价范围为道路</w:t>
            </w:r>
            <w:r>
              <w:rPr>
                <w:rFonts w:hint="eastAsia" w:cs="宋体"/>
                <w:color w:val="000000" w:themeColor="text1"/>
                <w:kern w:val="0"/>
                <w:sz w:val="24"/>
                <w:highlight w:val="none"/>
                <w:lang w:val="en-US" w:eastAsia="zh-CN"/>
                <w14:textFill>
                  <w14:solidFill>
                    <w14:schemeClr w14:val="tx1"/>
                  </w14:solidFill>
                </w14:textFill>
              </w:rPr>
              <w:t>中心线</w:t>
            </w:r>
            <w:r>
              <w:rPr>
                <w:rFonts w:hint="eastAsia" w:cs="宋体"/>
                <w:color w:val="000000" w:themeColor="text1"/>
                <w:kern w:val="0"/>
                <w:sz w:val="24"/>
                <w:highlight w:val="none"/>
                <w14:textFill>
                  <w14:solidFill>
                    <w14:schemeClr w14:val="tx1"/>
                  </w14:solidFill>
                </w14:textFill>
              </w:rPr>
              <w:t>两侧200m范围</w:t>
            </w:r>
            <w:r>
              <w:rPr>
                <w:rFonts w:hint="eastAsia" w:cs="宋体"/>
                <w:color w:val="000000" w:themeColor="text1"/>
                <w:kern w:val="0"/>
                <w:sz w:val="24"/>
                <w:highlight w:val="none"/>
                <w:lang w:val="en-US" w:eastAsia="zh-CN"/>
                <w14:textFill>
                  <w14:solidFill>
                    <w14:schemeClr w14:val="tx1"/>
                  </w14:solidFill>
                </w14:textFill>
              </w:rPr>
              <w:t>及施工营地外扩200m范围</w:t>
            </w:r>
            <w:r>
              <w:rPr>
                <w:rFonts w:hint="eastAsia" w:cs="宋体"/>
                <w:color w:val="000000" w:themeColor="text1"/>
                <w:kern w:val="0"/>
                <w:sz w:val="24"/>
                <w:highlight w:val="none"/>
                <w14:textFill>
                  <w14:solidFill>
                    <w14:schemeClr w14:val="tx1"/>
                  </w14:solidFill>
                </w14:textFill>
              </w:rPr>
              <w:t>。</w:t>
            </w:r>
          </w:p>
          <w:p w14:paraId="7B27E21E">
            <w:pPr>
              <w:adjustRightInd w:val="0"/>
              <w:snapToGrid w:val="0"/>
              <w:spacing w:line="360" w:lineRule="auto"/>
              <w:rPr>
                <w:rFonts w:cs="宋体"/>
                <w:b/>
                <w:color w:val="000000" w:themeColor="text1"/>
                <w:kern w:val="0"/>
                <w:sz w:val="24"/>
                <w:highlight w:val="none"/>
                <w14:textFill>
                  <w14:solidFill>
                    <w14:schemeClr w14:val="tx1"/>
                  </w14:solidFill>
                </w14:textFill>
              </w:rPr>
            </w:pPr>
            <w:r>
              <w:rPr>
                <w:rFonts w:hint="eastAsia" w:cs="宋体"/>
                <w:b/>
                <w:color w:val="000000" w:themeColor="text1"/>
                <w:kern w:val="0"/>
                <w:sz w:val="24"/>
                <w:highlight w:val="none"/>
                <w14:textFill>
                  <w14:solidFill>
                    <w14:schemeClr w14:val="tx1"/>
                  </w14:solidFill>
                </w14:textFill>
              </w:rPr>
              <w:t>3、生态环境</w:t>
            </w:r>
          </w:p>
          <w:p w14:paraId="1DCB1356">
            <w:pPr>
              <w:adjustRightInd w:val="0"/>
              <w:snapToGrid w:val="0"/>
              <w:spacing w:line="360" w:lineRule="auto"/>
              <w:ind w:firstLine="480" w:firstLineChars="200"/>
              <w:rPr>
                <w:rFonts w:hint="eastAsia" w:cs="宋体"/>
                <w:color w:val="000000" w:themeColor="text1"/>
                <w:kern w:val="0"/>
                <w:sz w:val="24"/>
                <w:highlight w:val="none"/>
                <w14:textFill>
                  <w14:solidFill>
                    <w14:schemeClr w14:val="tx1"/>
                  </w14:solidFill>
                </w14:textFill>
              </w:rPr>
            </w:pPr>
            <w:r>
              <w:rPr>
                <w:rFonts w:hint="eastAsia" w:cs="宋体"/>
                <w:color w:val="000000" w:themeColor="text1"/>
                <w:kern w:val="0"/>
                <w:sz w:val="24"/>
                <w:highlight w:val="none"/>
                <w14:textFill>
                  <w14:solidFill>
                    <w14:schemeClr w14:val="tx1"/>
                  </w14:solidFill>
                </w14:textFill>
              </w:rPr>
              <w:t>根据《环境影响评价技术导则 生态影响》（HJ19-2011）</w:t>
            </w:r>
            <w:r>
              <w:rPr>
                <w:rFonts w:hint="eastAsia" w:cs="宋体"/>
                <w:color w:val="000000" w:themeColor="text1"/>
                <w:kern w:val="0"/>
                <w:sz w:val="24"/>
                <w:highlight w:val="none"/>
                <w:lang w:val="en-US" w:eastAsia="zh-CN"/>
                <w14:textFill>
                  <w14:solidFill>
                    <w14:schemeClr w14:val="tx1"/>
                  </w14:solidFill>
                </w14:textFill>
              </w:rPr>
              <w:t>及</w:t>
            </w:r>
            <w:r>
              <w:rPr>
                <w:rFonts w:hint="eastAsia" w:cs="宋体"/>
                <w:color w:val="000000" w:themeColor="text1"/>
                <w:kern w:val="0"/>
                <w:sz w:val="24"/>
                <w:highlight w:val="none"/>
                <w14:textFill>
                  <w14:solidFill>
                    <w14:schemeClr w14:val="tx1"/>
                  </w14:solidFill>
                </w14:textFill>
              </w:rPr>
              <w:t xml:space="preserve">《环境影响评价技术导则 </w:t>
            </w:r>
            <w:r>
              <w:rPr>
                <w:rFonts w:hint="eastAsia" w:cs="宋体"/>
                <w:color w:val="000000" w:themeColor="text1"/>
                <w:kern w:val="0"/>
                <w:sz w:val="24"/>
                <w:highlight w:val="none"/>
                <w:lang w:val="en-US" w:eastAsia="zh-CN"/>
                <w14:textFill>
                  <w14:solidFill>
                    <w14:schemeClr w14:val="tx1"/>
                  </w14:solidFill>
                </w14:textFill>
              </w:rPr>
              <w:t>公路建设项目</w:t>
            </w:r>
            <w:r>
              <w:rPr>
                <w:rFonts w:hint="eastAsia" w:cs="宋体"/>
                <w:color w:val="000000" w:themeColor="text1"/>
                <w:kern w:val="0"/>
                <w:sz w:val="24"/>
                <w:highlight w:val="none"/>
                <w14:textFill>
                  <w14:solidFill>
                    <w14:schemeClr w14:val="tx1"/>
                  </w14:solidFill>
                </w14:textFill>
              </w:rPr>
              <w:t>》（</w:t>
            </w:r>
            <w:r>
              <w:rPr>
                <w:rFonts w:hint="eastAsia" w:cs="宋体"/>
                <w:color w:val="000000" w:themeColor="text1"/>
                <w:kern w:val="0"/>
                <w:sz w:val="24"/>
                <w:highlight w:val="none"/>
                <w:lang w:val="en-US" w:eastAsia="zh-CN"/>
                <w14:textFill>
                  <w14:solidFill>
                    <w14:schemeClr w14:val="tx1"/>
                  </w14:solidFill>
                </w14:textFill>
              </w:rPr>
              <w:t>HJ 1358—2024</w:t>
            </w:r>
            <w:r>
              <w:rPr>
                <w:rFonts w:hint="eastAsia" w:cs="宋体"/>
                <w:color w:val="000000" w:themeColor="text1"/>
                <w:kern w:val="0"/>
                <w:sz w:val="24"/>
                <w:highlight w:val="none"/>
                <w14:textFill>
                  <w14:solidFill>
                    <w14:schemeClr w14:val="tx1"/>
                  </w14:solidFill>
                </w14:textFill>
              </w:rPr>
              <w:t>），占地范围影响区域生态敏感性为</w:t>
            </w:r>
            <w:r>
              <w:rPr>
                <w:rFonts w:hint="eastAsia" w:cs="宋体"/>
                <w:color w:val="000000" w:themeColor="text1"/>
                <w:kern w:val="0"/>
                <w:sz w:val="24"/>
                <w:highlight w:val="none"/>
                <w:lang w:val="en-US" w:eastAsia="zh-CN"/>
                <w14:textFill>
                  <w14:solidFill>
                    <w14:schemeClr w14:val="tx1"/>
                  </w14:solidFill>
                </w14:textFill>
              </w:rPr>
              <w:t>生态红线—西乌珠穆沁旗-水源养生态功能重要区</w:t>
            </w:r>
            <w:r>
              <w:rPr>
                <w:rFonts w:hint="eastAsia" w:cs="宋体"/>
                <w:color w:val="000000" w:themeColor="text1"/>
                <w:kern w:val="0"/>
                <w:sz w:val="24"/>
                <w:highlight w:val="none"/>
                <w14:textFill>
                  <w14:solidFill>
                    <w14:schemeClr w14:val="tx1"/>
                  </w14:solidFill>
                </w14:textFill>
              </w:rPr>
              <w:t>，评价等级为</w:t>
            </w:r>
            <w:r>
              <w:rPr>
                <w:rFonts w:hint="eastAsia" w:cs="宋体"/>
                <w:color w:val="000000" w:themeColor="text1"/>
                <w:kern w:val="0"/>
                <w:sz w:val="24"/>
                <w:highlight w:val="none"/>
                <w:lang w:val="en-US" w:eastAsia="zh-CN"/>
                <w14:textFill>
                  <w14:solidFill>
                    <w14:schemeClr w14:val="tx1"/>
                  </w14:solidFill>
                </w14:textFill>
              </w:rPr>
              <w:t>二</w:t>
            </w:r>
            <w:r>
              <w:rPr>
                <w:rFonts w:hint="eastAsia" w:cs="宋体"/>
                <w:color w:val="000000" w:themeColor="text1"/>
                <w:kern w:val="0"/>
                <w:sz w:val="24"/>
                <w:highlight w:val="none"/>
                <w14:textFill>
                  <w14:solidFill>
                    <w14:schemeClr w14:val="tx1"/>
                  </w14:solidFill>
                </w14:textFill>
              </w:rPr>
              <w:t>级评价，评价范围定为道路红线外延</w:t>
            </w:r>
            <w:r>
              <w:rPr>
                <w:rFonts w:hint="eastAsia" w:cs="宋体"/>
                <w:color w:val="000000" w:themeColor="text1"/>
                <w:kern w:val="0"/>
                <w:sz w:val="24"/>
                <w:highlight w:val="none"/>
                <w:lang w:val="en-US" w:eastAsia="zh-CN"/>
                <w14:textFill>
                  <w14:solidFill>
                    <w14:schemeClr w14:val="tx1"/>
                  </w14:solidFill>
                </w14:textFill>
              </w:rPr>
              <w:t>10</w:t>
            </w:r>
            <w:r>
              <w:rPr>
                <w:rFonts w:hint="eastAsia" w:cs="宋体"/>
                <w:color w:val="000000" w:themeColor="text1"/>
                <w:kern w:val="0"/>
                <w:sz w:val="24"/>
                <w:highlight w:val="none"/>
                <w14:textFill>
                  <w14:solidFill>
                    <w14:schemeClr w14:val="tx1"/>
                  </w14:solidFill>
                </w14:textFill>
              </w:rPr>
              <w:t>00m范围及临时占地范围。</w:t>
            </w:r>
          </w:p>
          <w:p w14:paraId="1A0F019D">
            <w:pPr>
              <w:numPr>
                <w:ilvl w:val="0"/>
                <w:numId w:val="5"/>
              </w:numPr>
              <w:adjustRightInd w:val="0"/>
              <w:snapToGrid w:val="0"/>
              <w:spacing w:line="360" w:lineRule="auto"/>
              <w:rPr>
                <w:rFonts w:hint="eastAsia" w:cs="宋体"/>
                <w:b/>
                <w:bCs/>
                <w:color w:val="000000" w:themeColor="text1"/>
                <w:kern w:val="0"/>
                <w:sz w:val="24"/>
                <w:highlight w:val="none"/>
                <w:lang w:val="en-US" w:eastAsia="zh-CN"/>
                <w14:textFill>
                  <w14:solidFill>
                    <w14:schemeClr w14:val="tx1"/>
                  </w14:solidFill>
                </w14:textFill>
              </w:rPr>
            </w:pPr>
            <w:r>
              <w:rPr>
                <w:rFonts w:hint="eastAsia" w:cs="宋体"/>
                <w:b/>
                <w:bCs/>
                <w:color w:val="000000" w:themeColor="text1"/>
                <w:kern w:val="0"/>
                <w:sz w:val="24"/>
                <w:highlight w:val="none"/>
                <w:lang w:val="en-US" w:eastAsia="zh-CN"/>
                <w14:textFill>
                  <w14:solidFill>
                    <w14:schemeClr w14:val="tx1"/>
                  </w14:solidFill>
                </w14:textFill>
              </w:rPr>
              <w:t>地表水环境</w:t>
            </w:r>
          </w:p>
          <w:p w14:paraId="6B9D081D">
            <w:pPr>
              <w:numPr>
                <w:ilvl w:val="0"/>
                <w:numId w:val="0"/>
              </w:numPr>
              <w:adjustRightInd w:val="0"/>
              <w:snapToGrid w:val="0"/>
              <w:spacing w:line="360" w:lineRule="auto"/>
              <w:rPr>
                <w:rFonts w:hint="eastAsia" w:cs="宋体"/>
                <w:color w:val="000000" w:themeColor="text1"/>
                <w:kern w:val="0"/>
                <w:sz w:val="24"/>
                <w:highlight w:val="none"/>
                <w:lang w:val="en-US" w:eastAsia="zh-CN"/>
                <w14:textFill>
                  <w14:solidFill>
                    <w14:schemeClr w14:val="tx1"/>
                  </w14:solidFill>
                </w14:textFill>
              </w:rPr>
            </w:pPr>
            <w:r>
              <w:rPr>
                <w:rFonts w:hint="eastAsia" w:cs="宋体"/>
                <w:color w:val="000000" w:themeColor="text1"/>
                <w:kern w:val="0"/>
                <w:sz w:val="24"/>
                <w:highlight w:val="none"/>
                <w:lang w:val="en-US" w:eastAsia="zh-CN"/>
                <w14:textFill>
                  <w14:solidFill>
                    <w14:schemeClr w14:val="tx1"/>
                  </w14:solidFill>
                </w14:textFill>
              </w:rPr>
              <w:t xml:space="preserve">   根据</w:t>
            </w:r>
            <w:r>
              <w:rPr>
                <w:rFonts w:hint="eastAsia" w:cs="宋体"/>
                <w:color w:val="000000" w:themeColor="text1"/>
                <w:kern w:val="0"/>
                <w:sz w:val="24"/>
                <w:highlight w:val="none"/>
                <w14:textFill>
                  <w14:solidFill>
                    <w14:schemeClr w14:val="tx1"/>
                  </w14:solidFill>
                </w14:textFill>
              </w:rPr>
              <w:t xml:space="preserve">《环境影响评价技术导则 </w:t>
            </w:r>
            <w:r>
              <w:rPr>
                <w:rFonts w:hint="eastAsia" w:cs="宋体"/>
                <w:color w:val="000000" w:themeColor="text1"/>
                <w:kern w:val="0"/>
                <w:sz w:val="24"/>
                <w:highlight w:val="none"/>
                <w:lang w:val="en-US" w:eastAsia="zh-CN"/>
                <w14:textFill>
                  <w14:solidFill>
                    <w14:schemeClr w14:val="tx1"/>
                  </w14:solidFill>
                </w14:textFill>
              </w:rPr>
              <w:t>公路建设项目</w:t>
            </w:r>
            <w:r>
              <w:rPr>
                <w:rFonts w:hint="eastAsia" w:cs="宋体"/>
                <w:color w:val="000000" w:themeColor="text1"/>
                <w:kern w:val="0"/>
                <w:sz w:val="24"/>
                <w:highlight w:val="none"/>
                <w14:textFill>
                  <w14:solidFill>
                    <w14:schemeClr w14:val="tx1"/>
                  </w14:solidFill>
                </w14:textFill>
              </w:rPr>
              <w:t>》（</w:t>
            </w:r>
            <w:r>
              <w:rPr>
                <w:rFonts w:hint="eastAsia" w:cs="宋体"/>
                <w:color w:val="000000" w:themeColor="text1"/>
                <w:kern w:val="0"/>
                <w:sz w:val="24"/>
                <w:highlight w:val="none"/>
                <w:lang w:val="en-US" w:eastAsia="zh-CN"/>
                <w14:textFill>
                  <w14:solidFill>
                    <w14:schemeClr w14:val="tx1"/>
                  </w14:solidFill>
                </w14:textFill>
              </w:rPr>
              <w:t>HJ 1358—2024</w:t>
            </w:r>
            <w:r>
              <w:rPr>
                <w:rFonts w:hint="eastAsia" w:cs="宋体"/>
                <w:color w:val="000000" w:themeColor="text1"/>
                <w:kern w:val="0"/>
                <w:sz w:val="24"/>
                <w:highlight w:val="none"/>
                <w14:textFill>
                  <w14:solidFill>
                    <w14:schemeClr w14:val="tx1"/>
                  </w14:solidFill>
                </w14:textFill>
              </w:rPr>
              <w:t>）</w:t>
            </w:r>
            <w:r>
              <w:rPr>
                <w:rFonts w:hint="eastAsia" w:cs="宋体"/>
                <w:color w:val="000000" w:themeColor="text1"/>
                <w:kern w:val="0"/>
                <w:sz w:val="24"/>
                <w:highlight w:val="none"/>
                <w:lang w:eastAsia="zh-CN"/>
                <w14:textFill>
                  <w14:solidFill>
                    <w14:schemeClr w14:val="tx1"/>
                  </w14:solidFill>
                </w14:textFill>
              </w:rPr>
              <w:t>，</w:t>
            </w:r>
            <w:r>
              <w:rPr>
                <w:rFonts w:hint="eastAsia" w:cs="宋体"/>
                <w:color w:val="000000" w:themeColor="text1"/>
                <w:kern w:val="0"/>
                <w:sz w:val="24"/>
                <w:highlight w:val="none"/>
                <w:lang w:val="en-US" w:eastAsia="zh-CN"/>
                <w14:textFill>
                  <w14:solidFill>
                    <w14:schemeClr w14:val="tx1"/>
                  </w14:solidFill>
                </w14:textFill>
              </w:rPr>
              <w:t xml:space="preserve"> 施工道路周边无地表水体，不进行地表水等级判定及范围确定。</w:t>
            </w:r>
          </w:p>
          <w:p w14:paraId="6DB26870">
            <w:pPr>
              <w:numPr>
                <w:ilvl w:val="0"/>
                <w:numId w:val="5"/>
              </w:numPr>
              <w:adjustRightInd w:val="0"/>
              <w:snapToGrid w:val="0"/>
              <w:spacing w:line="360" w:lineRule="auto"/>
              <w:ind w:left="0" w:leftChars="0" w:firstLine="0" w:firstLineChars="0"/>
              <w:rPr>
                <w:rFonts w:hint="eastAsia" w:cs="宋体"/>
                <w:b/>
                <w:bCs/>
                <w:color w:val="000000" w:themeColor="text1"/>
                <w:kern w:val="0"/>
                <w:sz w:val="24"/>
                <w:highlight w:val="none"/>
                <w:lang w:val="en-US" w:eastAsia="zh-CN"/>
                <w14:textFill>
                  <w14:solidFill>
                    <w14:schemeClr w14:val="tx1"/>
                  </w14:solidFill>
                </w14:textFill>
              </w:rPr>
            </w:pPr>
            <w:r>
              <w:rPr>
                <w:rFonts w:hint="eastAsia" w:cs="宋体"/>
                <w:b/>
                <w:bCs/>
                <w:color w:val="000000" w:themeColor="text1"/>
                <w:kern w:val="0"/>
                <w:sz w:val="24"/>
                <w:highlight w:val="none"/>
                <w:lang w:val="en-US" w:eastAsia="zh-CN"/>
                <w14:textFill>
                  <w14:solidFill>
                    <w14:schemeClr w14:val="tx1"/>
                  </w14:solidFill>
                </w14:textFill>
              </w:rPr>
              <w:t>地下水环境</w:t>
            </w:r>
          </w:p>
          <w:p w14:paraId="0FC10169">
            <w:pPr>
              <w:numPr>
                <w:ilvl w:val="0"/>
                <w:numId w:val="0"/>
              </w:numPr>
              <w:adjustRightInd w:val="0"/>
              <w:snapToGrid w:val="0"/>
              <w:spacing w:line="360" w:lineRule="auto"/>
              <w:ind w:leftChars="0"/>
              <w:rPr>
                <w:rFonts w:hint="eastAsia" w:cs="宋体"/>
                <w:color w:val="000000" w:themeColor="text1"/>
                <w:kern w:val="0"/>
                <w:sz w:val="24"/>
                <w:highlight w:val="none"/>
                <w:lang w:val="en-US" w:eastAsia="zh-CN"/>
                <w14:textFill>
                  <w14:solidFill>
                    <w14:schemeClr w14:val="tx1"/>
                  </w14:solidFill>
                </w14:textFill>
              </w:rPr>
            </w:pPr>
            <w:r>
              <w:rPr>
                <w:rFonts w:hint="eastAsia" w:cs="宋体"/>
                <w:color w:val="000000" w:themeColor="text1"/>
                <w:kern w:val="0"/>
                <w:sz w:val="24"/>
                <w:highlight w:val="none"/>
                <w:lang w:val="en-US" w:eastAsia="zh-CN"/>
                <w14:textFill>
                  <w14:solidFill>
                    <w14:schemeClr w14:val="tx1"/>
                  </w14:solidFill>
                </w14:textFill>
              </w:rPr>
              <w:t xml:space="preserve">    道路不涉及加油站，根据</w:t>
            </w:r>
            <w:r>
              <w:rPr>
                <w:rFonts w:hint="eastAsia" w:cs="宋体"/>
                <w:color w:val="000000" w:themeColor="text1"/>
                <w:kern w:val="0"/>
                <w:sz w:val="24"/>
                <w:highlight w:val="none"/>
                <w14:textFill>
                  <w14:solidFill>
                    <w14:schemeClr w14:val="tx1"/>
                  </w14:solidFill>
                </w14:textFill>
              </w:rPr>
              <w:t xml:space="preserve">《环境影响评价技术导则 </w:t>
            </w:r>
            <w:r>
              <w:rPr>
                <w:rFonts w:hint="eastAsia" w:cs="宋体"/>
                <w:color w:val="000000" w:themeColor="text1"/>
                <w:kern w:val="0"/>
                <w:sz w:val="24"/>
                <w:highlight w:val="none"/>
                <w:lang w:val="en-US" w:eastAsia="zh-CN"/>
                <w14:textFill>
                  <w14:solidFill>
                    <w14:schemeClr w14:val="tx1"/>
                  </w14:solidFill>
                </w14:textFill>
              </w:rPr>
              <w:t>公路建设项目</w:t>
            </w:r>
            <w:r>
              <w:rPr>
                <w:rFonts w:hint="eastAsia" w:cs="宋体"/>
                <w:color w:val="000000" w:themeColor="text1"/>
                <w:kern w:val="0"/>
                <w:sz w:val="24"/>
                <w:highlight w:val="none"/>
                <w14:textFill>
                  <w14:solidFill>
                    <w14:schemeClr w14:val="tx1"/>
                  </w14:solidFill>
                </w14:textFill>
              </w:rPr>
              <w:t>》（</w:t>
            </w:r>
            <w:r>
              <w:rPr>
                <w:rFonts w:hint="eastAsia" w:cs="宋体"/>
                <w:color w:val="000000" w:themeColor="text1"/>
                <w:kern w:val="0"/>
                <w:sz w:val="24"/>
                <w:highlight w:val="none"/>
                <w:lang w:val="en-US" w:eastAsia="zh-CN"/>
                <w14:textFill>
                  <w14:solidFill>
                    <w14:schemeClr w14:val="tx1"/>
                  </w14:solidFill>
                </w14:textFill>
              </w:rPr>
              <w:t>HJ 1358—2024</w:t>
            </w:r>
            <w:r>
              <w:rPr>
                <w:rFonts w:hint="eastAsia" w:cs="宋体"/>
                <w:color w:val="000000" w:themeColor="text1"/>
                <w:kern w:val="0"/>
                <w:sz w:val="24"/>
                <w:highlight w:val="none"/>
                <w14:textFill>
                  <w14:solidFill>
                    <w14:schemeClr w14:val="tx1"/>
                  </w14:solidFill>
                </w14:textFill>
              </w:rPr>
              <w:t>）</w:t>
            </w:r>
            <w:r>
              <w:rPr>
                <w:rFonts w:hint="eastAsia" w:cs="宋体"/>
                <w:color w:val="000000" w:themeColor="text1"/>
                <w:kern w:val="0"/>
                <w:sz w:val="24"/>
                <w:highlight w:val="none"/>
                <w:lang w:eastAsia="zh-CN"/>
                <w14:textFill>
                  <w14:solidFill>
                    <w14:schemeClr w14:val="tx1"/>
                  </w14:solidFill>
                </w14:textFill>
              </w:rPr>
              <w:t>，</w:t>
            </w:r>
            <w:r>
              <w:rPr>
                <w:rFonts w:hint="eastAsia" w:cs="宋体"/>
                <w:color w:val="000000" w:themeColor="text1"/>
                <w:kern w:val="0"/>
                <w:sz w:val="24"/>
                <w:highlight w:val="none"/>
                <w:lang w:val="en-US" w:eastAsia="zh-CN"/>
                <w14:textFill>
                  <w14:solidFill>
                    <w14:schemeClr w14:val="tx1"/>
                  </w14:solidFill>
                </w14:textFill>
              </w:rPr>
              <w:t>不进行地下水等级判定及范围确定。</w:t>
            </w:r>
          </w:p>
          <w:p w14:paraId="7FDBC8CF">
            <w:pPr>
              <w:numPr>
                <w:ilvl w:val="0"/>
                <w:numId w:val="5"/>
              </w:numPr>
              <w:adjustRightInd w:val="0"/>
              <w:snapToGrid w:val="0"/>
              <w:spacing w:line="360" w:lineRule="auto"/>
              <w:ind w:left="0" w:leftChars="0" w:firstLine="0" w:firstLineChars="0"/>
              <w:rPr>
                <w:rFonts w:hint="eastAsia" w:cs="宋体"/>
                <w:b/>
                <w:bCs/>
                <w:color w:val="000000" w:themeColor="text1"/>
                <w:kern w:val="0"/>
                <w:sz w:val="24"/>
                <w:highlight w:val="none"/>
                <w:lang w:val="en-US" w:eastAsia="zh-CN"/>
                <w14:textFill>
                  <w14:solidFill>
                    <w14:schemeClr w14:val="tx1"/>
                  </w14:solidFill>
                </w14:textFill>
              </w:rPr>
            </w:pPr>
            <w:r>
              <w:rPr>
                <w:rFonts w:hint="eastAsia" w:cs="宋体"/>
                <w:b/>
                <w:bCs/>
                <w:color w:val="000000" w:themeColor="text1"/>
                <w:kern w:val="0"/>
                <w:sz w:val="24"/>
                <w:highlight w:val="none"/>
                <w:lang w:val="en-US" w:eastAsia="zh-CN"/>
                <w14:textFill>
                  <w14:solidFill>
                    <w14:schemeClr w14:val="tx1"/>
                  </w14:solidFill>
                </w14:textFill>
              </w:rPr>
              <w:t>土壤环境</w:t>
            </w:r>
          </w:p>
          <w:p w14:paraId="78A46CD6">
            <w:pPr>
              <w:numPr>
                <w:ilvl w:val="0"/>
                <w:numId w:val="0"/>
              </w:numPr>
              <w:adjustRightInd w:val="0"/>
              <w:snapToGrid w:val="0"/>
              <w:spacing w:line="360" w:lineRule="auto"/>
              <w:ind w:leftChars="0" w:firstLine="480" w:firstLineChars="200"/>
              <w:rPr>
                <w:rFonts w:hint="eastAsia" w:cs="宋体"/>
                <w:color w:val="000000" w:themeColor="text1"/>
                <w:kern w:val="0"/>
                <w:sz w:val="24"/>
                <w:highlight w:val="none"/>
                <w:lang w:val="en-US" w:eastAsia="zh-CN"/>
                <w14:textFill>
                  <w14:solidFill>
                    <w14:schemeClr w14:val="tx1"/>
                  </w14:solidFill>
                </w14:textFill>
              </w:rPr>
            </w:pPr>
            <w:r>
              <w:rPr>
                <w:rFonts w:hint="eastAsia" w:cs="宋体"/>
                <w:color w:val="000000" w:themeColor="text1"/>
                <w:kern w:val="0"/>
                <w:sz w:val="24"/>
                <w:highlight w:val="none"/>
                <w:lang w:val="en-US" w:eastAsia="zh-CN"/>
                <w14:textFill>
                  <w14:solidFill>
                    <w14:schemeClr w14:val="tx1"/>
                  </w14:solidFill>
                </w14:textFill>
              </w:rPr>
              <w:t>道路不涉及加油站，根据</w:t>
            </w:r>
            <w:r>
              <w:rPr>
                <w:rFonts w:hint="eastAsia" w:cs="宋体"/>
                <w:color w:val="000000" w:themeColor="text1"/>
                <w:kern w:val="0"/>
                <w:sz w:val="24"/>
                <w:highlight w:val="none"/>
                <w14:textFill>
                  <w14:solidFill>
                    <w14:schemeClr w14:val="tx1"/>
                  </w14:solidFill>
                </w14:textFill>
              </w:rPr>
              <w:t xml:space="preserve">《环境影响评价技术导则 </w:t>
            </w:r>
            <w:r>
              <w:rPr>
                <w:rFonts w:hint="eastAsia" w:cs="宋体"/>
                <w:color w:val="000000" w:themeColor="text1"/>
                <w:kern w:val="0"/>
                <w:sz w:val="24"/>
                <w:highlight w:val="none"/>
                <w:lang w:val="en-US" w:eastAsia="zh-CN"/>
                <w14:textFill>
                  <w14:solidFill>
                    <w14:schemeClr w14:val="tx1"/>
                  </w14:solidFill>
                </w14:textFill>
              </w:rPr>
              <w:t>公路建设项目</w:t>
            </w:r>
            <w:r>
              <w:rPr>
                <w:rFonts w:hint="eastAsia" w:cs="宋体"/>
                <w:color w:val="000000" w:themeColor="text1"/>
                <w:kern w:val="0"/>
                <w:sz w:val="24"/>
                <w:highlight w:val="none"/>
                <w14:textFill>
                  <w14:solidFill>
                    <w14:schemeClr w14:val="tx1"/>
                  </w14:solidFill>
                </w14:textFill>
              </w:rPr>
              <w:t>》（</w:t>
            </w:r>
            <w:r>
              <w:rPr>
                <w:rFonts w:hint="eastAsia" w:cs="宋体"/>
                <w:color w:val="000000" w:themeColor="text1"/>
                <w:kern w:val="0"/>
                <w:sz w:val="24"/>
                <w:highlight w:val="none"/>
                <w:lang w:val="en-US" w:eastAsia="zh-CN"/>
                <w14:textFill>
                  <w14:solidFill>
                    <w14:schemeClr w14:val="tx1"/>
                  </w14:solidFill>
                </w14:textFill>
              </w:rPr>
              <w:t>HJ 1358—2024</w:t>
            </w:r>
            <w:r>
              <w:rPr>
                <w:rFonts w:hint="eastAsia" w:cs="宋体"/>
                <w:color w:val="000000" w:themeColor="text1"/>
                <w:kern w:val="0"/>
                <w:sz w:val="24"/>
                <w:highlight w:val="none"/>
                <w14:textFill>
                  <w14:solidFill>
                    <w14:schemeClr w14:val="tx1"/>
                  </w14:solidFill>
                </w14:textFill>
              </w:rPr>
              <w:t>）</w:t>
            </w:r>
            <w:r>
              <w:rPr>
                <w:rFonts w:hint="eastAsia" w:cs="宋体"/>
                <w:color w:val="000000" w:themeColor="text1"/>
                <w:kern w:val="0"/>
                <w:sz w:val="24"/>
                <w:highlight w:val="none"/>
                <w:lang w:eastAsia="zh-CN"/>
                <w14:textFill>
                  <w14:solidFill>
                    <w14:schemeClr w14:val="tx1"/>
                  </w14:solidFill>
                </w14:textFill>
              </w:rPr>
              <w:t>，</w:t>
            </w:r>
            <w:r>
              <w:rPr>
                <w:rFonts w:hint="eastAsia" w:cs="宋体"/>
                <w:color w:val="000000" w:themeColor="text1"/>
                <w:kern w:val="0"/>
                <w:sz w:val="24"/>
                <w:highlight w:val="none"/>
                <w:lang w:val="en-US" w:eastAsia="zh-CN"/>
                <w14:textFill>
                  <w14:solidFill>
                    <w14:schemeClr w14:val="tx1"/>
                  </w14:solidFill>
                </w14:textFill>
              </w:rPr>
              <w:t>不进行土壤环境等级判定及范围确定。</w:t>
            </w:r>
          </w:p>
          <w:p w14:paraId="722EA2B6">
            <w:pPr>
              <w:numPr>
                <w:ilvl w:val="0"/>
                <w:numId w:val="5"/>
              </w:numPr>
              <w:adjustRightInd w:val="0"/>
              <w:snapToGrid w:val="0"/>
              <w:spacing w:line="360" w:lineRule="auto"/>
              <w:ind w:left="0" w:leftChars="0" w:firstLine="0" w:firstLineChars="0"/>
              <w:rPr>
                <w:rFonts w:hint="default" w:cs="宋体"/>
                <w:b/>
                <w:bCs/>
                <w:color w:val="000000" w:themeColor="text1"/>
                <w:kern w:val="0"/>
                <w:sz w:val="24"/>
                <w:highlight w:val="none"/>
                <w:lang w:val="en-US" w:eastAsia="zh-CN"/>
                <w14:textFill>
                  <w14:solidFill>
                    <w14:schemeClr w14:val="tx1"/>
                  </w14:solidFill>
                </w14:textFill>
              </w:rPr>
            </w:pPr>
            <w:r>
              <w:rPr>
                <w:rFonts w:hint="eastAsia" w:cs="宋体"/>
                <w:b/>
                <w:bCs/>
                <w:color w:val="000000" w:themeColor="text1"/>
                <w:kern w:val="0"/>
                <w:sz w:val="24"/>
                <w:highlight w:val="none"/>
                <w:lang w:val="en-US" w:eastAsia="zh-CN"/>
                <w14:textFill>
                  <w14:solidFill>
                    <w14:schemeClr w14:val="tx1"/>
                  </w14:solidFill>
                </w14:textFill>
              </w:rPr>
              <w:t>环境风险</w:t>
            </w:r>
          </w:p>
          <w:p w14:paraId="26C293D8">
            <w:pPr>
              <w:numPr>
                <w:ilvl w:val="0"/>
                <w:numId w:val="0"/>
              </w:numPr>
              <w:adjustRightInd w:val="0"/>
              <w:snapToGrid w:val="0"/>
              <w:spacing w:line="360" w:lineRule="auto"/>
              <w:ind w:leftChars="0" w:firstLine="240" w:firstLineChars="100"/>
              <w:rPr>
                <w:rFonts w:hint="default" w:cs="宋体"/>
                <w:color w:val="000000" w:themeColor="text1"/>
                <w:kern w:val="0"/>
                <w:sz w:val="24"/>
                <w:highlight w:val="none"/>
                <w:lang w:val="en-US" w:eastAsia="zh-CN"/>
                <w14:textFill>
                  <w14:solidFill>
                    <w14:schemeClr w14:val="tx1"/>
                  </w14:solidFill>
                </w14:textFill>
              </w:rPr>
            </w:pPr>
            <w:r>
              <w:rPr>
                <w:rFonts w:hint="eastAsia" w:cs="宋体"/>
                <w:color w:val="000000" w:themeColor="text1"/>
                <w:kern w:val="0"/>
                <w:sz w:val="24"/>
                <w:highlight w:val="none"/>
                <w:lang w:val="en-US" w:eastAsia="zh-CN"/>
                <w14:textFill>
                  <w14:solidFill>
                    <w14:schemeClr w14:val="tx1"/>
                  </w14:solidFill>
                </w14:textFill>
              </w:rPr>
              <w:t>根据</w:t>
            </w:r>
            <w:r>
              <w:rPr>
                <w:rFonts w:hint="eastAsia" w:cs="宋体"/>
                <w:color w:val="000000" w:themeColor="text1"/>
                <w:kern w:val="0"/>
                <w:sz w:val="24"/>
                <w:highlight w:val="none"/>
                <w14:textFill>
                  <w14:solidFill>
                    <w14:schemeClr w14:val="tx1"/>
                  </w14:solidFill>
                </w14:textFill>
              </w:rPr>
              <w:t xml:space="preserve">《环境影响评价技术导则 </w:t>
            </w:r>
            <w:r>
              <w:rPr>
                <w:rFonts w:hint="eastAsia" w:cs="宋体"/>
                <w:color w:val="000000" w:themeColor="text1"/>
                <w:kern w:val="0"/>
                <w:sz w:val="24"/>
                <w:highlight w:val="none"/>
                <w:lang w:val="en-US" w:eastAsia="zh-CN"/>
                <w14:textFill>
                  <w14:solidFill>
                    <w14:schemeClr w14:val="tx1"/>
                  </w14:solidFill>
                </w14:textFill>
              </w:rPr>
              <w:t>公路建设项目</w:t>
            </w:r>
            <w:r>
              <w:rPr>
                <w:rFonts w:hint="eastAsia" w:cs="宋体"/>
                <w:color w:val="000000" w:themeColor="text1"/>
                <w:kern w:val="0"/>
                <w:sz w:val="24"/>
                <w:highlight w:val="none"/>
                <w14:textFill>
                  <w14:solidFill>
                    <w14:schemeClr w14:val="tx1"/>
                  </w14:solidFill>
                </w14:textFill>
              </w:rPr>
              <w:t>》（</w:t>
            </w:r>
            <w:r>
              <w:rPr>
                <w:rFonts w:hint="eastAsia" w:cs="宋体"/>
                <w:color w:val="000000" w:themeColor="text1"/>
                <w:kern w:val="0"/>
                <w:sz w:val="24"/>
                <w:highlight w:val="none"/>
                <w:lang w:val="en-US" w:eastAsia="zh-CN"/>
                <w14:textFill>
                  <w14:solidFill>
                    <w14:schemeClr w14:val="tx1"/>
                  </w14:solidFill>
                </w14:textFill>
              </w:rPr>
              <w:t>HJ 1358—2024</w:t>
            </w:r>
            <w:r>
              <w:rPr>
                <w:rFonts w:hint="eastAsia" w:cs="宋体"/>
                <w:color w:val="000000" w:themeColor="text1"/>
                <w:kern w:val="0"/>
                <w:sz w:val="24"/>
                <w:highlight w:val="none"/>
                <w14:textFill>
                  <w14:solidFill>
                    <w14:schemeClr w14:val="tx1"/>
                  </w14:solidFill>
                </w14:textFill>
              </w:rPr>
              <w:t>）</w:t>
            </w:r>
            <w:r>
              <w:rPr>
                <w:rFonts w:hint="eastAsia" w:cs="宋体"/>
                <w:color w:val="000000" w:themeColor="text1"/>
                <w:kern w:val="0"/>
                <w:sz w:val="24"/>
                <w:highlight w:val="none"/>
                <w:lang w:eastAsia="zh-CN"/>
                <w14:textFill>
                  <w14:solidFill>
                    <w14:schemeClr w14:val="tx1"/>
                  </w14:solidFill>
                </w14:textFill>
              </w:rPr>
              <w:t>，</w:t>
            </w:r>
            <w:r>
              <w:rPr>
                <w:rFonts w:hint="eastAsia" w:cs="宋体"/>
                <w:color w:val="000000" w:themeColor="text1"/>
                <w:kern w:val="0"/>
                <w:sz w:val="24"/>
                <w:highlight w:val="none"/>
                <w:lang w:val="en-US" w:eastAsia="zh-CN"/>
                <w14:textFill>
                  <w14:solidFill>
                    <w14:schemeClr w14:val="tx1"/>
                  </w14:solidFill>
                </w14:textFill>
              </w:rPr>
              <w:t>不进行环境风险等级判定及范围确定。</w:t>
            </w:r>
          </w:p>
          <w:p w14:paraId="1ED841FB">
            <w:pPr>
              <w:adjustRightInd w:val="0"/>
              <w:snapToGrid w:val="0"/>
              <w:spacing w:line="360" w:lineRule="auto"/>
              <w:rPr>
                <w:rFonts w:cs="宋体"/>
                <w:b/>
                <w:bCs/>
                <w:color w:val="000000" w:themeColor="text1"/>
                <w:kern w:val="0"/>
                <w:sz w:val="24"/>
                <w:highlight w:val="none"/>
                <w14:textFill>
                  <w14:solidFill>
                    <w14:schemeClr w14:val="tx1"/>
                  </w14:solidFill>
                </w14:textFill>
              </w:rPr>
            </w:pPr>
            <w:r>
              <w:rPr>
                <w:rFonts w:hint="eastAsia" w:cs="宋体"/>
                <w:b/>
                <w:bCs/>
                <w:color w:val="000000" w:themeColor="text1"/>
                <w:kern w:val="0"/>
                <w:sz w:val="24"/>
                <w:highlight w:val="none"/>
                <w14:textFill>
                  <w14:solidFill>
                    <w14:schemeClr w14:val="tx1"/>
                  </w14:solidFill>
                </w14:textFill>
              </w:rPr>
              <w:t>二、环境保护目标</w:t>
            </w:r>
          </w:p>
          <w:p w14:paraId="16988C61">
            <w:pPr>
              <w:pStyle w:val="55"/>
              <w:spacing w:line="360" w:lineRule="auto"/>
              <w:ind w:firstLine="48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根据现场勘查及本项目的排污特点和周围环境特征，确定了本次评</w:t>
            </w:r>
            <w:r>
              <w:rPr>
                <w:rFonts w:hint="default" w:ascii="Times New Roman" w:hAnsi="Times New Roman" w:eastAsia="宋体" w:cs="Times New Roman"/>
                <w:color w:val="000000" w:themeColor="text1"/>
                <w:spacing w:val="-1"/>
                <w:highlight w:val="none"/>
                <w:lang w:eastAsia="zh-CN"/>
                <w14:textFill>
                  <w14:solidFill>
                    <w14:schemeClr w14:val="tx1"/>
                  </w14:solidFill>
                </w14:textFill>
              </w:rPr>
              <w:t>价主要环境保护目标，该区域为环境空气二级功能区，声环境1类功能区</w:t>
            </w:r>
            <w:r>
              <w:rPr>
                <w:rFonts w:hint="default" w:ascii="Times New Roman" w:hAnsi="Times New Roman" w:eastAsia="宋体" w:cs="Times New Roman"/>
                <w:color w:val="000000" w:themeColor="text1"/>
                <w:spacing w:val="-6"/>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highlight w:val="none"/>
                <w:lang w:eastAsia="zh-CN"/>
                <w14:textFill>
                  <w14:solidFill>
                    <w14:schemeClr w14:val="tx1"/>
                  </w14:solidFill>
                </w14:textFill>
              </w:rPr>
              <w:t>项目周围主要环境保护目标和保护级别见表3-</w:t>
            </w:r>
            <w:r>
              <w:rPr>
                <w:rFonts w:hint="eastAsia" w:ascii="Times New Roman" w:hAnsi="Times New Roman" w:cs="Times New Roman"/>
                <w:color w:val="000000" w:themeColor="text1"/>
                <w:spacing w:val="-1"/>
                <w:highlight w:val="none"/>
                <w:lang w:val="en-US" w:eastAsia="zh-CN"/>
                <w14:textFill>
                  <w14:solidFill>
                    <w14:schemeClr w14:val="tx1"/>
                  </w14:solidFill>
                </w14:textFill>
              </w:rPr>
              <w:t>2和表3-3</w:t>
            </w:r>
            <w:r>
              <w:rPr>
                <w:rFonts w:hint="default" w:ascii="Times New Roman" w:hAnsi="Times New Roman" w:eastAsia="宋体" w:cs="Times New Roman"/>
                <w:color w:val="000000" w:themeColor="text1"/>
                <w:spacing w:val="-1"/>
                <w:highlight w:val="none"/>
                <w:lang w:eastAsia="zh-CN"/>
                <w14:textFill>
                  <w14:solidFill>
                    <w14:schemeClr w14:val="tx1"/>
                  </w14:solidFill>
                </w14:textFill>
              </w:rPr>
              <w:t>。</w:t>
            </w:r>
          </w:p>
          <w:p w14:paraId="4FB0BEFA">
            <w:pPr>
              <w:adjustRightInd w:val="0"/>
              <w:snapToGrid w:val="0"/>
              <w:jc w:val="center"/>
              <w:rPr>
                <w:rFonts w:hint="default" w:ascii="Times New Roman" w:hAnsi="Times New Roman" w:eastAsia="宋体" w:cs="Times New Roman"/>
                <w:b/>
                <w:bCs/>
                <w:color w:val="000000" w:themeColor="text1"/>
                <w:spacing w:val="-2"/>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2"/>
                <w:szCs w:val="21"/>
                <w:highlight w:val="none"/>
                <w14:textFill>
                  <w14:solidFill>
                    <w14:schemeClr w14:val="tx1"/>
                  </w14:solidFill>
                </w14:textFill>
              </w:rPr>
              <w:t>表3-</w:t>
            </w:r>
            <w:r>
              <w:rPr>
                <w:rFonts w:hint="eastAsia" w:cs="Times New Roman"/>
                <w:b/>
                <w:bCs/>
                <w:color w:val="000000" w:themeColor="text1"/>
                <w:spacing w:val="-2"/>
                <w:szCs w:val="21"/>
                <w:highlight w:val="none"/>
                <w:lang w:val="en-US" w:eastAsia="zh-CN"/>
                <w14:textFill>
                  <w14:solidFill>
                    <w14:schemeClr w14:val="tx1"/>
                  </w14:solidFill>
                </w14:textFill>
              </w:rPr>
              <w:t>2生态</w:t>
            </w:r>
            <w:r>
              <w:rPr>
                <w:rFonts w:hint="default" w:ascii="Times New Roman" w:hAnsi="Times New Roman" w:eastAsia="宋体" w:cs="Times New Roman"/>
                <w:b/>
                <w:bCs/>
                <w:color w:val="000000" w:themeColor="text1"/>
                <w:spacing w:val="-2"/>
                <w:szCs w:val="21"/>
                <w:highlight w:val="none"/>
                <w14:textFill>
                  <w14:solidFill>
                    <w14:schemeClr w14:val="tx1"/>
                  </w14:solidFill>
                </w14:textFill>
              </w:rPr>
              <w:t>环境保护目标一览表</w:t>
            </w:r>
          </w:p>
          <w:tbl>
            <w:tblPr>
              <w:tblStyle w:val="30"/>
              <w:tblW w:w="5000" w:type="pct"/>
              <w:tblInd w:w="0"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968"/>
              <w:gridCol w:w="4596"/>
              <w:gridCol w:w="1949"/>
            </w:tblGrid>
            <w:tr w14:paraId="15F4885E">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789" w:hRule="atLeast"/>
              </w:trPr>
              <w:tc>
                <w:tcPr>
                  <w:tcW w:w="644" w:type="pct"/>
                  <w:vAlign w:val="center"/>
                </w:tcPr>
                <w:p w14:paraId="23CB5581">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14:textFill>
                        <w14:solidFill>
                          <w14:schemeClr w14:val="tx1"/>
                        </w14:solidFill>
                      </w14:textFill>
                    </w:rPr>
                    <w:t>环境要素</w:t>
                  </w:r>
                </w:p>
              </w:tc>
              <w:tc>
                <w:tcPr>
                  <w:tcW w:w="3058" w:type="pct"/>
                  <w:vAlign w:val="center"/>
                </w:tcPr>
                <w:p w14:paraId="4500047C">
                  <w:pPr>
                    <w:pStyle w:val="55"/>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6"/>
                      <w:sz w:val="21"/>
                      <w:szCs w:val="21"/>
                      <w:highlight w:val="none"/>
                      <w:lang w:val="en-US" w:eastAsia="zh-CN"/>
                      <w14:textFill>
                        <w14:solidFill>
                          <w14:schemeClr w14:val="tx1"/>
                        </w14:solidFill>
                      </w14:textFill>
                    </w:rPr>
                    <w:t>生态保护目标名称</w:t>
                  </w:r>
                </w:p>
              </w:tc>
              <w:tc>
                <w:tcPr>
                  <w:tcW w:w="1297" w:type="pct"/>
                  <w:vAlign w:val="center"/>
                </w:tcPr>
                <w:p w14:paraId="51B8E759">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7"/>
                      <w:sz w:val="21"/>
                      <w:szCs w:val="21"/>
                      <w:highlight w:val="none"/>
                      <w14:textFill>
                        <w14:solidFill>
                          <w14:schemeClr w14:val="tx1"/>
                        </w14:solidFill>
                      </w14:textFill>
                    </w:rPr>
                    <w:t>保护级别</w:t>
                  </w:r>
                </w:p>
              </w:tc>
            </w:tr>
            <w:tr w14:paraId="5B9B05A1">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644" w:type="pct"/>
                  <w:vAlign w:val="center"/>
                </w:tcPr>
                <w:p w14:paraId="4179AB30">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生态</w:t>
                  </w: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环境</w:t>
                  </w:r>
                </w:p>
              </w:tc>
              <w:tc>
                <w:tcPr>
                  <w:tcW w:w="3058" w:type="pct"/>
                  <w:vAlign w:val="center"/>
                </w:tcPr>
                <w:p w14:paraId="679B2F49">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西乌珠穆沁旗-水源养生态功能重要区</w:t>
                  </w:r>
                </w:p>
              </w:tc>
              <w:tc>
                <w:tcPr>
                  <w:tcW w:w="1297" w:type="pct"/>
                  <w:vAlign w:val="center"/>
                </w:tcPr>
                <w:p w14:paraId="28A38AE2">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lang w:eastAsia="zh-CN"/>
                      <w14:textFill>
                        <w14:solidFill>
                          <w14:schemeClr w14:val="tx1"/>
                        </w14:solidFill>
                      </w14:textFill>
                    </w:rPr>
                    <w:t>项目区的整体生态功能不改变。</w:t>
                  </w:r>
                </w:p>
              </w:tc>
            </w:tr>
          </w:tbl>
          <w:p w14:paraId="330BEAB3">
            <w:pPr>
              <w:adjustRightInd w:val="0"/>
              <w:snapToGrid w:val="0"/>
              <w:jc w:val="center"/>
              <w:rPr>
                <w:rFonts w:hint="eastAsia" w:ascii="Times New Roman" w:hAnsi="Times New Roman" w:eastAsia="宋体" w:cs="Times New Roman"/>
                <w:b/>
                <w:bCs/>
                <w:color w:val="000000" w:themeColor="text1"/>
                <w:spacing w:val="-2"/>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Cs w:val="21"/>
                <w:highlight w:val="none"/>
                <w:lang w:val="en-US" w:eastAsia="zh-CN"/>
                <w14:textFill>
                  <w14:solidFill>
                    <w14:schemeClr w14:val="tx1"/>
                  </w14:solidFill>
                </w14:textFill>
              </w:rPr>
              <w:t>表3-3 声环境保护目标</w:t>
            </w:r>
          </w:p>
          <w:tbl>
            <w:tblPr>
              <w:tblStyle w:val="30"/>
              <w:tblW w:w="0" w:type="auto"/>
              <w:tblInd w:w="0"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508"/>
              <w:gridCol w:w="731"/>
              <w:gridCol w:w="398"/>
              <w:gridCol w:w="287"/>
              <w:gridCol w:w="658"/>
              <w:gridCol w:w="813"/>
              <w:gridCol w:w="865"/>
              <w:gridCol w:w="892"/>
              <w:gridCol w:w="2361"/>
            </w:tblGrid>
            <w:tr w14:paraId="58F341F0">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89" w:hRule="atLeast"/>
              </w:trPr>
              <w:tc>
                <w:tcPr>
                  <w:tcW w:w="0" w:type="auto"/>
                  <w:vAlign w:val="center"/>
                </w:tcPr>
                <w:p w14:paraId="4CF0FEFA">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 w:val="21"/>
                      <w:szCs w:val="21"/>
                      <w:highlight w:val="none"/>
                      <w14:textFill>
                        <w14:solidFill>
                          <w14:schemeClr w14:val="tx1"/>
                        </w14:solidFill>
                      </w14:textFill>
                    </w:rPr>
                    <w:t>环境保护目标</w:t>
                  </w:r>
                </w:p>
              </w:tc>
              <w:tc>
                <w:tcPr>
                  <w:tcW w:w="731" w:type="dxa"/>
                  <w:vAlign w:val="center"/>
                </w:tcPr>
                <w:p w14:paraId="06B0060F">
                  <w:pPr>
                    <w:pStyle w:val="55"/>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6"/>
                      <w:sz w:val="21"/>
                      <w:szCs w:val="21"/>
                      <w:highlight w:val="none"/>
                      <w:lang w:val="en-US" w:eastAsia="zh-CN"/>
                      <w14:textFill>
                        <w14:solidFill>
                          <w14:schemeClr w14:val="tx1"/>
                        </w14:solidFill>
                      </w14:textFill>
                    </w:rPr>
                    <w:t>所在路段</w:t>
                  </w:r>
                </w:p>
              </w:tc>
              <w:tc>
                <w:tcPr>
                  <w:tcW w:w="398" w:type="dxa"/>
                  <w:vAlign w:val="center"/>
                </w:tcPr>
                <w:p w14:paraId="3DDE7138">
                  <w:pPr>
                    <w:pStyle w:val="55"/>
                    <w:jc w:val="center"/>
                    <w:rPr>
                      <w:rFonts w:hint="default" w:ascii="Times New Roman" w:hAnsi="Times New Roman" w:eastAsia="宋体" w:cs="Times New Roman"/>
                      <w:b/>
                      <w:bCs/>
                      <w:color w:val="000000" w:themeColor="text1"/>
                      <w:spacing w:val="3"/>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3"/>
                      <w:sz w:val="21"/>
                      <w:szCs w:val="21"/>
                      <w:highlight w:val="none"/>
                      <w:lang w:val="en-US" w:eastAsia="zh-CN"/>
                      <w14:textFill>
                        <w14:solidFill>
                          <w14:schemeClr w14:val="tx1"/>
                        </w14:solidFill>
                      </w14:textFill>
                    </w:rPr>
                    <w:t>线路形式</w:t>
                  </w:r>
                </w:p>
              </w:tc>
              <w:tc>
                <w:tcPr>
                  <w:tcW w:w="0" w:type="auto"/>
                  <w:vAlign w:val="center"/>
                </w:tcPr>
                <w:p w14:paraId="124A275D">
                  <w:pPr>
                    <w:pStyle w:val="55"/>
                    <w:jc w:val="center"/>
                    <w:rPr>
                      <w:rFonts w:hint="eastAsia" w:ascii="Times New Roman" w:hAnsi="Times New Roman" w:eastAsia="宋体" w:cs="Times New Roman"/>
                      <w:b/>
                      <w:bCs/>
                      <w:color w:val="000000" w:themeColor="text1"/>
                      <w:spacing w:val="3"/>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3"/>
                      <w:sz w:val="21"/>
                      <w:szCs w:val="21"/>
                      <w:highlight w:val="none"/>
                      <w:lang w:val="en-US" w:eastAsia="zh-CN"/>
                      <w14:textFill>
                        <w14:solidFill>
                          <w14:schemeClr w14:val="tx1"/>
                        </w14:solidFill>
                      </w14:textFill>
                    </w:rPr>
                    <w:t>方位</w:t>
                  </w:r>
                </w:p>
              </w:tc>
              <w:tc>
                <w:tcPr>
                  <w:tcW w:w="0" w:type="auto"/>
                  <w:vAlign w:val="center"/>
                </w:tcPr>
                <w:p w14:paraId="6CEC4CF1">
                  <w:pPr>
                    <w:pStyle w:val="55"/>
                    <w:jc w:val="center"/>
                    <w:rPr>
                      <w:rFonts w:hint="default" w:ascii="Times New Roman" w:hAnsi="Times New Roman" w:eastAsia="宋体" w:cs="Times New Roman"/>
                      <w:b/>
                      <w:bCs/>
                      <w:color w:val="000000" w:themeColor="text1"/>
                      <w:spacing w:val="3"/>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3"/>
                      <w:sz w:val="21"/>
                      <w:szCs w:val="21"/>
                      <w:highlight w:val="none"/>
                      <w:lang w:val="en-US" w:eastAsia="zh-CN"/>
                      <w14:textFill>
                        <w14:solidFill>
                          <w14:schemeClr w14:val="tx1"/>
                        </w14:solidFill>
                      </w14:textFill>
                    </w:rPr>
                    <w:t>距离道路红线距离m</w:t>
                  </w:r>
                </w:p>
              </w:tc>
              <w:tc>
                <w:tcPr>
                  <w:tcW w:w="0" w:type="auto"/>
                  <w:vAlign w:val="center"/>
                </w:tcPr>
                <w:p w14:paraId="240B7DD7">
                  <w:pPr>
                    <w:pStyle w:val="55"/>
                    <w:jc w:val="center"/>
                    <w:rPr>
                      <w:rFonts w:hint="default" w:ascii="Times New Roman" w:hAnsi="Times New Roman" w:eastAsia="宋体" w:cs="Times New Roman"/>
                      <w:b/>
                      <w:bCs/>
                      <w:color w:val="000000" w:themeColor="text1"/>
                      <w:spacing w:val="3"/>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3"/>
                      <w:sz w:val="21"/>
                      <w:szCs w:val="21"/>
                      <w:highlight w:val="none"/>
                      <w:lang w:val="en-US" w:eastAsia="zh-CN"/>
                      <w14:textFill>
                        <w14:solidFill>
                          <w14:schemeClr w14:val="tx1"/>
                        </w14:solidFill>
                      </w14:textFill>
                    </w:rPr>
                    <w:t>距离道路中心线距离m</w:t>
                  </w:r>
                </w:p>
              </w:tc>
              <w:tc>
                <w:tcPr>
                  <w:tcW w:w="0" w:type="auto"/>
                  <w:vAlign w:val="center"/>
                </w:tcPr>
                <w:p w14:paraId="23DE7BF3">
                  <w:pPr>
                    <w:pStyle w:val="55"/>
                    <w:jc w:val="center"/>
                    <w:rPr>
                      <w:rFonts w:hint="default" w:ascii="Times New Roman" w:hAnsi="Times New Roman" w:eastAsia="宋体" w:cs="Times New Roman"/>
                      <w:b/>
                      <w:bCs/>
                      <w:color w:val="000000" w:themeColor="text1"/>
                      <w:spacing w:val="3"/>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3"/>
                      <w:sz w:val="21"/>
                      <w:szCs w:val="21"/>
                      <w:highlight w:val="none"/>
                      <w:lang w:val="en-US" w:eastAsia="zh-CN"/>
                      <w14:textFill>
                        <w14:solidFill>
                          <w14:schemeClr w14:val="tx1"/>
                        </w14:solidFill>
                      </w14:textFill>
                    </w:rPr>
                    <w:t>不同功能区户数（居住）</w:t>
                  </w:r>
                </w:p>
              </w:tc>
              <w:tc>
                <w:tcPr>
                  <w:tcW w:w="0" w:type="auto"/>
                  <w:vAlign w:val="center"/>
                </w:tcPr>
                <w:p w14:paraId="28595F75">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pacing w:val="3"/>
                      <w:sz w:val="21"/>
                      <w:szCs w:val="21"/>
                      <w:highlight w:val="none"/>
                      <w:lang w:val="en-US" w:eastAsia="zh-CN"/>
                      <w14:textFill>
                        <w14:solidFill>
                          <w14:schemeClr w14:val="tx1"/>
                        </w14:solidFill>
                      </w14:textFill>
                    </w:rPr>
                    <w:t>保护目标情况说明</w:t>
                  </w:r>
                </w:p>
              </w:tc>
              <w:tc>
                <w:tcPr>
                  <w:tcW w:w="0" w:type="auto"/>
                  <w:vAlign w:val="center"/>
                </w:tcPr>
                <w:p w14:paraId="1E687D40">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7"/>
                      <w:sz w:val="21"/>
                      <w:szCs w:val="21"/>
                      <w:highlight w:val="none"/>
                      <w14:textFill>
                        <w14:solidFill>
                          <w14:schemeClr w14:val="tx1"/>
                        </w14:solidFill>
                      </w14:textFill>
                    </w:rPr>
                    <w:t>保护级别</w:t>
                  </w:r>
                </w:p>
              </w:tc>
            </w:tr>
            <w:tr w14:paraId="45398A69">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8" w:hRule="atLeast"/>
              </w:trPr>
              <w:tc>
                <w:tcPr>
                  <w:tcW w:w="0" w:type="auto"/>
                  <w:vAlign w:val="center"/>
                </w:tcPr>
                <w:p w14:paraId="5B8BAEC5">
                  <w:pPr>
                    <w:pStyle w:val="67"/>
                    <w:adjustRightInd w:val="0"/>
                    <w:snapToGrid w:val="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牧户1</w:t>
                  </w:r>
                </w:p>
              </w:tc>
              <w:tc>
                <w:tcPr>
                  <w:tcW w:w="731" w:type="dxa"/>
                  <w:vAlign w:val="center"/>
                </w:tcPr>
                <w:p w14:paraId="6C0FDECA">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K</w:t>
                  </w:r>
                  <w:r>
                    <w:rPr>
                      <w:rFonts w:hint="eastAsia"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00</w:t>
                  </w:r>
                </w:p>
              </w:tc>
              <w:tc>
                <w:tcPr>
                  <w:tcW w:w="398" w:type="dxa"/>
                  <w:vMerge w:val="restart"/>
                  <w:vAlign w:val="center"/>
                </w:tcPr>
                <w:p w14:paraId="0A033627">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10"/>
                      <w:sz w:val="21"/>
                      <w:szCs w:val="21"/>
                      <w:highlight w:val="none"/>
                      <w:lang w:val="en-US" w:eastAsia="zh-CN"/>
                      <w14:textFill>
                        <w14:solidFill>
                          <w14:schemeClr w14:val="tx1"/>
                        </w14:solidFill>
                      </w14:textFill>
                    </w:rPr>
                    <w:t>双向单车道</w:t>
                  </w:r>
                </w:p>
              </w:tc>
              <w:tc>
                <w:tcPr>
                  <w:tcW w:w="0" w:type="auto"/>
                  <w:vAlign w:val="center"/>
                </w:tcPr>
                <w:p w14:paraId="700C2120">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路北</w:t>
                  </w:r>
                </w:p>
              </w:tc>
              <w:tc>
                <w:tcPr>
                  <w:tcW w:w="0" w:type="auto"/>
                  <w:vAlign w:val="center"/>
                </w:tcPr>
                <w:p w14:paraId="21BFFE26">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62</w:t>
                  </w:r>
                </w:p>
              </w:tc>
              <w:tc>
                <w:tcPr>
                  <w:tcW w:w="0" w:type="auto"/>
                  <w:vAlign w:val="center"/>
                </w:tcPr>
                <w:p w14:paraId="0AABFBD2">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84.5</w:t>
                  </w:r>
                </w:p>
              </w:tc>
              <w:tc>
                <w:tcPr>
                  <w:tcW w:w="0" w:type="auto"/>
                  <w:vAlign w:val="center"/>
                </w:tcPr>
                <w:p w14:paraId="373B436C">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w:t>
                  </w:r>
                </w:p>
              </w:tc>
              <w:tc>
                <w:tcPr>
                  <w:tcW w:w="0" w:type="auto"/>
                  <w:vMerge w:val="restart"/>
                  <w:vAlign w:val="center"/>
                </w:tcPr>
                <w:p w14:paraId="32079737">
                  <w:pPr>
                    <w:pStyle w:val="55"/>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砖混结构，一层，朝南</w:t>
                  </w:r>
                </w:p>
              </w:tc>
              <w:tc>
                <w:tcPr>
                  <w:tcW w:w="2361" w:type="dxa"/>
                  <w:vMerge w:val="restart"/>
                  <w:vAlign w:val="center"/>
                </w:tcPr>
                <w:p w14:paraId="4BA4FA32">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《声环境质量标准》（GB3096-2008）中1类标准</w:t>
                  </w:r>
                </w:p>
              </w:tc>
            </w:tr>
            <w:tr w14:paraId="5EFB2440">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8" w:hRule="atLeast"/>
              </w:trPr>
              <w:tc>
                <w:tcPr>
                  <w:tcW w:w="0" w:type="auto"/>
                  <w:vAlign w:val="center"/>
                </w:tcPr>
                <w:p w14:paraId="3E634478">
                  <w:pPr>
                    <w:pStyle w:val="67"/>
                    <w:adjustRightInd w:val="0"/>
                    <w:snapToGrid w:val="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牧户2</w:t>
                  </w:r>
                </w:p>
              </w:tc>
              <w:tc>
                <w:tcPr>
                  <w:tcW w:w="731" w:type="dxa"/>
                  <w:vAlign w:val="center"/>
                </w:tcPr>
                <w:p w14:paraId="674E6A71">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K</w:t>
                  </w:r>
                  <w:r>
                    <w:rPr>
                      <w:rFonts w:hint="eastAsia"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00</w:t>
                  </w:r>
                </w:p>
              </w:tc>
              <w:tc>
                <w:tcPr>
                  <w:tcW w:w="398" w:type="dxa"/>
                  <w:vMerge w:val="continue"/>
                  <w:vAlign w:val="center"/>
                </w:tcPr>
                <w:p w14:paraId="1A959190">
                  <w:pPr>
                    <w:pStyle w:val="55"/>
                    <w:jc w:val="cente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p>
              </w:tc>
              <w:tc>
                <w:tcPr>
                  <w:tcW w:w="0" w:type="auto"/>
                  <w:vAlign w:val="center"/>
                </w:tcPr>
                <w:p w14:paraId="416AAF5D">
                  <w:pPr>
                    <w:pStyle w:val="55"/>
                    <w:jc w:val="cente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路北</w:t>
                  </w:r>
                </w:p>
              </w:tc>
              <w:tc>
                <w:tcPr>
                  <w:tcW w:w="0" w:type="auto"/>
                  <w:vAlign w:val="center"/>
                </w:tcPr>
                <w:p w14:paraId="4900A264">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30</w:t>
                  </w:r>
                </w:p>
              </w:tc>
              <w:tc>
                <w:tcPr>
                  <w:tcW w:w="0" w:type="auto"/>
                  <w:vAlign w:val="center"/>
                </w:tcPr>
                <w:p w14:paraId="686B459C">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52.5</w:t>
                  </w:r>
                </w:p>
              </w:tc>
              <w:tc>
                <w:tcPr>
                  <w:tcW w:w="0" w:type="auto"/>
                  <w:vAlign w:val="center"/>
                </w:tcPr>
                <w:p w14:paraId="0CA13259">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w:t>
                  </w:r>
                </w:p>
              </w:tc>
              <w:tc>
                <w:tcPr>
                  <w:tcW w:w="0" w:type="auto"/>
                  <w:vMerge w:val="continue"/>
                  <w:vAlign w:val="center"/>
                </w:tcPr>
                <w:p w14:paraId="72616DED">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361" w:type="dxa"/>
                  <w:vMerge w:val="continue"/>
                  <w:vAlign w:val="center"/>
                </w:tcPr>
                <w:p w14:paraId="3A5B1CF1">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6D8DC087">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8" w:hRule="atLeast"/>
              </w:trPr>
              <w:tc>
                <w:tcPr>
                  <w:tcW w:w="0" w:type="auto"/>
                  <w:vAlign w:val="center"/>
                </w:tcPr>
                <w:p w14:paraId="419B0F9E">
                  <w:pPr>
                    <w:pStyle w:val="67"/>
                    <w:adjustRightInd w:val="0"/>
                    <w:snapToGrid w:val="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牧户3</w:t>
                  </w:r>
                </w:p>
              </w:tc>
              <w:tc>
                <w:tcPr>
                  <w:tcW w:w="731" w:type="dxa"/>
                  <w:vAlign w:val="center"/>
                </w:tcPr>
                <w:p w14:paraId="6218AE57">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K</w:t>
                  </w:r>
                  <w:r>
                    <w:rPr>
                      <w:rFonts w:hint="eastAsia"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00</w:t>
                  </w:r>
                </w:p>
              </w:tc>
              <w:tc>
                <w:tcPr>
                  <w:tcW w:w="398" w:type="dxa"/>
                  <w:vMerge w:val="continue"/>
                  <w:vAlign w:val="center"/>
                </w:tcPr>
                <w:p w14:paraId="70E3A7EB">
                  <w:pPr>
                    <w:pStyle w:val="55"/>
                    <w:jc w:val="cente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p>
              </w:tc>
              <w:tc>
                <w:tcPr>
                  <w:tcW w:w="0" w:type="auto"/>
                  <w:vAlign w:val="center"/>
                </w:tcPr>
                <w:p w14:paraId="6FBE3128">
                  <w:pPr>
                    <w:pStyle w:val="55"/>
                    <w:jc w:val="cente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路北</w:t>
                  </w:r>
                </w:p>
              </w:tc>
              <w:tc>
                <w:tcPr>
                  <w:tcW w:w="0" w:type="auto"/>
                  <w:vAlign w:val="center"/>
                </w:tcPr>
                <w:p w14:paraId="60F4C20E">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35</w:t>
                  </w:r>
                </w:p>
              </w:tc>
              <w:tc>
                <w:tcPr>
                  <w:tcW w:w="0" w:type="auto"/>
                  <w:vAlign w:val="center"/>
                </w:tcPr>
                <w:p w14:paraId="0AD0C63A">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57.5</w:t>
                  </w:r>
                </w:p>
              </w:tc>
              <w:tc>
                <w:tcPr>
                  <w:tcW w:w="0" w:type="auto"/>
                  <w:vAlign w:val="center"/>
                </w:tcPr>
                <w:p w14:paraId="71E62E25">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w:t>
                  </w:r>
                </w:p>
              </w:tc>
              <w:tc>
                <w:tcPr>
                  <w:tcW w:w="0" w:type="auto"/>
                  <w:vMerge w:val="continue"/>
                  <w:vAlign w:val="center"/>
                </w:tcPr>
                <w:p w14:paraId="7AA62ADF">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361" w:type="dxa"/>
                  <w:vMerge w:val="continue"/>
                  <w:vAlign w:val="center"/>
                </w:tcPr>
                <w:p w14:paraId="27146891">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3465FD16">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8" w:hRule="atLeast"/>
              </w:trPr>
              <w:tc>
                <w:tcPr>
                  <w:tcW w:w="0" w:type="auto"/>
                  <w:vAlign w:val="center"/>
                </w:tcPr>
                <w:p w14:paraId="47349C10">
                  <w:pPr>
                    <w:pStyle w:val="67"/>
                    <w:adjustRightInd w:val="0"/>
                    <w:snapToGrid w:val="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牧户4</w:t>
                  </w:r>
                </w:p>
              </w:tc>
              <w:tc>
                <w:tcPr>
                  <w:tcW w:w="731" w:type="dxa"/>
                  <w:vAlign w:val="center"/>
                </w:tcPr>
                <w:p w14:paraId="7B5EEEFA">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K</w:t>
                  </w:r>
                  <w:r>
                    <w:rPr>
                      <w:rFonts w:hint="eastAsia"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00</w:t>
                  </w:r>
                </w:p>
              </w:tc>
              <w:tc>
                <w:tcPr>
                  <w:tcW w:w="398" w:type="dxa"/>
                  <w:vMerge w:val="continue"/>
                  <w:vAlign w:val="center"/>
                </w:tcPr>
                <w:p w14:paraId="76417257">
                  <w:pPr>
                    <w:pStyle w:val="55"/>
                    <w:jc w:val="cente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p>
              </w:tc>
              <w:tc>
                <w:tcPr>
                  <w:tcW w:w="0" w:type="auto"/>
                  <w:vAlign w:val="center"/>
                </w:tcPr>
                <w:p w14:paraId="10A99103">
                  <w:pPr>
                    <w:pStyle w:val="55"/>
                    <w:jc w:val="cente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路北</w:t>
                  </w:r>
                </w:p>
              </w:tc>
              <w:tc>
                <w:tcPr>
                  <w:tcW w:w="0" w:type="auto"/>
                  <w:vAlign w:val="center"/>
                </w:tcPr>
                <w:p w14:paraId="652F784C">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90</w:t>
                  </w:r>
                </w:p>
              </w:tc>
              <w:tc>
                <w:tcPr>
                  <w:tcW w:w="0" w:type="auto"/>
                  <w:vAlign w:val="center"/>
                </w:tcPr>
                <w:p w14:paraId="0CAAB66C">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112.5</w:t>
                  </w:r>
                </w:p>
              </w:tc>
              <w:tc>
                <w:tcPr>
                  <w:tcW w:w="0" w:type="auto"/>
                  <w:vAlign w:val="center"/>
                </w:tcPr>
                <w:p w14:paraId="1D1BD77B">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w:t>
                  </w:r>
                </w:p>
              </w:tc>
              <w:tc>
                <w:tcPr>
                  <w:tcW w:w="0" w:type="auto"/>
                  <w:vMerge w:val="continue"/>
                  <w:vAlign w:val="center"/>
                </w:tcPr>
                <w:p w14:paraId="68CB175A">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361" w:type="dxa"/>
                  <w:vMerge w:val="continue"/>
                  <w:vAlign w:val="center"/>
                </w:tcPr>
                <w:p w14:paraId="298E7698">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0CE2896E">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8" w:hRule="atLeast"/>
              </w:trPr>
              <w:tc>
                <w:tcPr>
                  <w:tcW w:w="0" w:type="auto"/>
                  <w:vAlign w:val="center"/>
                </w:tcPr>
                <w:p w14:paraId="3DE22E8C">
                  <w:pPr>
                    <w:pStyle w:val="67"/>
                    <w:adjustRightInd w:val="0"/>
                    <w:snapToGrid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牧户5</w:t>
                  </w:r>
                </w:p>
              </w:tc>
              <w:tc>
                <w:tcPr>
                  <w:tcW w:w="731" w:type="dxa"/>
                  <w:vAlign w:val="center"/>
                </w:tcPr>
                <w:p w14:paraId="46420098">
                  <w:pPr>
                    <w:jc w:val="cente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K</w:t>
                  </w:r>
                  <w:r>
                    <w:rPr>
                      <w:rFonts w:hint="eastAsia"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00</w:t>
                  </w:r>
                </w:p>
              </w:tc>
              <w:tc>
                <w:tcPr>
                  <w:tcW w:w="398" w:type="dxa"/>
                  <w:vMerge w:val="continue"/>
                  <w:vAlign w:val="center"/>
                </w:tcPr>
                <w:p w14:paraId="6710A097">
                  <w:pPr>
                    <w:pStyle w:val="55"/>
                    <w:jc w:val="cente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p>
              </w:tc>
              <w:tc>
                <w:tcPr>
                  <w:tcW w:w="0" w:type="auto"/>
                  <w:vAlign w:val="center"/>
                </w:tcPr>
                <w:p w14:paraId="66149A97">
                  <w:pPr>
                    <w:pStyle w:val="55"/>
                    <w:jc w:val="cente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路北</w:t>
                  </w:r>
                </w:p>
              </w:tc>
              <w:tc>
                <w:tcPr>
                  <w:tcW w:w="0" w:type="auto"/>
                  <w:vAlign w:val="center"/>
                </w:tcPr>
                <w:p w14:paraId="63805E03">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98</w:t>
                  </w:r>
                </w:p>
              </w:tc>
              <w:tc>
                <w:tcPr>
                  <w:tcW w:w="0" w:type="auto"/>
                  <w:vAlign w:val="center"/>
                </w:tcPr>
                <w:p w14:paraId="02077CB8">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120.5</w:t>
                  </w:r>
                </w:p>
              </w:tc>
              <w:tc>
                <w:tcPr>
                  <w:tcW w:w="0" w:type="auto"/>
                  <w:vAlign w:val="center"/>
                </w:tcPr>
                <w:p w14:paraId="538D9E99">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w:t>
                  </w:r>
                </w:p>
              </w:tc>
              <w:tc>
                <w:tcPr>
                  <w:tcW w:w="892" w:type="dxa"/>
                  <w:vMerge w:val="restart"/>
                  <w:vAlign w:val="center"/>
                </w:tcPr>
                <w:p w14:paraId="15CAEA27">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砖混结构，一层，朝东南</w:t>
                  </w:r>
                </w:p>
              </w:tc>
              <w:tc>
                <w:tcPr>
                  <w:tcW w:w="2361" w:type="dxa"/>
                  <w:vMerge w:val="continue"/>
                  <w:vAlign w:val="center"/>
                </w:tcPr>
                <w:p w14:paraId="725F4D6F">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57B3091E">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8" w:hRule="atLeast"/>
              </w:trPr>
              <w:tc>
                <w:tcPr>
                  <w:tcW w:w="508" w:type="dxa"/>
                  <w:vAlign w:val="center"/>
                </w:tcPr>
                <w:p w14:paraId="7D47BFA6">
                  <w:pPr>
                    <w:pStyle w:val="67"/>
                    <w:adjustRightInd w:val="0"/>
                    <w:snapToGrid w:val="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牧户6</w:t>
                  </w:r>
                </w:p>
              </w:tc>
              <w:tc>
                <w:tcPr>
                  <w:tcW w:w="731" w:type="dxa"/>
                  <w:vAlign w:val="center"/>
                </w:tcPr>
                <w:p w14:paraId="365254E4">
                  <w:pPr>
                    <w:jc w:val="cente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K</w:t>
                  </w:r>
                  <w:r>
                    <w:rPr>
                      <w:rFonts w:hint="eastAsia" w:cs="Times New Roman"/>
                      <w:color w:val="000000" w:themeColor="text1"/>
                      <w:spacing w:val="-6"/>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w:t>
                  </w:r>
                  <w:r>
                    <w:rPr>
                      <w:rFonts w:hint="eastAsia" w:cs="Times New Roman"/>
                      <w:color w:val="000000" w:themeColor="text1"/>
                      <w:spacing w:val="-6"/>
                      <w:sz w:val="21"/>
                      <w:szCs w:val="2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00</w:t>
                  </w:r>
                </w:p>
              </w:tc>
              <w:tc>
                <w:tcPr>
                  <w:tcW w:w="398" w:type="dxa"/>
                  <w:vMerge w:val="continue"/>
                  <w:vAlign w:val="center"/>
                </w:tcPr>
                <w:p w14:paraId="1A781971">
                  <w:pPr>
                    <w:pStyle w:val="55"/>
                    <w:jc w:val="cente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p>
              </w:tc>
              <w:tc>
                <w:tcPr>
                  <w:tcW w:w="287" w:type="dxa"/>
                  <w:vAlign w:val="center"/>
                </w:tcPr>
                <w:p w14:paraId="6267ADC2">
                  <w:pPr>
                    <w:pStyle w:val="55"/>
                    <w:jc w:val="cente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路北</w:t>
                  </w:r>
                </w:p>
              </w:tc>
              <w:tc>
                <w:tcPr>
                  <w:tcW w:w="0" w:type="auto"/>
                  <w:vAlign w:val="center"/>
                </w:tcPr>
                <w:p w14:paraId="2E44D021">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183</w:t>
                  </w:r>
                </w:p>
              </w:tc>
              <w:tc>
                <w:tcPr>
                  <w:tcW w:w="0" w:type="auto"/>
                  <w:vAlign w:val="center"/>
                </w:tcPr>
                <w:p w14:paraId="1693C554">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205.5</w:t>
                  </w:r>
                </w:p>
              </w:tc>
              <w:tc>
                <w:tcPr>
                  <w:tcW w:w="0" w:type="auto"/>
                  <w:vAlign w:val="center"/>
                </w:tcPr>
                <w:p w14:paraId="0444EA61">
                  <w:pPr>
                    <w:pStyle w:val="55"/>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w:t>
                  </w:r>
                </w:p>
              </w:tc>
              <w:tc>
                <w:tcPr>
                  <w:tcW w:w="892" w:type="dxa"/>
                  <w:vMerge w:val="continue"/>
                  <w:vAlign w:val="center"/>
                </w:tcPr>
                <w:p w14:paraId="71EBC574">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361" w:type="dxa"/>
                  <w:vMerge w:val="continue"/>
                  <w:vAlign w:val="center"/>
                </w:tcPr>
                <w:p w14:paraId="0A7B62BC">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bl>
          <w:p w14:paraId="11C2EC59">
            <w:pPr>
              <w:adjustRightInd w:val="0"/>
              <w:snapToGrid w:val="0"/>
              <w:spacing w:line="360" w:lineRule="auto"/>
              <w:rPr>
                <w:rFonts w:hint="default" w:ascii="Times New Roman" w:hAnsi="Times New Roman" w:eastAsia="宋体" w:cs="Times New Roman"/>
                <w:b/>
                <w:bCs/>
                <w:color w:val="000000" w:themeColor="text1"/>
                <w:spacing w:val="-2"/>
                <w:sz w:val="24"/>
                <w:highlight w:val="none"/>
                <w14:textFill>
                  <w14:solidFill>
                    <w14:schemeClr w14:val="tx1"/>
                  </w14:solidFill>
                </w14:textFill>
              </w:rPr>
            </w:pPr>
          </w:p>
        </w:tc>
      </w:tr>
      <w:tr w14:paraId="62332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7" w:type="dxa"/>
            <w:vAlign w:val="center"/>
          </w:tcPr>
          <w:p w14:paraId="5B5C196F">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评价标准</w:t>
            </w:r>
          </w:p>
        </w:tc>
        <w:tc>
          <w:tcPr>
            <w:tcW w:w="7729" w:type="dxa"/>
            <w:vAlign w:val="center"/>
          </w:tcPr>
          <w:p w14:paraId="4F2BA33C">
            <w:pPr>
              <w:pStyle w:val="55"/>
              <w:spacing w:line="360" w:lineRule="auto"/>
              <w:ind w:firstLine="454"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7"/>
                <w:highlight w:val="none"/>
                <w:lang w:eastAsia="zh-CN"/>
                <w14:textFill>
                  <w14:solidFill>
                    <w14:schemeClr w14:val="tx1"/>
                  </w14:solidFill>
                </w14:textFill>
              </w:rPr>
              <w:t>1、环境质量标准</w:t>
            </w:r>
          </w:p>
          <w:p w14:paraId="5169D634">
            <w:pPr>
              <w:pStyle w:val="55"/>
              <w:spacing w:line="360" w:lineRule="auto"/>
              <w:ind w:firstLine="462"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highlight w:val="none"/>
                <w:lang w:eastAsia="zh-CN"/>
                <w14:textFill>
                  <w14:solidFill>
                    <w14:schemeClr w14:val="tx1"/>
                  </w14:solidFill>
                </w14:textFill>
              </w:rPr>
              <w:t>（1）环境空气</w:t>
            </w:r>
          </w:p>
          <w:p w14:paraId="6EAC7D03">
            <w:pPr>
              <w:pStyle w:val="55"/>
              <w:spacing w:line="360" w:lineRule="auto"/>
              <w:ind w:firstLine="488" w:firstLineChars="200"/>
              <w:rPr>
                <w:rFonts w:hint="default" w:ascii="Times New Roman" w:hAnsi="Times New Roman" w:eastAsia="宋体" w:cs="Times New Roman"/>
                <w:color w:val="000000" w:themeColor="text1"/>
                <w:spacing w:val="-6"/>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环境空气质量执行《环境空气质量标准》（</w:t>
            </w:r>
            <w:r>
              <w:rPr>
                <w:rFonts w:hint="default" w:ascii="Times New Roman" w:hAnsi="Times New Roman" w:eastAsia="宋体" w:cs="Times New Roman"/>
                <w:color w:val="000000" w:themeColor="text1"/>
                <w:highlight w:val="none"/>
                <w:lang w:eastAsia="zh-CN"/>
                <w14:textFill>
                  <w14:solidFill>
                    <w14:schemeClr w14:val="tx1"/>
                  </w14:solidFill>
                </w14:textFill>
              </w:rPr>
              <w:t>GB</w:t>
            </w: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3095-2012）二级标</w:t>
            </w:r>
            <w:r>
              <w:rPr>
                <w:rFonts w:hint="default" w:ascii="Times New Roman" w:hAnsi="Times New Roman" w:eastAsia="宋体" w:cs="Times New Roman"/>
                <w:color w:val="000000" w:themeColor="text1"/>
                <w:spacing w:val="1"/>
                <w:highlight w:val="none"/>
                <w:lang w:eastAsia="zh-CN"/>
                <w14:textFill>
                  <w14:solidFill>
                    <w14:schemeClr w14:val="tx1"/>
                  </w14:solidFill>
                </w14:textFill>
              </w:rPr>
              <w:t>准及其2018年修改单。</w:t>
            </w:r>
            <w:r>
              <w:rPr>
                <w:rFonts w:hint="default" w:ascii="Times New Roman" w:hAnsi="Times New Roman" w:eastAsia="宋体" w:cs="Times New Roman"/>
                <w:color w:val="000000" w:themeColor="text1"/>
                <w:spacing w:val="-6"/>
                <w:highlight w:val="none"/>
                <w:lang w:eastAsia="zh-CN"/>
                <w14:textFill>
                  <w14:solidFill>
                    <w14:schemeClr w14:val="tx1"/>
                  </w14:solidFill>
                </w14:textFill>
              </w:rPr>
              <w:t>具体标准见表3-</w:t>
            </w:r>
            <w:r>
              <w:rPr>
                <w:rFonts w:hint="eastAsia" w:ascii="Times New Roman" w:hAnsi="Times New Roman" w:cs="Times New Roman"/>
                <w:color w:val="000000" w:themeColor="text1"/>
                <w:spacing w:val="-6"/>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6"/>
                <w:highlight w:val="none"/>
                <w:lang w:eastAsia="zh-CN"/>
                <w14:textFill>
                  <w14:solidFill>
                    <w14:schemeClr w14:val="tx1"/>
                  </w14:solidFill>
                </w14:textFill>
              </w:rPr>
              <w:t>。</w:t>
            </w:r>
          </w:p>
          <w:p w14:paraId="1C371BF5">
            <w:pPr>
              <w:adjustRightInd w:val="0"/>
              <w:snapToGrid w:val="0"/>
              <w:jc w:val="center"/>
              <w:rPr>
                <w:rFonts w:hint="default" w:ascii="Times New Roman" w:hAnsi="Times New Roman" w:eastAsia="宋体" w:cs="Times New Roman"/>
                <w:b/>
                <w:bCs/>
                <w:color w:val="000000" w:themeColor="text1"/>
                <w:spacing w:val="-1"/>
                <w:szCs w:val="21"/>
                <w:highlight w:val="none"/>
                <w14:textFill>
                  <w14:solidFill>
                    <w14:schemeClr w14:val="tx1"/>
                  </w14:solidFill>
                </w14:textFill>
              </w:rPr>
            </w:pPr>
          </w:p>
          <w:p w14:paraId="7C3E5D52">
            <w:pPr>
              <w:adjustRightInd w:val="0"/>
              <w:snapToGrid w:val="0"/>
              <w:jc w:val="center"/>
              <w:rPr>
                <w:rFonts w:hint="default" w:ascii="Times New Roman" w:hAnsi="Times New Roman" w:eastAsia="宋体" w:cs="Times New Roman"/>
                <w:b/>
                <w:bCs/>
                <w:color w:val="000000" w:themeColor="text1"/>
                <w:spacing w:val="-2"/>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
                <w:szCs w:val="21"/>
                <w:highlight w:val="none"/>
                <w14:textFill>
                  <w14:solidFill>
                    <w14:schemeClr w14:val="tx1"/>
                  </w14:solidFill>
                </w14:textFill>
              </w:rPr>
              <w:t>表3-</w:t>
            </w:r>
            <w:r>
              <w:rPr>
                <w:rFonts w:hint="eastAsia" w:cs="Times New Roman"/>
                <w:b/>
                <w:bCs/>
                <w:color w:val="000000" w:themeColor="text1"/>
                <w:spacing w:val="-1"/>
                <w:szCs w:val="2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1"/>
                <w:szCs w:val="21"/>
                <w:highlight w:val="none"/>
                <w14:textFill>
                  <w14:solidFill>
                    <w14:schemeClr w14:val="tx1"/>
                  </w14:solidFill>
                </w14:textFill>
              </w:rPr>
              <w:t>《环境空气质量标准》（GB3095-2012）</w:t>
            </w:r>
            <w:r>
              <w:rPr>
                <w:rFonts w:hint="default" w:ascii="Times New Roman" w:hAnsi="Times New Roman" w:eastAsia="宋体" w:cs="Times New Roman"/>
                <w:b/>
                <w:bCs/>
                <w:color w:val="000000" w:themeColor="text1"/>
                <w:spacing w:val="-2"/>
                <w:szCs w:val="21"/>
                <w:highlight w:val="none"/>
                <w14:textFill>
                  <w14:solidFill>
                    <w14:schemeClr w14:val="tx1"/>
                  </w14:solidFill>
                </w14:textFill>
              </w:rPr>
              <w:t>二级标准</w:t>
            </w:r>
          </w:p>
          <w:tbl>
            <w:tblPr>
              <w:tblStyle w:val="30"/>
              <w:tblW w:w="498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07"/>
              <w:gridCol w:w="778"/>
              <w:gridCol w:w="1779"/>
              <w:gridCol w:w="1016"/>
              <w:gridCol w:w="1040"/>
              <w:gridCol w:w="1667"/>
            </w:tblGrid>
            <w:tr w14:paraId="322B3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tcBorders>
                    <w:top w:val="single" w:color="000000" w:sz="6" w:space="0"/>
                  </w:tcBorders>
                  <w:vAlign w:val="center"/>
                </w:tcPr>
                <w:p w14:paraId="0D1607F3">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7"/>
                      <w:sz w:val="21"/>
                      <w:szCs w:val="21"/>
                      <w:highlight w:val="none"/>
                      <w14:textFill>
                        <w14:solidFill>
                          <w14:schemeClr w14:val="tx1"/>
                        </w14:solidFill>
                      </w14:textFill>
                    </w:rPr>
                    <w:t>环境要素</w:t>
                  </w:r>
                </w:p>
              </w:tc>
              <w:tc>
                <w:tcPr>
                  <w:tcW w:w="1817" w:type="pct"/>
                  <w:gridSpan w:val="2"/>
                  <w:tcBorders>
                    <w:top w:val="single" w:color="000000" w:sz="6" w:space="0"/>
                  </w:tcBorders>
                  <w:vAlign w:val="center"/>
                </w:tcPr>
                <w:p w14:paraId="537A9244">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7"/>
                      <w:sz w:val="21"/>
                      <w:szCs w:val="21"/>
                      <w:highlight w:val="none"/>
                      <w14:textFill>
                        <w14:solidFill>
                          <w14:schemeClr w14:val="tx1"/>
                        </w14:solidFill>
                      </w14:textFill>
                    </w:rPr>
                    <w:t>污染物名称</w:t>
                  </w:r>
                </w:p>
              </w:tc>
              <w:tc>
                <w:tcPr>
                  <w:tcW w:w="733" w:type="pct"/>
                  <w:tcBorders>
                    <w:top w:val="single" w:color="000000" w:sz="6" w:space="0"/>
                  </w:tcBorders>
                  <w:vAlign w:val="center"/>
                </w:tcPr>
                <w:p w14:paraId="06952A1A">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 w:val="21"/>
                      <w:szCs w:val="21"/>
                      <w:highlight w:val="none"/>
                      <w14:textFill>
                        <w14:solidFill>
                          <w14:schemeClr w14:val="tx1"/>
                        </w14:solidFill>
                      </w14:textFill>
                    </w:rPr>
                    <w:t>标准值</w:t>
                  </w:r>
                </w:p>
              </w:tc>
              <w:tc>
                <w:tcPr>
                  <w:tcW w:w="749" w:type="pct"/>
                  <w:tcBorders>
                    <w:top w:val="single" w:color="000000" w:sz="6" w:space="0"/>
                  </w:tcBorders>
                  <w:vAlign w:val="center"/>
                </w:tcPr>
                <w:p w14:paraId="0EF107E2">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3"/>
                      <w:sz w:val="21"/>
                      <w:szCs w:val="21"/>
                      <w:highlight w:val="none"/>
                      <w14:textFill>
                        <w14:solidFill>
                          <w14:schemeClr w14:val="tx1"/>
                        </w14:solidFill>
                      </w14:textFill>
                    </w:rPr>
                    <w:t>单位</w:t>
                  </w:r>
                </w:p>
              </w:tc>
              <w:tc>
                <w:tcPr>
                  <w:tcW w:w="838" w:type="pct"/>
                  <w:tcBorders>
                    <w:top w:val="single" w:color="000000" w:sz="6" w:space="0"/>
                  </w:tcBorders>
                  <w:vAlign w:val="center"/>
                </w:tcPr>
                <w:p w14:paraId="53BD07E0">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7"/>
                      <w:sz w:val="21"/>
                      <w:szCs w:val="21"/>
                      <w:highlight w:val="none"/>
                      <w14:textFill>
                        <w14:solidFill>
                          <w14:schemeClr w14:val="tx1"/>
                        </w14:solidFill>
                      </w14:textFill>
                    </w:rPr>
                    <w:t>标准来源</w:t>
                  </w:r>
                </w:p>
              </w:tc>
            </w:tr>
            <w:tr w14:paraId="64DDB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vMerge w:val="restart"/>
                  <w:tcBorders>
                    <w:bottom w:val="nil"/>
                  </w:tcBorders>
                  <w:vAlign w:val="center"/>
                </w:tcPr>
                <w:p w14:paraId="06A6E27E">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环境空气</w:t>
                  </w:r>
                </w:p>
              </w:tc>
              <w:tc>
                <w:tcPr>
                  <w:tcW w:w="575" w:type="pct"/>
                  <w:vMerge w:val="restart"/>
                  <w:tcBorders>
                    <w:bottom w:val="nil"/>
                  </w:tcBorders>
                  <w:vAlign w:val="center"/>
                </w:tcPr>
                <w:p w14:paraId="38AEA635">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PM</w:t>
                  </w:r>
                  <w:r>
                    <w:rPr>
                      <w:rFonts w:hint="default" w:ascii="Times New Roman" w:hAnsi="Times New Roman" w:eastAsia="宋体" w:cs="Times New Roman"/>
                      <w:color w:val="000000" w:themeColor="text1"/>
                      <w:spacing w:val="8"/>
                      <w:position w:val="-1"/>
                      <w:szCs w:val="21"/>
                      <w:highlight w:val="none"/>
                      <w:vertAlign w:val="subscript"/>
                      <w14:textFill>
                        <w14:solidFill>
                          <w14:schemeClr w14:val="tx1"/>
                        </w14:solidFill>
                      </w14:textFill>
                    </w:rPr>
                    <w:t>10</w:t>
                  </w:r>
                </w:p>
              </w:tc>
              <w:tc>
                <w:tcPr>
                  <w:tcW w:w="1242" w:type="pct"/>
                  <w:vAlign w:val="center"/>
                </w:tcPr>
                <w:p w14:paraId="660BE445">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年平均</w:t>
                  </w:r>
                </w:p>
              </w:tc>
              <w:tc>
                <w:tcPr>
                  <w:tcW w:w="733" w:type="pct"/>
                  <w:vAlign w:val="center"/>
                </w:tcPr>
                <w:p w14:paraId="14052D42">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70</w:t>
                  </w:r>
                </w:p>
              </w:tc>
              <w:tc>
                <w:tcPr>
                  <w:tcW w:w="749" w:type="pct"/>
                  <w:vMerge w:val="restart"/>
                  <w:vAlign w:val="center"/>
                </w:tcPr>
                <w:p w14:paraId="2462889E">
                  <w:pPr>
                    <w:jc w:val="center"/>
                    <w:rPr>
                      <w:rFonts w:hint="eastAsia" w:ascii="Times New Roman" w:hAnsi="Times New Roman" w:eastAsia="宋体" w:cs="Times New Roman"/>
                      <w:color w:val="000000" w:themeColor="text1"/>
                      <w:spacing w:val="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Cs w:val="21"/>
                      <w:highlight w:val="none"/>
                      <w14:textFill>
                        <w14:solidFill>
                          <w14:schemeClr w14:val="tx1"/>
                        </w14:solidFill>
                      </w14:textFill>
                    </w:rPr>
                    <w:t>μg/m</w:t>
                  </w:r>
                  <w:r>
                    <w:rPr>
                      <w:rFonts w:hint="eastAsia" w:cs="Times New Roman"/>
                      <w:color w:val="000000" w:themeColor="text1"/>
                      <w:spacing w:val="2"/>
                      <w:szCs w:val="21"/>
                      <w:highlight w:val="none"/>
                      <w:vertAlign w:val="superscript"/>
                      <w:lang w:val="en-US" w:eastAsia="zh-CN"/>
                      <w14:textFill>
                        <w14:solidFill>
                          <w14:schemeClr w14:val="tx1"/>
                        </w14:solidFill>
                      </w14:textFill>
                    </w:rPr>
                    <w:t>3</w:t>
                  </w:r>
                </w:p>
              </w:tc>
              <w:tc>
                <w:tcPr>
                  <w:tcW w:w="838" w:type="pct"/>
                  <w:vMerge w:val="restart"/>
                  <w:vAlign w:val="center"/>
                </w:tcPr>
                <w:p w14:paraId="0B7CF395">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t>《环境空气质量</w:t>
                  </w:r>
                  <w:r>
                    <w:rPr>
                      <w:rFonts w:hint="default" w:ascii="Times New Roman" w:hAnsi="Times New Roman" w:eastAsia="宋体" w:cs="Times New Roman"/>
                      <w:color w:val="000000" w:themeColor="text1"/>
                      <w:spacing w:val="2"/>
                      <w:sz w:val="21"/>
                      <w:szCs w:val="21"/>
                      <w:highlight w:val="none"/>
                      <w:lang w:eastAsia="zh-CN"/>
                      <w14:textFill>
                        <w14:solidFill>
                          <w14:schemeClr w14:val="tx1"/>
                        </w14:solidFill>
                      </w14:textFill>
                    </w:rPr>
                    <w:t>标准》</w:t>
                  </w:r>
                </w:p>
                <w:p w14:paraId="35F1BF8C">
                  <w:pPr>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r>
                    <w:rPr>
                      <w:rFonts w:hint="default" w:ascii="Times New Roman" w:hAnsi="Times New Roman" w:eastAsia="宋体" w:cs="Times New Roman"/>
                      <w:color w:val="000000" w:themeColor="text1"/>
                      <w:spacing w:val="3"/>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GB</w:t>
                  </w:r>
                  <w:r>
                    <w:rPr>
                      <w:rFonts w:hint="default" w:ascii="Times New Roman" w:hAnsi="Times New Roman" w:eastAsia="宋体" w:cs="Times New Roman"/>
                      <w:color w:val="000000" w:themeColor="text1"/>
                      <w:spacing w:val="3"/>
                      <w:szCs w:val="21"/>
                      <w:highlight w:val="none"/>
                      <w14:textFill>
                        <w14:solidFill>
                          <w14:schemeClr w14:val="tx1"/>
                        </w14:solidFill>
                      </w14:textFill>
                    </w:rPr>
                    <w:t>3095-2012）二级</w:t>
                  </w:r>
                </w:p>
              </w:tc>
            </w:tr>
            <w:tr w14:paraId="471B6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vMerge w:val="continue"/>
                  <w:tcBorders>
                    <w:top w:val="nil"/>
                    <w:bottom w:val="nil"/>
                  </w:tcBorders>
                  <w:vAlign w:val="center"/>
                </w:tcPr>
                <w:p w14:paraId="495991A8">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75" w:type="pct"/>
                  <w:vMerge w:val="continue"/>
                  <w:tcBorders>
                    <w:top w:val="nil"/>
                  </w:tcBorders>
                  <w:vAlign w:val="center"/>
                </w:tcPr>
                <w:p w14:paraId="1454C8B1">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42" w:type="pct"/>
                  <w:vAlign w:val="center"/>
                </w:tcPr>
                <w:p w14:paraId="565841BD">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24小时平均</w:t>
                  </w:r>
                </w:p>
              </w:tc>
              <w:tc>
                <w:tcPr>
                  <w:tcW w:w="733" w:type="pct"/>
                  <w:vAlign w:val="center"/>
                </w:tcPr>
                <w:p w14:paraId="443B3F01">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3"/>
                      <w:szCs w:val="21"/>
                      <w:highlight w:val="none"/>
                      <w14:textFill>
                        <w14:solidFill>
                          <w14:schemeClr w14:val="tx1"/>
                        </w14:solidFill>
                      </w14:textFill>
                    </w:rPr>
                    <w:t>150</w:t>
                  </w:r>
                </w:p>
              </w:tc>
              <w:tc>
                <w:tcPr>
                  <w:tcW w:w="749" w:type="pct"/>
                  <w:vMerge w:val="continue"/>
                  <w:vAlign w:val="center"/>
                </w:tcPr>
                <w:p w14:paraId="3C9D81C7">
                  <w:pPr>
                    <w:jc w:val="center"/>
                    <w:rPr>
                      <w:rFonts w:hint="default" w:ascii="Times New Roman" w:hAnsi="Times New Roman" w:eastAsia="宋体" w:cs="Times New Roman"/>
                      <w:color w:val="000000" w:themeColor="text1"/>
                      <w:spacing w:val="-3"/>
                      <w:szCs w:val="21"/>
                      <w:highlight w:val="none"/>
                      <w14:textFill>
                        <w14:solidFill>
                          <w14:schemeClr w14:val="tx1"/>
                        </w14:solidFill>
                      </w14:textFill>
                    </w:rPr>
                  </w:pPr>
                </w:p>
              </w:tc>
              <w:tc>
                <w:tcPr>
                  <w:tcW w:w="838" w:type="pct"/>
                  <w:vMerge w:val="continue"/>
                </w:tcPr>
                <w:p w14:paraId="7A10485E">
                  <w:pPr>
                    <w:rPr>
                      <w:rFonts w:hint="default" w:ascii="Times New Roman" w:hAnsi="Times New Roman" w:eastAsia="宋体" w:cs="Times New Roman"/>
                      <w:color w:val="000000" w:themeColor="text1"/>
                      <w:spacing w:val="-3"/>
                      <w:szCs w:val="21"/>
                      <w:highlight w:val="none"/>
                      <w14:textFill>
                        <w14:solidFill>
                          <w14:schemeClr w14:val="tx1"/>
                        </w14:solidFill>
                      </w14:textFill>
                    </w:rPr>
                  </w:pPr>
                </w:p>
              </w:tc>
            </w:tr>
            <w:tr w14:paraId="093FF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vMerge w:val="continue"/>
                  <w:tcBorders>
                    <w:top w:val="nil"/>
                    <w:bottom w:val="nil"/>
                  </w:tcBorders>
                  <w:vAlign w:val="center"/>
                </w:tcPr>
                <w:p w14:paraId="0A33FE8E">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75" w:type="pct"/>
                  <w:vMerge w:val="restart"/>
                  <w:tcBorders>
                    <w:bottom w:val="nil"/>
                  </w:tcBorders>
                  <w:vAlign w:val="center"/>
                </w:tcPr>
                <w:p w14:paraId="63676304">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PM</w:t>
                  </w:r>
                  <w:r>
                    <w:rPr>
                      <w:rFonts w:hint="default" w:ascii="Times New Roman" w:hAnsi="Times New Roman" w:eastAsia="宋体" w:cs="Times New Roman"/>
                      <w:color w:val="000000" w:themeColor="text1"/>
                      <w:spacing w:val="6"/>
                      <w:position w:val="-1"/>
                      <w:szCs w:val="21"/>
                      <w:highlight w:val="none"/>
                      <w:vertAlign w:val="subscript"/>
                      <w14:textFill>
                        <w14:solidFill>
                          <w14:schemeClr w14:val="tx1"/>
                        </w14:solidFill>
                      </w14:textFill>
                    </w:rPr>
                    <w:t>2.5</w:t>
                  </w:r>
                </w:p>
              </w:tc>
              <w:tc>
                <w:tcPr>
                  <w:tcW w:w="1242" w:type="pct"/>
                  <w:vAlign w:val="center"/>
                </w:tcPr>
                <w:p w14:paraId="679FEEC4">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年平均</w:t>
                  </w:r>
                </w:p>
              </w:tc>
              <w:tc>
                <w:tcPr>
                  <w:tcW w:w="733" w:type="pct"/>
                  <w:vAlign w:val="center"/>
                </w:tcPr>
                <w:p w14:paraId="648C8727">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35</w:t>
                  </w:r>
                </w:p>
              </w:tc>
              <w:tc>
                <w:tcPr>
                  <w:tcW w:w="749" w:type="pct"/>
                  <w:vMerge w:val="continue"/>
                  <w:vAlign w:val="center"/>
                </w:tcPr>
                <w:p w14:paraId="7A3B79C7">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38" w:type="pct"/>
                  <w:vMerge w:val="continue"/>
                </w:tcPr>
                <w:p w14:paraId="5D7B4A09">
                  <w:pPr>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65EDE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vMerge w:val="continue"/>
                  <w:tcBorders>
                    <w:top w:val="nil"/>
                    <w:bottom w:val="nil"/>
                  </w:tcBorders>
                  <w:vAlign w:val="center"/>
                </w:tcPr>
                <w:p w14:paraId="4C5CEB19">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75" w:type="pct"/>
                  <w:vMerge w:val="continue"/>
                  <w:tcBorders>
                    <w:top w:val="nil"/>
                  </w:tcBorders>
                  <w:vAlign w:val="center"/>
                </w:tcPr>
                <w:p w14:paraId="33F1968E">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42" w:type="pct"/>
                  <w:vAlign w:val="center"/>
                </w:tcPr>
                <w:p w14:paraId="7D5FBEA6">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24小时平均</w:t>
                  </w:r>
                </w:p>
              </w:tc>
              <w:tc>
                <w:tcPr>
                  <w:tcW w:w="733" w:type="pct"/>
                  <w:vAlign w:val="center"/>
                </w:tcPr>
                <w:p w14:paraId="6CFBA532">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75</w:t>
                  </w:r>
                </w:p>
              </w:tc>
              <w:tc>
                <w:tcPr>
                  <w:tcW w:w="749" w:type="pct"/>
                  <w:vMerge w:val="continue"/>
                  <w:vAlign w:val="center"/>
                </w:tcPr>
                <w:p w14:paraId="589925E9">
                  <w:pPr>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p>
              </w:tc>
              <w:tc>
                <w:tcPr>
                  <w:tcW w:w="838" w:type="pct"/>
                  <w:vMerge w:val="continue"/>
                </w:tcPr>
                <w:p w14:paraId="1A8697E4">
                  <w:pPr>
                    <w:rPr>
                      <w:rFonts w:hint="default" w:ascii="Times New Roman" w:hAnsi="Times New Roman" w:eastAsia="宋体" w:cs="Times New Roman"/>
                      <w:color w:val="000000" w:themeColor="text1"/>
                      <w:spacing w:val="1"/>
                      <w:szCs w:val="21"/>
                      <w:highlight w:val="none"/>
                      <w14:textFill>
                        <w14:solidFill>
                          <w14:schemeClr w14:val="tx1"/>
                        </w14:solidFill>
                      </w14:textFill>
                    </w:rPr>
                  </w:pPr>
                </w:p>
              </w:tc>
            </w:tr>
            <w:tr w14:paraId="73C64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vMerge w:val="continue"/>
                  <w:tcBorders>
                    <w:top w:val="nil"/>
                    <w:bottom w:val="nil"/>
                  </w:tcBorders>
                  <w:vAlign w:val="center"/>
                </w:tcPr>
                <w:p w14:paraId="5BEDF856">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75" w:type="pct"/>
                  <w:vMerge w:val="restart"/>
                  <w:tcBorders>
                    <w:bottom w:val="nil"/>
                  </w:tcBorders>
                  <w:vAlign w:val="center"/>
                </w:tcPr>
                <w:p w14:paraId="39EC7BA8">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SO</w:t>
                  </w:r>
                  <w:r>
                    <w:rPr>
                      <w:rFonts w:hint="default" w:ascii="Times New Roman" w:hAnsi="Times New Roman" w:eastAsia="宋体" w:cs="Times New Roman"/>
                      <w:color w:val="000000" w:themeColor="text1"/>
                      <w:spacing w:val="1"/>
                      <w:position w:val="-1"/>
                      <w:szCs w:val="21"/>
                      <w:highlight w:val="none"/>
                      <w:vertAlign w:val="subscript"/>
                      <w14:textFill>
                        <w14:solidFill>
                          <w14:schemeClr w14:val="tx1"/>
                        </w14:solidFill>
                      </w14:textFill>
                    </w:rPr>
                    <w:t>2</w:t>
                  </w:r>
                </w:p>
              </w:tc>
              <w:tc>
                <w:tcPr>
                  <w:tcW w:w="1242" w:type="pct"/>
                  <w:vAlign w:val="center"/>
                </w:tcPr>
                <w:p w14:paraId="675A59BB">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年平均</w:t>
                  </w:r>
                </w:p>
              </w:tc>
              <w:tc>
                <w:tcPr>
                  <w:tcW w:w="733" w:type="pct"/>
                  <w:vAlign w:val="center"/>
                </w:tcPr>
                <w:p w14:paraId="7820962C">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60</w:t>
                  </w:r>
                </w:p>
              </w:tc>
              <w:tc>
                <w:tcPr>
                  <w:tcW w:w="749" w:type="pct"/>
                  <w:vMerge w:val="continue"/>
                  <w:vAlign w:val="center"/>
                </w:tcPr>
                <w:p w14:paraId="5DE046B5">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38" w:type="pct"/>
                  <w:vMerge w:val="continue"/>
                </w:tcPr>
                <w:p w14:paraId="3C9020BF">
                  <w:pPr>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40DDE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vMerge w:val="continue"/>
                  <w:tcBorders>
                    <w:top w:val="nil"/>
                    <w:bottom w:val="nil"/>
                  </w:tcBorders>
                  <w:vAlign w:val="center"/>
                </w:tcPr>
                <w:p w14:paraId="3A3550AE">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75" w:type="pct"/>
                  <w:vMerge w:val="continue"/>
                  <w:tcBorders>
                    <w:top w:val="nil"/>
                    <w:bottom w:val="nil"/>
                  </w:tcBorders>
                  <w:vAlign w:val="center"/>
                </w:tcPr>
                <w:p w14:paraId="4C331557">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42" w:type="pct"/>
                  <w:vAlign w:val="center"/>
                </w:tcPr>
                <w:p w14:paraId="7B85FEAB">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24小时平均</w:t>
                  </w:r>
                </w:p>
              </w:tc>
              <w:tc>
                <w:tcPr>
                  <w:tcW w:w="733" w:type="pct"/>
                  <w:vAlign w:val="center"/>
                </w:tcPr>
                <w:p w14:paraId="6673D2B5">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3"/>
                      <w:szCs w:val="21"/>
                      <w:highlight w:val="none"/>
                      <w14:textFill>
                        <w14:solidFill>
                          <w14:schemeClr w14:val="tx1"/>
                        </w14:solidFill>
                      </w14:textFill>
                    </w:rPr>
                    <w:t>150</w:t>
                  </w:r>
                </w:p>
              </w:tc>
              <w:tc>
                <w:tcPr>
                  <w:tcW w:w="749" w:type="pct"/>
                  <w:vMerge w:val="continue"/>
                  <w:vAlign w:val="center"/>
                </w:tcPr>
                <w:p w14:paraId="43641DEE">
                  <w:pPr>
                    <w:jc w:val="center"/>
                    <w:rPr>
                      <w:rFonts w:hint="default" w:ascii="Times New Roman" w:hAnsi="Times New Roman" w:eastAsia="宋体" w:cs="Times New Roman"/>
                      <w:color w:val="000000" w:themeColor="text1"/>
                      <w:spacing w:val="-3"/>
                      <w:szCs w:val="21"/>
                      <w:highlight w:val="none"/>
                      <w14:textFill>
                        <w14:solidFill>
                          <w14:schemeClr w14:val="tx1"/>
                        </w14:solidFill>
                      </w14:textFill>
                    </w:rPr>
                  </w:pPr>
                </w:p>
              </w:tc>
              <w:tc>
                <w:tcPr>
                  <w:tcW w:w="838" w:type="pct"/>
                  <w:vMerge w:val="continue"/>
                </w:tcPr>
                <w:p w14:paraId="41531BF5">
                  <w:pPr>
                    <w:rPr>
                      <w:rFonts w:hint="default" w:ascii="Times New Roman" w:hAnsi="Times New Roman" w:eastAsia="宋体" w:cs="Times New Roman"/>
                      <w:color w:val="000000" w:themeColor="text1"/>
                      <w:spacing w:val="-3"/>
                      <w:szCs w:val="21"/>
                      <w:highlight w:val="none"/>
                      <w14:textFill>
                        <w14:solidFill>
                          <w14:schemeClr w14:val="tx1"/>
                        </w14:solidFill>
                      </w14:textFill>
                    </w:rPr>
                  </w:pPr>
                </w:p>
              </w:tc>
            </w:tr>
            <w:tr w14:paraId="58367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vMerge w:val="continue"/>
                  <w:tcBorders>
                    <w:top w:val="nil"/>
                    <w:bottom w:val="nil"/>
                  </w:tcBorders>
                  <w:vAlign w:val="center"/>
                </w:tcPr>
                <w:p w14:paraId="1D3E45B5">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75" w:type="pct"/>
                  <w:vMerge w:val="continue"/>
                  <w:tcBorders>
                    <w:top w:val="nil"/>
                  </w:tcBorders>
                  <w:vAlign w:val="center"/>
                </w:tcPr>
                <w:p w14:paraId="64026805">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42" w:type="pct"/>
                  <w:vAlign w:val="center"/>
                </w:tcPr>
                <w:p w14:paraId="1C286E78">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1小时平均</w:t>
                  </w:r>
                </w:p>
              </w:tc>
              <w:tc>
                <w:tcPr>
                  <w:tcW w:w="733" w:type="pct"/>
                  <w:vAlign w:val="center"/>
                </w:tcPr>
                <w:p w14:paraId="01B8A209">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500</w:t>
                  </w:r>
                </w:p>
              </w:tc>
              <w:tc>
                <w:tcPr>
                  <w:tcW w:w="749" w:type="pct"/>
                  <w:vMerge w:val="continue"/>
                  <w:vAlign w:val="center"/>
                </w:tcPr>
                <w:p w14:paraId="5EF1C47D">
                  <w:pPr>
                    <w:jc w:val="center"/>
                    <w:rPr>
                      <w:rFonts w:hint="default" w:ascii="Times New Roman" w:hAnsi="Times New Roman" w:eastAsia="宋体" w:cs="Times New Roman"/>
                      <w:color w:val="000000" w:themeColor="text1"/>
                      <w:spacing w:val="1"/>
                      <w:szCs w:val="21"/>
                      <w:highlight w:val="none"/>
                      <w14:textFill>
                        <w14:solidFill>
                          <w14:schemeClr w14:val="tx1"/>
                        </w14:solidFill>
                      </w14:textFill>
                    </w:rPr>
                  </w:pPr>
                </w:p>
              </w:tc>
              <w:tc>
                <w:tcPr>
                  <w:tcW w:w="838" w:type="pct"/>
                  <w:vMerge w:val="continue"/>
                </w:tcPr>
                <w:p w14:paraId="274E7D2B">
                  <w:pPr>
                    <w:rPr>
                      <w:rFonts w:hint="default" w:ascii="Times New Roman" w:hAnsi="Times New Roman" w:eastAsia="宋体" w:cs="Times New Roman"/>
                      <w:color w:val="000000" w:themeColor="text1"/>
                      <w:spacing w:val="1"/>
                      <w:szCs w:val="21"/>
                      <w:highlight w:val="none"/>
                      <w14:textFill>
                        <w14:solidFill>
                          <w14:schemeClr w14:val="tx1"/>
                        </w14:solidFill>
                      </w14:textFill>
                    </w:rPr>
                  </w:pPr>
                </w:p>
              </w:tc>
            </w:tr>
            <w:tr w14:paraId="3E248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vMerge w:val="continue"/>
                  <w:tcBorders>
                    <w:top w:val="nil"/>
                    <w:bottom w:val="nil"/>
                  </w:tcBorders>
                  <w:vAlign w:val="center"/>
                </w:tcPr>
                <w:p w14:paraId="591BD598">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75" w:type="pct"/>
                  <w:vMerge w:val="restart"/>
                  <w:tcBorders>
                    <w:bottom w:val="nil"/>
                  </w:tcBorders>
                  <w:vAlign w:val="center"/>
                </w:tcPr>
                <w:p w14:paraId="0235B810">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6"/>
                      <w:szCs w:val="21"/>
                      <w:highlight w:val="none"/>
                      <w14:textFill>
                        <w14:solidFill>
                          <w14:schemeClr w14:val="tx1"/>
                        </w14:solidFill>
                      </w14:textFill>
                    </w:rPr>
                    <w:t>NO</w:t>
                  </w:r>
                  <w:r>
                    <w:rPr>
                      <w:rFonts w:hint="default" w:ascii="Times New Roman" w:hAnsi="Times New Roman" w:eastAsia="宋体" w:cs="Times New Roman"/>
                      <w:color w:val="000000" w:themeColor="text1"/>
                      <w:spacing w:val="6"/>
                      <w:position w:val="-1"/>
                      <w:szCs w:val="21"/>
                      <w:highlight w:val="none"/>
                      <w:vertAlign w:val="subscript"/>
                      <w14:textFill>
                        <w14:solidFill>
                          <w14:schemeClr w14:val="tx1"/>
                        </w14:solidFill>
                      </w14:textFill>
                    </w:rPr>
                    <w:t>2</w:t>
                  </w:r>
                </w:p>
              </w:tc>
              <w:tc>
                <w:tcPr>
                  <w:tcW w:w="1242" w:type="pct"/>
                  <w:vAlign w:val="center"/>
                </w:tcPr>
                <w:p w14:paraId="492D26C2">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年平均</w:t>
                  </w:r>
                </w:p>
              </w:tc>
              <w:tc>
                <w:tcPr>
                  <w:tcW w:w="733" w:type="pct"/>
                  <w:vAlign w:val="center"/>
                </w:tcPr>
                <w:p w14:paraId="27953EA6">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3"/>
                      <w:szCs w:val="21"/>
                      <w:highlight w:val="none"/>
                      <w14:textFill>
                        <w14:solidFill>
                          <w14:schemeClr w14:val="tx1"/>
                        </w14:solidFill>
                      </w14:textFill>
                    </w:rPr>
                    <w:t>40</w:t>
                  </w:r>
                </w:p>
              </w:tc>
              <w:tc>
                <w:tcPr>
                  <w:tcW w:w="749" w:type="pct"/>
                  <w:vMerge w:val="continue"/>
                  <w:vAlign w:val="center"/>
                </w:tcPr>
                <w:p w14:paraId="236D3876">
                  <w:pPr>
                    <w:jc w:val="center"/>
                    <w:rPr>
                      <w:rFonts w:hint="default" w:ascii="Times New Roman" w:hAnsi="Times New Roman" w:eastAsia="宋体" w:cs="Times New Roman"/>
                      <w:color w:val="000000" w:themeColor="text1"/>
                      <w:spacing w:val="3"/>
                      <w:szCs w:val="21"/>
                      <w:highlight w:val="none"/>
                      <w14:textFill>
                        <w14:solidFill>
                          <w14:schemeClr w14:val="tx1"/>
                        </w14:solidFill>
                      </w14:textFill>
                    </w:rPr>
                  </w:pPr>
                </w:p>
              </w:tc>
              <w:tc>
                <w:tcPr>
                  <w:tcW w:w="838" w:type="pct"/>
                  <w:vMerge w:val="continue"/>
                </w:tcPr>
                <w:p w14:paraId="5F3EB9EE">
                  <w:pPr>
                    <w:rPr>
                      <w:rFonts w:hint="default" w:ascii="Times New Roman" w:hAnsi="Times New Roman" w:eastAsia="宋体" w:cs="Times New Roman"/>
                      <w:color w:val="000000" w:themeColor="text1"/>
                      <w:spacing w:val="3"/>
                      <w:szCs w:val="21"/>
                      <w:highlight w:val="none"/>
                      <w14:textFill>
                        <w14:solidFill>
                          <w14:schemeClr w14:val="tx1"/>
                        </w14:solidFill>
                      </w14:textFill>
                    </w:rPr>
                  </w:pPr>
                </w:p>
              </w:tc>
            </w:tr>
            <w:tr w14:paraId="36D55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vMerge w:val="continue"/>
                  <w:tcBorders>
                    <w:top w:val="nil"/>
                    <w:bottom w:val="nil"/>
                  </w:tcBorders>
                  <w:vAlign w:val="center"/>
                </w:tcPr>
                <w:p w14:paraId="1ABA7D58">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75" w:type="pct"/>
                  <w:vMerge w:val="continue"/>
                  <w:tcBorders>
                    <w:top w:val="nil"/>
                    <w:bottom w:val="nil"/>
                  </w:tcBorders>
                  <w:vAlign w:val="center"/>
                </w:tcPr>
                <w:p w14:paraId="7030AD2C">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42" w:type="pct"/>
                  <w:vAlign w:val="center"/>
                </w:tcPr>
                <w:p w14:paraId="7EE72F4E">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24小时平均</w:t>
                  </w:r>
                </w:p>
              </w:tc>
              <w:tc>
                <w:tcPr>
                  <w:tcW w:w="733" w:type="pct"/>
                  <w:vAlign w:val="center"/>
                </w:tcPr>
                <w:p w14:paraId="21FA444E">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2"/>
                      <w:szCs w:val="21"/>
                      <w:highlight w:val="none"/>
                      <w14:textFill>
                        <w14:solidFill>
                          <w14:schemeClr w14:val="tx1"/>
                        </w14:solidFill>
                      </w14:textFill>
                    </w:rPr>
                    <w:t>80</w:t>
                  </w:r>
                </w:p>
              </w:tc>
              <w:tc>
                <w:tcPr>
                  <w:tcW w:w="749" w:type="pct"/>
                  <w:vMerge w:val="continue"/>
                  <w:vAlign w:val="center"/>
                </w:tcPr>
                <w:p w14:paraId="06FEDACF">
                  <w:pPr>
                    <w:jc w:val="center"/>
                    <w:rPr>
                      <w:rFonts w:hint="default" w:ascii="Times New Roman" w:hAnsi="Times New Roman" w:eastAsia="宋体" w:cs="Times New Roman"/>
                      <w:color w:val="000000" w:themeColor="text1"/>
                      <w:spacing w:val="-2"/>
                      <w:szCs w:val="21"/>
                      <w:highlight w:val="none"/>
                      <w14:textFill>
                        <w14:solidFill>
                          <w14:schemeClr w14:val="tx1"/>
                        </w14:solidFill>
                      </w14:textFill>
                    </w:rPr>
                  </w:pPr>
                </w:p>
              </w:tc>
              <w:tc>
                <w:tcPr>
                  <w:tcW w:w="838" w:type="pct"/>
                  <w:vMerge w:val="continue"/>
                </w:tcPr>
                <w:p w14:paraId="5842ED1C">
                  <w:pPr>
                    <w:rPr>
                      <w:rFonts w:hint="default" w:ascii="Times New Roman" w:hAnsi="Times New Roman" w:eastAsia="宋体" w:cs="Times New Roman"/>
                      <w:color w:val="000000" w:themeColor="text1"/>
                      <w:spacing w:val="-2"/>
                      <w:szCs w:val="21"/>
                      <w:highlight w:val="none"/>
                      <w14:textFill>
                        <w14:solidFill>
                          <w14:schemeClr w14:val="tx1"/>
                        </w14:solidFill>
                      </w14:textFill>
                    </w:rPr>
                  </w:pPr>
                </w:p>
              </w:tc>
            </w:tr>
            <w:tr w14:paraId="24041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vMerge w:val="continue"/>
                  <w:tcBorders>
                    <w:top w:val="nil"/>
                    <w:bottom w:val="nil"/>
                  </w:tcBorders>
                  <w:vAlign w:val="center"/>
                </w:tcPr>
                <w:p w14:paraId="091F1F8B">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75" w:type="pct"/>
                  <w:vMerge w:val="continue"/>
                  <w:tcBorders>
                    <w:top w:val="nil"/>
                  </w:tcBorders>
                  <w:vAlign w:val="center"/>
                </w:tcPr>
                <w:p w14:paraId="531AA52B">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42" w:type="pct"/>
                  <w:vAlign w:val="center"/>
                </w:tcPr>
                <w:p w14:paraId="53A956AE">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1小时平均</w:t>
                  </w:r>
                </w:p>
              </w:tc>
              <w:tc>
                <w:tcPr>
                  <w:tcW w:w="733" w:type="pct"/>
                  <w:vAlign w:val="center"/>
                </w:tcPr>
                <w:p w14:paraId="34BAE544">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3"/>
                      <w:szCs w:val="21"/>
                      <w:highlight w:val="none"/>
                      <w14:textFill>
                        <w14:solidFill>
                          <w14:schemeClr w14:val="tx1"/>
                        </w14:solidFill>
                      </w14:textFill>
                    </w:rPr>
                    <w:t>200</w:t>
                  </w:r>
                </w:p>
              </w:tc>
              <w:tc>
                <w:tcPr>
                  <w:tcW w:w="749" w:type="pct"/>
                  <w:vMerge w:val="continue"/>
                  <w:vAlign w:val="center"/>
                </w:tcPr>
                <w:p w14:paraId="4F2FE932">
                  <w:pPr>
                    <w:jc w:val="center"/>
                    <w:rPr>
                      <w:rFonts w:hint="default" w:ascii="Times New Roman" w:hAnsi="Times New Roman" w:eastAsia="宋体" w:cs="Times New Roman"/>
                      <w:color w:val="000000" w:themeColor="text1"/>
                      <w:spacing w:val="3"/>
                      <w:szCs w:val="21"/>
                      <w:highlight w:val="none"/>
                      <w14:textFill>
                        <w14:solidFill>
                          <w14:schemeClr w14:val="tx1"/>
                        </w14:solidFill>
                      </w14:textFill>
                    </w:rPr>
                  </w:pPr>
                </w:p>
              </w:tc>
              <w:tc>
                <w:tcPr>
                  <w:tcW w:w="838" w:type="pct"/>
                  <w:vMerge w:val="continue"/>
                </w:tcPr>
                <w:p w14:paraId="0AF830C1">
                  <w:pPr>
                    <w:rPr>
                      <w:rFonts w:hint="default" w:ascii="Times New Roman" w:hAnsi="Times New Roman" w:eastAsia="宋体" w:cs="Times New Roman"/>
                      <w:color w:val="000000" w:themeColor="text1"/>
                      <w:spacing w:val="3"/>
                      <w:szCs w:val="21"/>
                      <w:highlight w:val="none"/>
                      <w14:textFill>
                        <w14:solidFill>
                          <w14:schemeClr w14:val="tx1"/>
                        </w14:solidFill>
                      </w14:textFill>
                    </w:rPr>
                  </w:pPr>
                </w:p>
              </w:tc>
            </w:tr>
            <w:tr w14:paraId="34EEE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vMerge w:val="continue"/>
                  <w:tcBorders>
                    <w:top w:val="nil"/>
                    <w:bottom w:val="nil"/>
                  </w:tcBorders>
                  <w:vAlign w:val="center"/>
                </w:tcPr>
                <w:p w14:paraId="2D651004">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75" w:type="pct"/>
                  <w:vMerge w:val="restart"/>
                  <w:tcBorders>
                    <w:bottom w:val="nil"/>
                  </w:tcBorders>
                  <w:vAlign w:val="center"/>
                </w:tcPr>
                <w:p w14:paraId="63433CE5">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O</w:t>
                  </w:r>
                  <w:r>
                    <w:rPr>
                      <w:rFonts w:hint="default" w:ascii="Times New Roman" w:hAnsi="Times New Roman" w:eastAsia="宋体" w:cs="Times New Roman"/>
                      <w:color w:val="000000" w:themeColor="text1"/>
                      <w:spacing w:val="1"/>
                      <w:position w:val="-1"/>
                      <w:szCs w:val="21"/>
                      <w:highlight w:val="none"/>
                      <w:vertAlign w:val="subscript"/>
                      <w14:textFill>
                        <w14:solidFill>
                          <w14:schemeClr w14:val="tx1"/>
                        </w14:solidFill>
                      </w14:textFill>
                    </w:rPr>
                    <w:t>3</w:t>
                  </w:r>
                </w:p>
              </w:tc>
              <w:tc>
                <w:tcPr>
                  <w:tcW w:w="1242" w:type="pct"/>
                  <w:vAlign w:val="center"/>
                </w:tcPr>
                <w:p w14:paraId="3422D5DD">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日最大8小时平均</w:t>
                  </w:r>
                </w:p>
              </w:tc>
              <w:tc>
                <w:tcPr>
                  <w:tcW w:w="733" w:type="pct"/>
                  <w:vAlign w:val="center"/>
                </w:tcPr>
                <w:p w14:paraId="408CB9F2">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3"/>
                      <w:szCs w:val="21"/>
                      <w:highlight w:val="none"/>
                      <w14:textFill>
                        <w14:solidFill>
                          <w14:schemeClr w14:val="tx1"/>
                        </w14:solidFill>
                      </w14:textFill>
                    </w:rPr>
                    <w:t>160</w:t>
                  </w:r>
                </w:p>
              </w:tc>
              <w:tc>
                <w:tcPr>
                  <w:tcW w:w="749" w:type="pct"/>
                  <w:vMerge w:val="continue"/>
                  <w:vAlign w:val="center"/>
                </w:tcPr>
                <w:p w14:paraId="02C3D022">
                  <w:pPr>
                    <w:jc w:val="center"/>
                    <w:rPr>
                      <w:rFonts w:hint="default" w:ascii="Times New Roman" w:hAnsi="Times New Roman" w:eastAsia="宋体" w:cs="Times New Roman"/>
                      <w:color w:val="000000" w:themeColor="text1"/>
                      <w:spacing w:val="-3"/>
                      <w:szCs w:val="21"/>
                      <w:highlight w:val="none"/>
                      <w14:textFill>
                        <w14:solidFill>
                          <w14:schemeClr w14:val="tx1"/>
                        </w14:solidFill>
                      </w14:textFill>
                    </w:rPr>
                  </w:pPr>
                </w:p>
              </w:tc>
              <w:tc>
                <w:tcPr>
                  <w:tcW w:w="838" w:type="pct"/>
                  <w:vMerge w:val="continue"/>
                </w:tcPr>
                <w:p w14:paraId="29EB2EEC">
                  <w:pPr>
                    <w:rPr>
                      <w:rFonts w:hint="default" w:ascii="Times New Roman" w:hAnsi="Times New Roman" w:eastAsia="宋体" w:cs="Times New Roman"/>
                      <w:color w:val="000000" w:themeColor="text1"/>
                      <w:spacing w:val="-3"/>
                      <w:szCs w:val="21"/>
                      <w:highlight w:val="none"/>
                      <w14:textFill>
                        <w14:solidFill>
                          <w14:schemeClr w14:val="tx1"/>
                        </w14:solidFill>
                      </w14:textFill>
                    </w:rPr>
                  </w:pPr>
                </w:p>
              </w:tc>
            </w:tr>
            <w:tr w14:paraId="59569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vMerge w:val="continue"/>
                  <w:tcBorders>
                    <w:top w:val="nil"/>
                    <w:bottom w:val="nil"/>
                  </w:tcBorders>
                  <w:vAlign w:val="center"/>
                </w:tcPr>
                <w:p w14:paraId="2FACE4C1">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75" w:type="pct"/>
                  <w:vMerge w:val="continue"/>
                  <w:tcBorders>
                    <w:top w:val="nil"/>
                  </w:tcBorders>
                  <w:vAlign w:val="center"/>
                </w:tcPr>
                <w:p w14:paraId="63F51A61">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42" w:type="pct"/>
                  <w:vAlign w:val="center"/>
                </w:tcPr>
                <w:p w14:paraId="7A35F206">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1小时平均</w:t>
                  </w:r>
                </w:p>
              </w:tc>
              <w:tc>
                <w:tcPr>
                  <w:tcW w:w="733" w:type="pct"/>
                  <w:vAlign w:val="center"/>
                </w:tcPr>
                <w:p w14:paraId="28F513F2">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3"/>
                      <w:szCs w:val="21"/>
                      <w:highlight w:val="none"/>
                      <w14:textFill>
                        <w14:solidFill>
                          <w14:schemeClr w14:val="tx1"/>
                        </w14:solidFill>
                      </w14:textFill>
                    </w:rPr>
                    <w:t>200</w:t>
                  </w:r>
                </w:p>
              </w:tc>
              <w:tc>
                <w:tcPr>
                  <w:tcW w:w="749" w:type="pct"/>
                  <w:vMerge w:val="continue"/>
                  <w:vAlign w:val="center"/>
                </w:tcPr>
                <w:p w14:paraId="57AB8B40">
                  <w:pPr>
                    <w:jc w:val="center"/>
                    <w:rPr>
                      <w:rFonts w:hint="default" w:ascii="Times New Roman" w:hAnsi="Times New Roman" w:eastAsia="宋体" w:cs="Times New Roman"/>
                      <w:color w:val="000000" w:themeColor="text1"/>
                      <w:spacing w:val="3"/>
                      <w:szCs w:val="21"/>
                      <w:highlight w:val="none"/>
                      <w14:textFill>
                        <w14:solidFill>
                          <w14:schemeClr w14:val="tx1"/>
                        </w14:solidFill>
                      </w14:textFill>
                    </w:rPr>
                  </w:pPr>
                </w:p>
              </w:tc>
              <w:tc>
                <w:tcPr>
                  <w:tcW w:w="838" w:type="pct"/>
                  <w:vMerge w:val="continue"/>
                </w:tcPr>
                <w:p w14:paraId="1BF082ED">
                  <w:pPr>
                    <w:rPr>
                      <w:rFonts w:hint="default" w:ascii="Times New Roman" w:hAnsi="Times New Roman" w:eastAsia="宋体" w:cs="Times New Roman"/>
                      <w:color w:val="000000" w:themeColor="text1"/>
                      <w:spacing w:val="3"/>
                      <w:szCs w:val="21"/>
                      <w:highlight w:val="none"/>
                      <w14:textFill>
                        <w14:solidFill>
                          <w14:schemeClr w14:val="tx1"/>
                        </w14:solidFill>
                      </w14:textFill>
                    </w:rPr>
                  </w:pPr>
                </w:p>
              </w:tc>
            </w:tr>
            <w:tr w14:paraId="1D286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vMerge w:val="continue"/>
                  <w:tcBorders>
                    <w:top w:val="nil"/>
                    <w:bottom w:val="nil"/>
                  </w:tcBorders>
                  <w:vAlign w:val="center"/>
                </w:tcPr>
                <w:p w14:paraId="18F0A64A">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75" w:type="pct"/>
                  <w:vMerge w:val="restart"/>
                  <w:tcBorders>
                    <w:bottom w:val="nil"/>
                  </w:tcBorders>
                  <w:vAlign w:val="center"/>
                </w:tcPr>
                <w:p w14:paraId="259B3C47">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3"/>
                      <w:szCs w:val="21"/>
                      <w:highlight w:val="none"/>
                      <w14:textFill>
                        <w14:solidFill>
                          <w14:schemeClr w14:val="tx1"/>
                        </w14:solidFill>
                      </w14:textFill>
                    </w:rPr>
                    <w:t>TSP</w:t>
                  </w:r>
                </w:p>
              </w:tc>
              <w:tc>
                <w:tcPr>
                  <w:tcW w:w="1242" w:type="pct"/>
                  <w:vAlign w:val="center"/>
                </w:tcPr>
                <w:p w14:paraId="14574CC6">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年平均</w:t>
                  </w:r>
                </w:p>
              </w:tc>
              <w:tc>
                <w:tcPr>
                  <w:tcW w:w="733" w:type="pct"/>
                  <w:vAlign w:val="center"/>
                </w:tcPr>
                <w:p w14:paraId="2B7AC376">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3"/>
                      <w:szCs w:val="21"/>
                      <w:highlight w:val="none"/>
                      <w14:textFill>
                        <w14:solidFill>
                          <w14:schemeClr w14:val="tx1"/>
                        </w14:solidFill>
                      </w14:textFill>
                    </w:rPr>
                    <w:t>200</w:t>
                  </w:r>
                </w:p>
              </w:tc>
              <w:tc>
                <w:tcPr>
                  <w:tcW w:w="749" w:type="pct"/>
                  <w:vMerge w:val="continue"/>
                  <w:vAlign w:val="center"/>
                </w:tcPr>
                <w:p w14:paraId="34D65258">
                  <w:pPr>
                    <w:jc w:val="center"/>
                    <w:rPr>
                      <w:rFonts w:hint="default" w:ascii="Times New Roman" w:hAnsi="Times New Roman" w:eastAsia="宋体" w:cs="Times New Roman"/>
                      <w:color w:val="000000" w:themeColor="text1"/>
                      <w:spacing w:val="3"/>
                      <w:szCs w:val="21"/>
                      <w:highlight w:val="none"/>
                      <w14:textFill>
                        <w14:solidFill>
                          <w14:schemeClr w14:val="tx1"/>
                        </w14:solidFill>
                      </w14:textFill>
                    </w:rPr>
                  </w:pPr>
                </w:p>
              </w:tc>
              <w:tc>
                <w:tcPr>
                  <w:tcW w:w="838" w:type="pct"/>
                  <w:vMerge w:val="continue"/>
                </w:tcPr>
                <w:p w14:paraId="2749B861">
                  <w:pPr>
                    <w:rPr>
                      <w:rFonts w:hint="default" w:ascii="Times New Roman" w:hAnsi="Times New Roman" w:eastAsia="宋体" w:cs="Times New Roman"/>
                      <w:color w:val="000000" w:themeColor="text1"/>
                      <w:spacing w:val="3"/>
                      <w:szCs w:val="21"/>
                      <w:highlight w:val="none"/>
                      <w14:textFill>
                        <w14:solidFill>
                          <w14:schemeClr w14:val="tx1"/>
                        </w14:solidFill>
                      </w14:textFill>
                    </w:rPr>
                  </w:pPr>
                </w:p>
              </w:tc>
            </w:tr>
            <w:tr w14:paraId="73B10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vMerge w:val="continue"/>
                  <w:tcBorders>
                    <w:top w:val="nil"/>
                    <w:bottom w:val="nil"/>
                  </w:tcBorders>
                  <w:vAlign w:val="center"/>
                </w:tcPr>
                <w:p w14:paraId="2B4DBA9C">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75" w:type="pct"/>
                  <w:vMerge w:val="continue"/>
                  <w:tcBorders>
                    <w:top w:val="nil"/>
                  </w:tcBorders>
                  <w:vAlign w:val="center"/>
                </w:tcPr>
                <w:p w14:paraId="280F2189">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42" w:type="pct"/>
                  <w:vAlign w:val="center"/>
                </w:tcPr>
                <w:p w14:paraId="66C5ADA0">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24小时平均</w:t>
                  </w:r>
                </w:p>
              </w:tc>
              <w:tc>
                <w:tcPr>
                  <w:tcW w:w="733" w:type="pct"/>
                  <w:vAlign w:val="center"/>
                </w:tcPr>
                <w:p w14:paraId="108DDD71">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2"/>
                      <w:szCs w:val="21"/>
                      <w:highlight w:val="none"/>
                      <w14:textFill>
                        <w14:solidFill>
                          <w14:schemeClr w14:val="tx1"/>
                        </w14:solidFill>
                      </w14:textFill>
                    </w:rPr>
                    <w:t>300</w:t>
                  </w:r>
                </w:p>
              </w:tc>
              <w:tc>
                <w:tcPr>
                  <w:tcW w:w="749" w:type="pct"/>
                  <w:vMerge w:val="continue"/>
                  <w:vAlign w:val="center"/>
                </w:tcPr>
                <w:p w14:paraId="3CD258A4">
                  <w:pPr>
                    <w:jc w:val="center"/>
                    <w:rPr>
                      <w:rFonts w:hint="default" w:ascii="Times New Roman" w:hAnsi="Times New Roman" w:eastAsia="宋体" w:cs="Times New Roman"/>
                      <w:color w:val="000000" w:themeColor="text1"/>
                      <w:spacing w:val="2"/>
                      <w:szCs w:val="21"/>
                      <w:highlight w:val="none"/>
                      <w14:textFill>
                        <w14:solidFill>
                          <w14:schemeClr w14:val="tx1"/>
                        </w14:solidFill>
                      </w14:textFill>
                    </w:rPr>
                  </w:pPr>
                </w:p>
              </w:tc>
              <w:tc>
                <w:tcPr>
                  <w:tcW w:w="838" w:type="pct"/>
                  <w:vMerge w:val="continue"/>
                </w:tcPr>
                <w:p w14:paraId="413CC668">
                  <w:pPr>
                    <w:rPr>
                      <w:rFonts w:hint="default" w:ascii="Times New Roman" w:hAnsi="Times New Roman" w:eastAsia="宋体" w:cs="Times New Roman"/>
                      <w:color w:val="000000" w:themeColor="text1"/>
                      <w:spacing w:val="2"/>
                      <w:szCs w:val="21"/>
                      <w:highlight w:val="none"/>
                      <w14:textFill>
                        <w14:solidFill>
                          <w14:schemeClr w14:val="tx1"/>
                        </w14:solidFill>
                      </w14:textFill>
                    </w:rPr>
                  </w:pPr>
                </w:p>
              </w:tc>
            </w:tr>
            <w:tr w14:paraId="39A31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vMerge w:val="continue"/>
                  <w:tcBorders>
                    <w:top w:val="nil"/>
                    <w:bottom w:val="nil"/>
                  </w:tcBorders>
                  <w:vAlign w:val="center"/>
                </w:tcPr>
                <w:p w14:paraId="0A4D88C3">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75" w:type="pct"/>
                  <w:vMerge w:val="restart"/>
                  <w:tcBorders>
                    <w:bottom w:val="nil"/>
                  </w:tcBorders>
                  <w:vAlign w:val="center"/>
                </w:tcPr>
                <w:p w14:paraId="54BE05DB">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2"/>
                      <w:szCs w:val="21"/>
                      <w:highlight w:val="none"/>
                      <w14:textFill>
                        <w14:solidFill>
                          <w14:schemeClr w14:val="tx1"/>
                        </w14:solidFill>
                      </w14:textFill>
                    </w:rPr>
                    <w:t>CO</w:t>
                  </w:r>
                </w:p>
              </w:tc>
              <w:tc>
                <w:tcPr>
                  <w:tcW w:w="1242" w:type="pct"/>
                  <w:vAlign w:val="center"/>
                </w:tcPr>
                <w:p w14:paraId="668A891A">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24小时平均</w:t>
                  </w:r>
                </w:p>
              </w:tc>
              <w:tc>
                <w:tcPr>
                  <w:tcW w:w="733" w:type="pct"/>
                  <w:vAlign w:val="center"/>
                </w:tcPr>
                <w:p w14:paraId="1B8B2C20">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1"/>
                      <w:szCs w:val="21"/>
                      <w:highlight w:val="none"/>
                      <w14:textFill>
                        <w14:solidFill>
                          <w14:schemeClr w14:val="tx1"/>
                        </w14:solidFill>
                      </w14:textFill>
                    </w:rPr>
                    <w:t>4</w:t>
                  </w:r>
                </w:p>
              </w:tc>
              <w:tc>
                <w:tcPr>
                  <w:tcW w:w="749" w:type="pct"/>
                  <w:vMerge w:val="restart"/>
                  <w:vAlign w:val="center"/>
                </w:tcPr>
                <w:p w14:paraId="169CAABC">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mg</w:t>
                  </w:r>
                  <w:r>
                    <w:rPr>
                      <w:rFonts w:hint="default" w:ascii="Times New Roman" w:hAnsi="Times New Roman" w:eastAsia="宋体" w:cs="Times New Roman"/>
                      <w:color w:val="000000" w:themeColor="text1"/>
                      <w:spacing w:val="8"/>
                      <w:szCs w:val="21"/>
                      <w:highlight w:val="none"/>
                      <w14:textFill>
                        <w14:solidFill>
                          <w14:schemeClr w14:val="tx1"/>
                        </w14:solidFill>
                      </w14:textFill>
                    </w:rPr>
                    <w:t>/m</w:t>
                  </w:r>
                  <w:r>
                    <w:rPr>
                      <w:rFonts w:hint="eastAsia" w:cs="Times New Roman"/>
                      <w:color w:val="000000" w:themeColor="text1"/>
                      <w:spacing w:val="2"/>
                      <w:szCs w:val="21"/>
                      <w:highlight w:val="none"/>
                      <w:vertAlign w:val="superscript"/>
                      <w:lang w:val="en-US" w:eastAsia="zh-CN"/>
                      <w14:textFill>
                        <w14:solidFill>
                          <w14:schemeClr w14:val="tx1"/>
                        </w14:solidFill>
                      </w14:textFill>
                    </w:rPr>
                    <w:t>3</w:t>
                  </w:r>
                </w:p>
              </w:tc>
              <w:tc>
                <w:tcPr>
                  <w:tcW w:w="838" w:type="pct"/>
                  <w:vMerge w:val="continue"/>
                </w:tcPr>
                <w:p w14:paraId="5A495F99">
                  <w:pPr>
                    <w:rPr>
                      <w:rFonts w:hint="default" w:ascii="Times New Roman" w:hAnsi="Times New Roman" w:eastAsia="宋体" w:cs="Times New Roman"/>
                      <w:color w:val="000000" w:themeColor="text1"/>
                      <w:spacing w:val="1"/>
                      <w:szCs w:val="21"/>
                      <w:highlight w:val="none"/>
                      <w14:textFill>
                        <w14:solidFill>
                          <w14:schemeClr w14:val="tx1"/>
                        </w14:solidFill>
                      </w14:textFill>
                    </w:rPr>
                  </w:pPr>
                </w:p>
              </w:tc>
            </w:tr>
            <w:tr w14:paraId="6F19D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861" w:type="pct"/>
                  <w:vMerge w:val="continue"/>
                  <w:tcBorders>
                    <w:top w:val="nil"/>
                    <w:bottom w:val="single" w:color="000000" w:sz="6" w:space="0"/>
                  </w:tcBorders>
                  <w:vAlign w:val="center"/>
                </w:tcPr>
                <w:p w14:paraId="1500FBE8">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75" w:type="pct"/>
                  <w:vMerge w:val="continue"/>
                  <w:tcBorders>
                    <w:top w:val="nil"/>
                    <w:bottom w:val="single" w:color="000000" w:sz="6" w:space="0"/>
                  </w:tcBorders>
                  <w:vAlign w:val="center"/>
                </w:tcPr>
                <w:p w14:paraId="3745295A">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42" w:type="pct"/>
                  <w:tcBorders>
                    <w:bottom w:val="single" w:color="000000" w:sz="6" w:space="0"/>
                  </w:tcBorders>
                  <w:vAlign w:val="center"/>
                </w:tcPr>
                <w:p w14:paraId="1E650DA8">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1小时平均</w:t>
                  </w:r>
                </w:p>
              </w:tc>
              <w:tc>
                <w:tcPr>
                  <w:tcW w:w="733" w:type="pct"/>
                  <w:tcBorders>
                    <w:bottom w:val="single" w:color="000000" w:sz="6" w:space="0"/>
                  </w:tcBorders>
                  <w:vAlign w:val="center"/>
                </w:tcPr>
                <w:p w14:paraId="079EDF7B">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10</w:t>
                  </w:r>
                </w:p>
              </w:tc>
              <w:tc>
                <w:tcPr>
                  <w:tcW w:w="749" w:type="pct"/>
                  <w:vMerge w:val="continue"/>
                  <w:tcBorders>
                    <w:bottom w:val="single" w:color="000000" w:sz="6" w:space="0"/>
                  </w:tcBorders>
                </w:tcPr>
                <w:p w14:paraId="0392787F">
                  <w:pPr>
                    <w:rPr>
                      <w:rFonts w:hint="default" w:ascii="Times New Roman" w:hAnsi="Times New Roman" w:eastAsia="宋体" w:cs="Times New Roman"/>
                      <w:color w:val="000000" w:themeColor="text1"/>
                      <w:spacing w:val="-8"/>
                      <w:szCs w:val="21"/>
                      <w:highlight w:val="none"/>
                      <w14:textFill>
                        <w14:solidFill>
                          <w14:schemeClr w14:val="tx1"/>
                        </w14:solidFill>
                      </w14:textFill>
                    </w:rPr>
                  </w:pPr>
                </w:p>
              </w:tc>
              <w:tc>
                <w:tcPr>
                  <w:tcW w:w="838" w:type="pct"/>
                  <w:vMerge w:val="continue"/>
                  <w:tcBorders>
                    <w:bottom w:val="single" w:color="000000" w:sz="6" w:space="0"/>
                  </w:tcBorders>
                </w:tcPr>
                <w:p w14:paraId="53AEA258">
                  <w:pPr>
                    <w:rPr>
                      <w:rFonts w:hint="default" w:ascii="Times New Roman" w:hAnsi="Times New Roman" w:eastAsia="宋体" w:cs="Times New Roman"/>
                      <w:color w:val="000000" w:themeColor="text1"/>
                      <w:spacing w:val="-8"/>
                      <w:szCs w:val="21"/>
                      <w:highlight w:val="none"/>
                      <w14:textFill>
                        <w14:solidFill>
                          <w14:schemeClr w14:val="tx1"/>
                        </w14:solidFill>
                      </w14:textFill>
                    </w:rPr>
                  </w:pPr>
                </w:p>
              </w:tc>
            </w:tr>
          </w:tbl>
          <w:p w14:paraId="07BEEF89">
            <w:pPr>
              <w:pStyle w:val="55"/>
              <w:spacing w:line="360" w:lineRule="auto"/>
              <w:ind w:firstLine="458"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spacing w:val="-6"/>
                <w:highlight w:val="none"/>
                <w14:textFill>
                  <w14:solidFill>
                    <w14:schemeClr w14:val="tx1"/>
                  </w14:solidFill>
                </w14:textFill>
              </w:rPr>
              <w:t>（3）声环境</w:t>
            </w:r>
          </w:p>
          <w:p w14:paraId="3F954700">
            <w:pPr>
              <w:pStyle w:val="55"/>
              <w:spacing w:line="360" w:lineRule="auto"/>
              <w:ind w:firstLine="496"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本项目声环境质量执行《声环境质量标准》（</w:t>
            </w:r>
            <w:r>
              <w:rPr>
                <w:rFonts w:hint="default" w:ascii="Times New Roman" w:hAnsi="Times New Roman" w:eastAsia="宋体" w:cs="Times New Roman"/>
                <w:color w:val="000000" w:themeColor="text1"/>
                <w:highlight w:val="none"/>
                <w:lang w:eastAsia="zh-CN"/>
                <w14:textFill>
                  <w14:solidFill>
                    <w14:schemeClr w14:val="tx1"/>
                  </w14:solidFill>
                </w14:textFill>
              </w:rPr>
              <w:t>GB</w:t>
            </w: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3096-2008）中1类标准</w:t>
            </w:r>
            <w:r>
              <w:rPr>
                <w:rFonts w:hint="default" w:ascii="Times New Roman" w:hAnsi="Times New Roman" w:eastAsia="宋体" w:cs="Times New Roman"/>
                <w:color w:val="000000" w:themeColor="text1"/>
                <w:spacing w:val="-3"/>
                <w:highlight w:val="none"/>
                <w:lang w:eastAsia="zh-CN"/>
                <w14:textFill>
                  <w14:solidFill>
                    <w14:schemeClr w14:val="tx1"/>
                  </w14:solidFill>
                </w14:textFill>
              </w:rPr>
              <w:t>。</w:t>
            </w:r>
          </w:p>
          <w:p w14:paraId="38DB85F4">
            <w:pPr>
              <w:pStyle w:val="55"/>
              <w:spacing w:line="360" w:lineRule="auto"/>
              <w:ind w:firstLine="472"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具体标准限值见表3-</w:t>
            </w:r>
            <w:r>
              <w:rPr>
                <w:rFonts w:hint="eastAsia" w:ascii="Times New Roman" w:hAnsi="Times New Roman" w:cs="Times New Roman"/>
                <w:color w:val="000000" w:themeColor="text1"/>
                <w:spacing w:val="-2"/>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p w14:paraId="51EB9591">
            <w:pPr>
              <w:adjustRightInd w:val="0"/>
              <w:snapToGrid w:val="0"/>
              <w:jc w:val="center"/>
              <w:rPr>
                <w:rFonts w:hint="default" w:ascii="Times New Roman" w:hAnsi="Times New Roman" w:eastAsia="宋体" w:cs="Times New Roman"/>
                <w:b/>
                <w:bCs/>
                <w:color w:val="000000" w:themeColor="text1"/>
                <w:spacing w:val="-2"/>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
                <w:szCs w:val="21"/>
                <w:highlight w:val="none"/>
                <w14:textFill>
                  <w14:solidFill>
                    <w14:schemeClr w14:val="tx1"/>
                  </w14:solidFill>
                </w14:textFill>
              </w:rPr>
              <w:t>表3-</w:t>
            </w:r>
            <w:r>
              <w:rPr>
                <w:rFonts w:hint="eastAsia" w:cs="Times New Roman"/>
                <w:b/>
                <w:bCs/>
                <w:color w:val="000000" w:themeColor="text1"/>
                <w:spacing w:val="-1"/>
                <w:szCs w:val="21"/>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pacing w:val="-1"/>
                <w:szCs w:val="21"/>
                <w:highlight w:val="none"/>
                <w14:textFill>
                  <w14:solidFill>
                    <w14:schemeClr w14:val="tx1"/>
                  </w14:solidFill>
                </w14:textFill>
              </w:rPr>
              <w:t>《声环境质量标准》（GB3096-2</w:t>
            </w:r>
            <w:r>
              <w:rPr>
                <w:rFonts w:hint="default" w:ascii="Times New Roman" w:hAnsi="Times New Roman" w:eastAsia="宋体" w:cs="Times New Roman"/>
                <w:b/>
                <w:bCs/>
                <w:color w:val="000000" w:themeColor="text1"/>
                <w:spacing w:val="-2"/>
                <w:szCs w:val="21"/>
                <w:highlight w:val="none"/>
                <w14:textFill>
                  <w14:solidFill>
                    <w14:schemeClr w14:val="tx1"/>
                  </w14:solidFill>
                </w14:textFill>
              </w:rPr>
              <w:t>008）</w:t>
            </w:r>
          </w:p>
          <w:tbl>
            <w:tblPr>
              <w:tblStyle w:val="30"/>
              <w:tblW w:w="74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09"/>
              <w:gridCol w:w="1490"/>
              <w:gridCol w:w="1698"/>
              <w:gridCol w:w="3279"/>
            </w:tblGrid>
            <w:tr w14:paraId="4DCD4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3" w:hRule="atLeast"/>
              </w:trPr>
              <w:tc>
                <w:tcPr>
                  <w:tcW w:w="1009" w:type="dxa"/>
                  <w:vMerge w:val="restart"/>
                  <w:tcBorders>
                    <w:top w:val="single" w:color="000000" w:sz="6" w:space="0"/>
                    <w:bottom w:val="nil"/>
                  </w:tcBorders>
                  <w:vAlign w:val="center"/>
                </w:tcPr>
                <w:p w14:paraId="5EB9D98F">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7"/>
                      <w:sz w:val="21"/>
                      <w:szCs w:val="21"/>
                      <w:highlight w:val="none"/>
                      <w14:textFill>
                        <w14:solidFill>
                          <w14:schemeClr w14:val="tx1"/>
                        </w14:solidFill>
                      </w14:textFill>
                    </w:rPr>
                    <w:t>环境要素</w:t>
                  </w:r>
                </w:p>
              </w:tc>
              <w:tc>
                <w:tcPr>
                  <w:tcW w:w="3188" w:type="dxa"/>
                  <w:gridSpan w:val="2"/>
                  <w:tcBorders>
                    <w:top w:val="single" w:color="000000" w:sz="6" w:space="0"/>
                  </w:tcBorders>
                  <w:vAlign w:val="center"/>
                </w:tcPr>
                <w:p w14:paraId="017A6EF8">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7"/>
                      <w:sz w:val="21"/>
                      <w:szCs w:val="21"/>
                      <w:highlight w:val="none"/>
                      <w14:textFill>
                        <w14:solidFill>
                          <w14:schemeClr w14:val="tx1"/>
                        </w14:solidFill>
                      </w14:textFill>
                    </w:rPr>
                    <w:t>标准限值</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dB</w:t>
                  </w:r>
                  <w:r>
                    <w:rPr>
                      <w:rFonts w:hint="default" w:ascii="Times New Roman" w:hAnsi="Times New Roman" w:eastAsia="宋体" w:cs="Times New Roman"/>
                      <w:b/>
                      <w:bCs/>
                      <w:color w:val="000000" w:themeColor="text1"/>
                      <w:spacing w:val="7"/>
                      <w:sz w:val="21"/>
                      <w:szCs w:val="21"/>
                      <w:highlight w:val="none"/>
                      <w14:textFill>
                        <w14:solidFill>
                          <w14:schemeClr w14:val="tx1"/>
                        </w14:solidFill>
                      </w14:textFill>
                    </w:rPr>
                    <w:t>（A）</w:t>
                  </w:r>
                </w:p>
              </w:tc>
              <w:tc>
                <w:tcPr>
                  <w:tcW w:w="3279" w:type="dxa"/>
                  <w:vMerge w:val="restart"/>
                  <w:tcBorders>
                    <w:top w:val="single" w:color="000000" w:sz="6" w:space="0"/>
                    <w:bottom w:val="nil"/>
                    <w:right w:val="single" w:color="000000" w:sz="6" w:space="0"/>
                  </w:tcBorders>
                  <w:vAlign w:val="center"/>
                </w:tcPr>
                <w:p w14:paraId="40B5C283">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7"/>
                      <w:sz w:val="21"/>
                      <w:szCs w:val="21"/>
                      <w:highlight w:val="none"/>
                      <w14:textFill>
                        <w14:solidFill>
                          <w14:schemeClr w14:val="tx1"/>
                        </w14:solidFill>
                      </w14:textFill>
                    </w:rPr>
                    <w:t>标准来源</w:t>
                  </w:r>
                </w:p>
              </w:tc>
            </w:tr>
            <w:tr w14:paraId="011D5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009" w:type="dxa"/>
                  <w:vMerge w:val="continue"/>
                  <w:tcBorders>
                    <w:top w:val="nil"/>
                  </w:tcBorders>
                  <w:vAlign w:val="center"/>
                </w:tcPr>
                <w:p w14:paraId="4824A562">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90" w:type="dxa"/>
                  <w:vAlign w:val="center"/>
                </w:tcPr>
                <w:p w14:paraId="29D3F1DB">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5"/>
                      <w:sz w:val="21"/>
                      <w:szCs w:val="21"/>
                      <w:highlight w:val="none"/>
                      <w14:textFill>
                        <w14:solidFill>
                          <w14:schemeClr w14:val="tx1"/>
                        </w14:solidFill>
                      </w14:textFill>
                    </w:rPr>
                    <w:t>昼间</w:t>
                  </w:r>
                </w:p>
              </w:tc>
              <w:tc>
                <w:tcPr>
                  <w:tcW w:w="1698" w:type="dxa"/>
                  <w:vAlign w:val="center"/>
                </w:tcPr>
                <w:p w14:paraId="09A0E11A">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3"/>
                      <w:sz w:val="21"/>
                      <w:szCs w:val="21"/>
                      <w:highlight w:val="none"/>
                      <w14:textFill>
                        <w14:solidFill>
                          <w14:schemeClr w14:val="tx1"/>
                        </w14:solidFill>
                      </w14:textFill>
                    </w:rPr>
                    <w:t>夜间</w:t>
                  </w:r>
                </w:p>
              </w:tc>
              <w:tc>
                <w:tcPr>
                  <w:tcW w:w="3279" w:type="dxa"/>
                  <w:vMerge w:val="continue"/>
                  <w:tcBorders>
                    <w:top w:val="nil"/>
                    <w:right w:val="single" w:color="000000" w:sz="6" w:space="0"/>
                  </w:tcBorders>
                  <w:vAlign w:val="center"/>
                </w:tcPr>
                <w:p w14:paraId="015FB087">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34A08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1009" w:type="dxa"/>
                  <w:tcBorders>
                    <w:bottom w:val="single" w:color="000000" w:sz="6" w:space="0"/>
                  </w:tcBorders>
                  <w:vAlign w:val="center"/>
                </w:tcPr>
                <w:p w14:paraId="5232A867">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声环境</w:t>
                  </w:r>
                </w:p>
              </w:tc>
              <w:tc>
                <w:tcPr>
                  <w:tcW w:w="1490" w:type="dxa"/>
                  <w:tcBorders>
                    <w:bottom w:val="single" w:color="000000" w:sz="6" w:space="0"/>
                  </w:tcBorders>
                  <w:vAlign w:val="center"/>
                </w:tcPr>
                <w:p w14:paraId="50B0F63F">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55</w:t>
                  </w:r>
                </w:p>
              </w:tc>
              <w:tc>
                <w:tcPr>
                  <w:tcW w:w="1698" w:type="dxa"/>
                  <w:tcBorders>
                    <w:bottom w:val="single" w:color="000000" w:sz="6" w:space="0"/>
                  </w:tcBorders>
                  <w:vAlign w:val="center"/>
                </w:tcPr>
                <w:p w14:paraId="27626846">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3"/>
                      <w:szCs w:val="21"/>
                      <w:highlight w:val="none"/>
                      <w14:textFill>
                        <w14:solidFill>
                          <w14:schemeClr w14:val="tx1"/>
                        </w14:solidFill>
                      </w14:textFill>
                    </w:rPr>
                    <w:t>45</w:t>
                  </w:r>
                </w:p>
              </w:tc>
              <w:tc>
                <w:tcPr>
                  <w:tcW w:w="3279" w:type="dxa"/>
                  <w:tcBorders>
                    <w:bottom w:val="single" w:color="000000" w:sz="6" w:space="0"/>
                    <w:right w:val="single" w:color="000000" w:sz="6" w:space="0"/>
                  </w:tcBorders>
                  <w:vAlign w:val="center"/>
                </w:tcPr>
                <w:p w14:paraId="44DDB172">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lang w:eastAsia="zh-CN"/>
                      <w14:textFill>
                        <w14:solidFill>
                          <w14:schemeClr w14:val="tx1"/>
                        </w14:solidFill>
                      </w14:textFill>
                    </w:rPr>
                    <w:t>《声环境质量标准》（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GB</w:t>
                  </w:r>
                  <w:r>
                    <w:rPr>
                      <w:rFonts w:hint="default" w:ascii="Times New Roman" w:hAnsi="Times New Roman" w:eastAsia="宋体" w:cs="Times New Roman"/>
                      <w:color w:val="000000" w:themeColor="text1"/>
                      <w:spacing w:val="3"/>
                      <w:sz w:val="21"/>
                      <w:szCs w:val="21"/>
                      <w:highlight w:val="none"/>
                      <w:lang w:eastAsia="zh-CN"/>
                      <w14:textFill>
                        <w14:solidFill>
                          <w14:schemeClr w14:val="tx1"/>
                        </w14:solidFill>
                      </w14:textFill>
                    </w:rPr>
                    <w:t>3096-2008）中1类标准</w:t>
                  </w:r>
                </w:p>
              </w:tc>
            </w:tr>
          </w:tbl>
          <w:p w14:paraId="0A7133BF">
            <w:pPr>
              <w:adjustRightInd w:val="0"/>
              <w:snapToGrid w:val="0"/>
              <w:spacing w:line="360" w:lineRule="auto"/>
              <w:ind w:firstLine="462" w:firstLineChars="200"/>
              <w:rPr>
                <w:rFonts w:hint="default" w:ascii="Times New Roman" w:hAnsi="Times New Roman" w:eastAsia="宋体" w:cs="Times New Roman"/>
                <w:b/>
                <w:bCs/>
                <w:color w:val="000000" w:themeColor="text1"/>
                <w:spacing w:val="-5"/>
                <w:sz w:val="24"/>
                <w:highlight w:val="none"/>
                <w14:textFill>
                  <w14:solidFill>
                    <w14:schemeClr w14:val="tx1"/>
                  </w14:solidFill>
                </w14:textFill>
              </w:rPr>
            </w:pPr>
            <w:r>
              <w:rPr>
                <w:rFonts w:hint="default" w:ascii="Times New Roman" w:hAnsi="Times New Roman" w:eastAsia="宋体" w:cs="Times New Roman"/>
                <w:b/>
                <w:bCs/>
                <w:color w:val="000000" w:themeColor="text1"/>
                <w:spacing w:val="-5"/>
                <w:sz w:val="24"/>
                <w:highlight w:val="none"/>
                <w14:textFill>
                  <w14:solidFill>
                    <w14:schemeClr w14:val="tx1"/>
                  </w14:solidFill>
                </w14:textFill>
              </w:rPr>
              <w:t>2、污染物排放标准</w:t>
            </w:r>
          </w:p>
          <w:p w14:paraId="3AB84FA0">
            <w:pPr>
              <w:pStyle w:val="55"/>
              <w:spacing w:line="360" w:lineRule="auto"/>
              <w:ind w:firstLine="466"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4"/>
                <w:highlight w:val="none"/>
                <w:lang w:eastAsia="zh-CN"/>
                <w14:textFill>
                  <w14:solidFill>
                    <w14:schemeClr w14:val="tx1"/>
                  </w14:solidFill>
                </w14:textFill>
              </w:rPr>
              <w:t>（1）大气污染物排放标准</w:t>
            </w:r>
          </w:p>
          <w:p w14:paraId="5BBDFCA4">
            <w:pPr>
              <w:pStyle w:val="55"/>
              <w:spacing w:line="360" w:lineRule="auto"/>
              <w:ind w:firstLine="476"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highlight w:val="none"/>
                <w:lang w:eastAsia="zh-CN"/>
                <w14:textFill>
                  <w14:solidFill>
                    <w14:schemeClr w14:val="tx1"/>
                  </w14:solidFill>
                </w14:textFill>
              </w:rPr>
              <w:t>本项目施工期颗粒物排放执</w:t>
            </w: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行《大气污染物综合排放标准》（GB16297-1996）表2</w:t>
            </w:r>
            <w:r>
              <w:rPr>
                <w:rFonts w:hint="default" w:ascii="Times New Roman" w:hAnsi="Times New Roman" w:eastAsia="宋体" w:cs="Times New Roman"/>
                <w:color w:val="000000" w:themeColor="text1"/>
                <w:spacing w:val="-3"/>
                <w:highlight w:val="none"/>
                <w:lang w:eastAsia="zh-CN"/>
                <w14:textFill>
                  <w14:solidFill>
                    <w14:schemeClr w14:val="tx1"/>
                  </w14:solidFill>
                </w14:textFill>
              </w:rPr>
              <w:t>中无组织排放监</w:t>
            </w: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控浓度限值。</w:t>
            </w:r>
          </w:p>
          <w:p w14:paraId="50281F04">
            <w:pPr>
              <w:pStyle w:val="55"/>
              <w:spacing w:line="360" w:lineRule="auto"/>
              <w:ind w:firstLine="472"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具体标准限值见表3-</w:t>
            </w:r>
            <w:r>
              <w:rPr>
                <w:rFonts w:hint="eastAsia" w:ascii="Times New Roman" w:hAnsi="Times New Roman" w:cs="Times New Roman"/>
                <w:color w:val="000000" w:themeColor="text1"/>
                <w:spacing w:val="-2"/>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p w14:paraId="41E3B5F0">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lang w:eastAsia="zh-CN"/>
                <w14:textFill>
                  <w14:solidFill>
                    <w14:schemeClr w14:val="tx1"/>
                  </w14:solidFill>
                </w14:textFill>
              </w:rPr>
              <w:t>表3-</w:t>
            </w:r>
            <w:r>
              <w:rPr>
                <w:rFonts w:hint="eastAsia" w:ascii="Times New Roman" w:hAnsi="Times New Roman" w:cs="Times New Roman"/>
                <w:b/>
                <w:bCs/>
                <w:color w:val="000000" w:themeColor="text1"/>
                <w:spacing w:val="-2"/>
                <w:sz w:val="21"/>
                <w:szCs w:val="21"/>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pacing w:val="-2"/>
                <w:sz w:val="21"/>
                <w:szCs w:val="21"/>
                <w:highlight w:val="none"/>
                <w:lang w:eastAsia="zh-CN"/>
                <w14:textFill>
                  <w14:solidFill>
                    <w14:schemeClr w14:val="tx1"/>
                  </w14:solidFill>
                </w14:textFill>
              </w:rPr>
              <w:t xml:space="preserve"> 大气污染物综合排放标准</w:t>
            </w:r>
          </w:p>
          <w:tbl>
            <w:tblPr>
              <w:tblStyle w:val="30"/>
              <w:tblW w:w="4998" w:type="pct"/>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Layout w:type="autofit"/>
              <w:tblCellMar>
                <w:top w:w="0" w:type="dxa"/>
                <w:left w:w="0" w:type="dxa"/>
                <w:bottom w:w="0" w:type="dxa"/>
                <w:right w:w="0" w:type="dxa"/>
              </w:tblCellMar>
            </w:tblPr>
            <w:tblGrid>
              <w:gridCol w:w="1282"/>
              <w:gridCol w:w="3114"/>
              <w:gridCol w:w="3099"/>
            </w:tblGrid>
            <w:tr w14:paraId="6D6C0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367" w:hRule="atLeast"/>
              </w:trPr>
              <w:tc>
                <w:tcPr>
                  <w:tcW w:w="855" w:type="pct"/>
                  <w:vMerge w:val="restart"/>
                  <w:tcBorders>
                    <w:tl2br w:val="nil"/>
                    <w:tr2bl w:val="nil"/>
                  </w:tcBorders>
                  <w:vAlign w:val="center"/>
                </w:tcPr>
                <w:p w14:paraId="3ACC28C8">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 w:val="21"/>
                      <w:szCs w:val="21"/>
                      <w:highlight w:val="none"/>
                      <w14:textFill>
                        <w14:solidFill>
                          <w14:schemeClr w14:val="tx1"/>
                        </w14:solidFill>
                      </w14:textFill>
                    </w:rPr>
                    <w:t>污染物</w:t>
                  </w:r>
                </w:p>
              </w:tc>
              <w:tc>
                <w:tcPr>
                  <w:tcW w:w="4144" w:type="pct"/>
                  <w:gridSpan w:val="2"/>
                  <w:tcBorders>
                    <w:tl2br w:val="nil"/>
                    <w:tr2bl w:val="nil"/>
                  </w:tcBorders>
                  <w:vAlign w:val="center"/>
                </w:tcPr>
                <w:p w14:paraId="2FF29FE9">
                  <w:pPr>
                    <w:pStyle w:val="55"/>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9"/>
                      <w:sz w:val="21"/>
                      <w:szCs w:val="21"/>
                      <w:highlight w:val="none"/>
                      <w:lang w:eastAsia="zh-CN"/>
                      <w14:textFill>
                        <w14:solidFill>
                          <w14:schemeClr w14:val="tx1"/>
                        </w14:solidFill>
                      </w14:textFill>
                    </w:rPr>
                    <w:t>无组织排放监控浓度限值污染物</w:t>
                  </w:r>
                </w:p>
              </w:tc>
            </w:tr>
            <w:tr w14:paraId="6C8B3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362" w:hRule="atLeast"/>
              </w:trPr>
              <w:tc>
                <w:tcPr>
                  <w:tcW w:w="855" w:type="pct"/>
                  <w:vMerge w:val="continue"/>
                  <w:tcBorders>
                    <w:tl2br w:val="nil"/>
                    <w:tr2bl w:val="nil"/>
                  </w:tcBorders>
                  <w:vAlign w:val="center"/>
                </w:tcPr>
                <w:p w14:paraId="6D549075">
                  <w:pPr>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2077" w:type="pct"/>
                  <w:tcBorders>
                    <w:tl2br w:val="nil"/>
                    <w:tr2bl w:val="nil"/>
                  </w:tcBorders>
                  <w:vAlign w:val="center"/>
                </w:tcPr>
                <w:p w14:paraId="78ECF305">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 w:val="21"/>
                      <w:szCs w:val="21"/>
                      <w:highlight w:val="none"/>
                      <w14:textFill>
                        <w14:solidFill>
                          <w14:schemeClr w14:val="tx1"/>
                        </w14:solidFill>
                      </w14:textFill>
                    </w:rPr>
                    <w:t>监控点</w:t>
                  </w:r>
                </w:p>
              </w:tc>
              <w:tc>
                <w:tcPr>
                  <w:tcW w:w="2066" w:type="pct"/>
                  <w:tcBorders>
                    <w:tl2br w:val="nil"/>
                    <w:tr2bl w:val="nil"/>
                  </w:tcBorders>
                  <w:vAlign w:val="center"/>
                </w:tcPr>
                <w:p w14:paraId="53A06458">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14:textFill>
                        <w14:solidFill>
                          <w14:schemeClr w14:val="tx1"/>
                        </w14:solidFill>
                      </w14:textFill>
                    </w:rPr>
                    <w:t>浓度</w:t>
                  </w:r>
                </w:p>
              </w:tc>
            </w:tr>
            <w:tr w14:paraId="53D8E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367" w:hRule="atLeast"/>
              </w:trPr>
              <w:tc>
                <w:tcPr>
                  <w:tcW w:w="855" w:type="pct"/>
                  <w:tcBorders>
                    <w:tl2br w:val="nil"/>
                    <w:tr2bl w:val="nil"/>
                  </w:tcBorders>
                  <w:vAlign w:val="center"/>
                </w:tcPr>
                <w:p w14:paraId="01FE8555">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颗粒物</w:t>
                  </w:r>
                </w:p>
              </w:tc>
              <w:tc>
                <w:tcPr>
                  <w:tcW w:w="2077" w:type="pct"/>
                  <w:tcBorders>
                    <w:tl2br w:val="nil"/>
                    <w:tr2bl w:val="nil"/>
                  </w:tcBorders>
                  <w:vAlign w:val="center"/>
                </w:tcPr>
                <w:p w14:paraId="13D70D6E">
                  <w:pPr>
                    <w:pStyle w:val="5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周界外浓度最高点</w:t>
                  </w:r>
                </w:p>
              </w:tc>
              <w:tc>
                <w:tcPr>
                  <w:tcW w:w="2066" w:type="pct"/>
                  <w:tcBorders>
                    <w:tl2br w:val="nil"/>
                    <w:tr2bl w:val="nil"/>
                  </w:tcBorders>
                  <w:vAlign w:val="center"/>
                </w:tcPr>
                <w:p w14:paraId="05798C4A">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2"/>
                      <w:szCs w:val="21"/>
                      <w:highlight w:val="none"/>
                      <w14:textFill>
                        <w14:solidFill>
                          <w14:schemeClr w14:val="tx1"/>
                        </w14:solidFill>
                      </w14:textFill>
                    </w:rPr>
                    <w:t>1.0</w:t>
                  </w:r>
                  <w:r>
                    <w:rPr>
                      <w:rFonts w:hint="default" w:ascii="Times New Roman" w:hAnsi="Times New Roman" w:eastAsia="宋体" w:cs="Times New Roman"/>
                      <w:color w:val="000000" w:themeColor="text1"/>
                      <w:spacing w:val="-2"/>
                      <w:highlight w:val="none"/>
                      <w14:textFill>
                        <w14:solidFill>
                          <w14:schemeClr w14:val="tx1"/>
                        </w14:solidFill>
                      </w14:textFill>
                    </w:rPr>
                    <w:t xml:space="preserve"> mg/m</w:t>
                  </w:r>
                  <w:r>
                    <w:rPr>
                      <w:rFonts w:hint="default" w:ascii="Times New Roman" w:hAnsi="Times New Roman" w:eastAsia="宋体" w:cs="Times New Roman"/>
                      <w:color w:val="000000" w:themeColor="text1"/>
                      <w:spacing w:val="-2"/>
                      <w:highlight w:val="none"/>
                      <w:vertAlign w:val="superscript"/>
                      <w14:textFill>
                        <w14:solidFill>
                          <w14:schemeClr w14:val="tx1"/>
                        </w14:solidFill>
                      </w14:textFill>
                    </w:rPr>
                    <w:t>3</w:t>
                  </w:r>
                </w:p>
              </w:tc>
            </w:tr>
          </w:tbl>
          <w:p w14:paraId="45CAD634">
            <w:pPr>
              <w:pStyle w:val="55"/>
              <w:spacing w:line="360" w:lineRule="auto"/>
              <w:ind w:firstLine="462"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highlight w:val="none"/>
                <w:lang w:eastAsia="zh-CN"/>
                <w14:textFill>
                  <w14:solidFill>
                    <w14:schemeClr w14:val="tx1"/>
                  </w14:solidFill>
                </w14:textFill>
              </w:rPr>
              <w:t>（2）噪声排放标准</w:t>
            </w:r>
          </w:p>
          <w:p w14:paraId="37532E78">
            <w:pPr>
              <w:pStyle w:val="55"/>
              <w:spacing w:line="360" w:lineRule="auto"/>
              <w:ind w:firstLine="548"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7"/>
                <w:highlight w:val="none"/>
                <w:lang w:eastAsia="zh-CN"/>
                <w14:textFill>
                  <w14:solidFill>
                    <w14:schemeClr w14:val="tx1"/>
                  </w14:solidFill>
                </w14:textFill>
              </w:rPr>
              <w:t>施工期厂界噪声排放执行《建筑施工场界环境噪声排放标准》</w:t>
            </w: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（GB12523-2011</w:t>
            </w:r>
            <w:r>
              <w:rPr>
                <w:rFonts w:hint="default" w:ascii="Times New Roman" w:hAnsi="Times New Roman" w:eastAsia="宋体" w:cs="Times New Roman"/>
                <w:color w:val="000000" w:themeColor="text1"/>
                <w:spacing w:val="7"/>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具体标准见表3-</w:t>
            </w:r>
            <w:r>
              <w:rPr>
                <w:rFonts w:hint="eastAsia" w:ascii="Times New Roman" w:hAnsi="Times New Roman" w:cs="Times New Roman"/>
                <w:color w:val="000000" w:themeColor="text1"/>
                <w:spacing w:val="-2"/>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p w14:paraId="6D9DBA6C">
            <w:pPr>
              <w:pStyle w:val="55"/>
              <w:spacing w:line="36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lang w:eastAsia="zh-CN"/>
                <w14:textFill>
                  <w14:solidFill>
                    <w14:schemeClr w14:val="tx1"/>
                  </w14:solidFill>
                </w14:textFill>
              </w:rPr>
              <w:t>表3-</w:t>
            </w:r>
            <w:r>
              <w:rPr>
                <w:rFonts w:hint="eastAsia" w:ascii="Times New Roman" w:hAnsi="Times New Roman" w:cs="Times New Roman"/>
                <w:b/>
                <w:bCs/>
                <w:color w:val="000000" w:themeColor="text1"/>
                <w:spacing w:val="-2"/>
                <w:sz w:val="21"/>
                <w:szCs w:val="2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pacing w:val="-2"/>
                <w:sz w:val="21"/>
                <w:szCs w:val="21"/>
                <w:highlight w:val="none"/>
                <w:lang w:eastAsia="zh-CN"/>
                <w14:textFill>
                  <w14:solidFill>
                    <w14:schemeClr w14:val="tx1"/>
                  </w14:solidFill>
                </w14:textFill>
              </w:rPr>
              <w:t xml:space="preserve"> 建筑施工场界环境噪声排放标准</w:t>
            </w:r>
          </w:p>
          <w:tbl>
            <w:tblPr>
              <w:tblStyle w:val="30"/>
              <w:tblW w:w="4998" w:type="pct"/>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Layout w:type="autofit"/>
              <w:tblCellMar>
                <w:top w:w="0" w:type="dxa"/>
                <w:left w:w="0" w:type="dxa"/>
                <w:bottom w:w="0" w:type="dxa"/>
                <w:right w:w="0" w:type="dxa"/>
              </w:tblCellMar>
            </w:tblPr>
            <w:tblGrid>
              <w:gridCol w:w="2703"/>
              <w:gridCol w:w="1290"/>
              <w:gridCol w:w="1641"/>
              <w:gridCol w:w="1861"/>
            </w:tblGrid>
            <w:tr w14:paraId="7C728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365" w:hRule="atLeast"/>
              </w:trPr>
              <w:tc>
                <w:tcPr>
                  <w:tcW w:w="1803" w:type="pct"/>
                  <w:tcBorders>
                    <w:tl2br w:val="nil"/>
                    <w:tr2bl w:val="nil"/>
                  </w:tcBorders>
                  <w:vAlign w:val="center"/>
                </w:tcPr>
                <w:p w14:paraId="10D8A5B7">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7"/>
                      <w:sz w:val="21"/>
                      <w:szCs w:val="21"/>
                      <w:highlight w:val="none"/>
                      <w14:textFill>
                        <w14:solidFill>
                          <w14:schemeClr w14:val="tx1"/>
                        </w14:solidFill>
                      </w14:textFill>
                    </w:rPr>
                    <w:t>标准名称</w:t>
                  </w:r>
                </w:p>
              </w:tc>
              <w:tc>
                <w:tcPr>
                  <w:tcW w:w="860" w:type="pct"/>
                  <w:tcBorders>
                    <w:tl2br w:val="nil"/>
                    <w:tr2bl w:val="nil"/>
                  </w:tcBorders>
                  <w:vAlign w:val="center"/>
                </w:tcPr>
                <w:p w14:paraId="7CA8A4E4">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14:textFill>
                        <w14:solidFill>
                          <w14:schemeClr w14:val="tx1"/>
                        </w14:solidFill>
                      </w14:textFill>
                    </w:rPr>
                    <w:t>噪声类别</w:t>
                  </w:r>
                </w:p>
              </w:tc>
              <w:tc>
                <w:tcPr>
                  <w:tcW w:w="1094" w:type="pct"/>
                  <w:tcBorders>
                    <w:tl2br w:val="nil"/>
                    <w:tr2bl w:val="nil"/>
                  </w:tcBorders>
                  <w:vAlign w:val="center"/>
                </w:tcPr>
                <w:p w14:paraId="0BFF9B1A">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3"/>
                      <w:sz w:val="21"/>
                      <w:szCs w:val="21"/>
                      <w:highlight w:val="none"/>
                      <w14:textFill>
                        <w14:solidFill>
                          <w14:schemeClr w14:val="tx1"/>
                        </w14:solidFill>
                      </w14:textFill>
                    </w:rPr>
                    <w:t>时间段</w:t>
                  </w:r>
                </w:p>
              </w:tc>
              <w:tc>
                <w:tcPr>
                  <w:tcW w:w="1241" w:type="pct"/>
                  <w:tcBorders>
                    <w:tl2br w:val="nil"/>
                    <w:tr2bl w:val="nil"/>
                  </w:tcBorders>
                  <w:vAlign w:val="center"/>
                </w:tcPr>
                <w:p w14:paraId="06507CDD">
                  <w:pPr>
                    <w:pStyle w:val="5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 w:val="21"/>
                      <w:szCs w:val="21"/>
                      <w:highlight w:val="none"/>
                      <w14:textFill>
                        <w14:solidFill>
                          <w14:schemeClr w14:val="tx1"/>
                        </w14:solidFill>
                      </w14:textFill>
                    </w:rPr>
                    <w:t>标准值</w:t>
                  </w:r>
                </w:p>
              </w:tc>
            </w:tr>
            <w:tr w14:paraId="0B82D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360" w:hRule="atLeast"/>
              </w:trPr>
              <w:tc>
                <w:tcPr>
                  <w:tcW w:w="1803" w:type="pct"/>
                  <w:vMerge w:val="restart"/>
                  <w:tcBorders>
                    <w:tl2br w:val="nil"/>
                    <w:tr2bl w:val="nil"/>
                  </w:tcBorders>
                  <w:vAlign w:val="center"/>
                </w:tcPr>
                <w:p w14:paraId="778D126A">
                  <w:pPr>
                    <w:pStyle w:val="55"/>
                    <w:spacing w:line="36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lang w:eastAsia="zh-CN"/>
                      <w14:textFill>
                        <w14:solidFill>
                          <w14:schemeClr w14:val="tx1"/>
                        </w14:solidFill>
                      </w14:textFill>
                    </w:rPr>
                    <w:t>《建筑施工场界环境噪声</w:t>
                  </w: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排放标准》（GB12523-2011）</w:t>
                  </w:r>
                </w:p>
              </w:tc>
              <w:tc>
                <w:tcPr>
                  <w:tcW w:w="860" w:type="pct"/>
                  <w:vMerge w:val="restart"/>
                  <w:tcBorders>
                    <w:tl2br w:val="nil"/>
                    <w:tr2bl w:val="nil"/>
                  </w:tcBorders>
                  <w:vAlign w:val="center"/>
                </w:tcPr>
                <w:p w14:paraId="7134E1F8">
                  <w:pPr>
                    <w:pStyle w:val="55"/>
                    <w:spacing w:line="36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lang w:eastAsia="zh-CN"/>
                      <w14:textFill>
                        <w14:solidFill>
                          <w14:schemeClr w14:val="tx1"/>
                        </w14:solidFill>
                      </w14:textFill>
                    </w:rPr>
                    <w:t>运营期噪声</w:t>
                  </w:r>
                </w:p>
              </w:tc>
              <w:tc>
                <w:tcPr>
                  <w:tcW w:w="1094" w:type="pct"/>
                  <w:tcBorders>
                    <w:tl2br w:val="nil"/>
                    <w:tr2bl w:val="nil"/>
                  </w:tcBorders>
                  <w:vAlign w:val="center"/>
                </w:tcPr>
                <w:p w14:paraId="0C443AFB">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昼间</w:t>
                  </w:r>
                </w:p>
              </w:tc>
              <w:tc>
                <w:tcPr>
                  <w:tcW w:w="1241" w:type="pct"/>
                  <w:tcBorders>
                    <w:tl2br w:val="nil"/>
                    <w:tr2bl w:val="nil"/>
                  </w:tcBorders>
                  <w:vAlign w:val="center"/>
                </w:tcPr>
                <w:p w14:paraId="28C1126E">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70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dB</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（A）</w:t>
                  </w:r>
                </w:p>
              </w:tc>
            </w:tr>
            <w:tr w14:paraId="60EBA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374" w:hRule="atLeast"/>
              </w:trPr>
              <w:tc>
                <w:tcPr>
                  <w:tcW w:w="1803" w:type="pct"/>
                  <w:vMerge w:val="continue"/>
                  <w:tcBorders>
                    <w:tl2br w:val="nil"/>
                    <w:tr2bl w:val="nil"/>
                  </w:tcBorders>
                  <w:vAlign w:val="center"/>
                </w:tcPr>
                <w:p w14:paraId="3F25B184">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60" w:type="pct"/>
                  <w:vMerge w:val="continue"/>
                  <w:tcBorders>
                    <w:tl2br w:val="nil"/>
                    <w:tr2bl w:val="nil"/>
                  </w:tcBorders>
                  <w:vAlign w:val="center"/>
                </w:tcPr>
                <w:p w14:paraId="4329496B">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094" w:type="pct"/>
                  <w:tcBorders>
                    <w:tl2br w:val="nil"/>
                    <w:tr2bl w:val="nil"/>
                  </w:tcBorders>
                  <w:vAlign w:val="center"/>
                </w:tcPr>
                <w:p w14:paraId="3A32A8BA">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lang w:eastAsia="zh-CN"/>
                      <w14:textFill>
                        <w14:solidFill>
                          <w14:schemeClr w14:val="tx1"/>
                        </w14:solidFill>
                      </w14:textFill>
                    </w:rPr>
                    <w:t>夜间</w:t>
                  </w:r>
                </w:p>
              </w:tc>
              <w:tc>
                <w:tcPr>
                  <w:tcW w:w="1241" w:type="pct"/>
                  <w:tcBorders>
                    <w:tl2br w:val="nil"/>
                    <w:tr2bl w:val="nil"/>
                  </w:tcBorders>
                  <w:vAlign w:val="center"/>
                </w:tcPr>
                <w:p w14:paraId="08B03F8A">
                  <w:pPr>
                    <w:pStyle w:val="5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55</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dB</w:t>
                  </w: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（A）</w:t>
                  </w:r>
                </w:p>
              </w:tc>
            </w:tr>
          </w:tbl>
          <w:p w14:paraId="489A13DE">
            <w:pPr>
              <w:pStyle w:val="55"/>
              <w:spacing w:line="360" w:lineRule="auto"/>
              <w:ind w:firstLine="466"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4"/>
                <w:highlight w:val="none"/>
                <w:lang w:eastAsia="zh-CN"/>
                <w14:textFill>
                  <w14:solidFill>
                    <w14:schemeClr w14:val="tx1"/>
                  </w14:solidFill>
                </w14:textFill>
              </w:rPr>
              <w:t>（3）固体废物排放标准</w:t>
            </w:r>
          </w:p>
          <w:p w14:paraId="6CAD6126">
            <w:pPr>
              <w:adjustRightInd w:val="0"/>
              <w:snapToGrid w:val="0"/>
              <w:spacing w:line="360" w:lineRule="auto"/>
              <w:ind w:firstLine="480" w:firstLineChars="200"/>
              <w:rPr>
                <w:rFonts w:hint="default" w:ascii="Times New Roman" w:hAnsi="Times New Roman" w:eastAsia="宋体" w:cs="Times New Roman"/>
                <w:b/>
                <w:bCs/>
                <w:color w:val="000000" w:themeColor="text1"/>
                <w:spacing w:val="-5"/>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本项目一般固体废物参照执行《一般工业固体废物贮存和填埋污染</w:t>
            </w:r>
            <w:r>
              <w:rPr>
                <w:rFonts w:hint="default" w:ascii="Times New Roman" w:hAnsi="Times New Roman" w:eastAsia="宋体" w:cs="Times New Roman"/>
                <w:color w:val="000000" w:themeColor="text1"/>
                <w:spacing w:val="-1"/>
                <w:sz w:val="24"/>
                <w:highlight w:val="none"/>
                <w14:textFill>
                  <w14:solidFill>
                    <w14:schemeClr w14:val="tx1"/>
                  </w14:solidFill>
                </w14:textFill>
              </w:rPr>
              <w:t>控制标准》（GB18599-2020）。</w:t>
            </w:r>
          </w:p>
        </w:tc>
      </w:tr>
      <w:tr w14:paraId="3FA83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557" w:type="dxa"/>
            <w:vAlign w:val="center"/>
          </w:tcPr>
          <w:p w14:paraId="1D388814">
            <w:pPr>
              <w:adjustRightInd w:val="0"/>
              <w:snapToGrid w:val="0"/>
              <w:spacing w:line="360" w:lineRule="auto"/>
              <w:jc w:val="center"/>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其他</w:t>
            </w:r>
          </w:p>
        </w:tc>
        <w:tc>
          <w:tcPr>
            <w:tcW w:w="7729" w:type="dxa"/>
            <w:vAlign w:val="center"/>
          </w:tcPr>
          <w:p w14:paraId="36AF5F6B">
            <w:pPr>
              <w:adjustRightInd w:val="0"/>
              <w:snapToGrid w:val="0"/>
              <w:spacing w:line="360" w:lineRule="auto"/>
              <w:jc w:val="center"/>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无</w:t>
            </w:r>
          </w:p>
          <w:p w14:paraId="48F96A01">
            <w:pPr>
              <w:adjustRightInd w:val="0"/>
              <w:snapToGrid w:val="0"/>
              <w:spacing w:line="360" w:lineRule="auto"/>
              <w:rPr>
                <w:rFonts w:hint="default" w:ascii="Times New Roman" w:hAnsi="Times New Roman" w:eastAsia="宋体" w:cs="Times New Roman"/>
                <w:color w:val="000000" w:themeColor="text1"/>
                <w:kern w:val="0"/>
                <w:sz w:val="24"/>
                <w:highlight w:val="none"/>
                <w14:textFill>
                  <w14:solidFill>
                    <w14:schemeClr w14:val="tx1"/>
                  </w14:solidFill>
                </w14:textFill>
              </w:rPr>
            </w:pPr>
          </w:p>
        </w:tc>
      </w:tr>
    </w:tbl>
    <w:p w14:paraId="7B7B3B5D">
      <w:pPr>
        <w:pStyle w:val="26"/>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宋体" w:cs="Times New Roman"/>
          <w:snapToGrid w:val="0"/>
          <w:color w:val="000000" w:themeColor="text1"/>
          <w:kern w:val="2"/>
          <w:sz w:val="36"/>
          <w:szCs w:val="36"/>
          <w:highlight w:val="none"/>
          <w14:textFill>
            <w14:solidFill>
              <w14:schemeClr w14:val="tx1"/>
            </w14:solidFill>
          </w14:textFill>
        </w:rPr>
        <w:br w:type="page"/>
      </w:r>
      <w:r>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t>四、生态环境影响分析</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807"/>
      </w:tblGrid>
      <w:tr w14:paraId="12688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4" w:hRule="atLeast"/>
          <w:jc w:val="center"/>
        </w:trPr>
        <w:tc>
          <w:tcPr>
            <w:tcW w:w="376" w:type="pct"/>
            <w:tcMar>
              <w:left w:w="28" w:type="dxa"/>
              <w:right w:w="28" w:type="dxa"/>
            </w:tcMar>
            <w:vAlign w:val="center"/>
          </w:tcPr>
          <w:p w14:paraId="079BD520">
            <w:pPr>
              <w:pStyle w:val="26"/>
              <w:adjustRightInd w:val="0"/>
              <w:snapToGrid w:val="0"/>
              <w:spacing w:before="0" w:beforeAutospacing="0" w:after="0" w:afterAutospacing="0" w:line="360" w:lineRule="auto"/>
              <w:jc w:val="center"/>
              <w:rPr>
                <w:rFonts w:hint="default" w:ascii="Times New Roman" w:hAnsi="Times New Roman" w:eastAsia="宋体" w:cs="Times New Roman"/>
                <w:bCs/>
                <w:color w:val="000000" w:themeColor="text1"/>
                <w:kern w:val="2"/>
                <w:highlight w:val="none"/>
                <w14:textFill>
                  <w14:solidFill>
                    <w14:schemeClr w14:val="tx1"/>
                  </w14:solidFill>
                </w14:textFill>
              </w:rPr>
            </w:pPr>
            <w:bookmarkStart w:id="2" w:name="_Hlk49796138"/>
            <w:r>
              <w:rPr>
                <w:rFonts w:hint="default" w:ascii="Times New Roman" w:hAnsi="Times New Roman" w:eastAsia="宋体" w:cs="Times New Roman"/>
                <w:bCs/>
                <w:color w:val="000000" w:themeColor="text1"/>
                <w:spacing w:val="10"/>
                <w:kern w:val="2"/>
                <w:highlight w:val="none"/>
                <w14:textFill>
                  <w14:solidFill>
                    <w14:schemeClr w14:val="tx1"/>
                  </w14:solidFill>
                </w14:textFill>
              </w:rPr>
              <w:t>施工期生态环境影响分析</w:t>
            </w:r>
            <w:bookmarkEnd w:id="2"/>
          </w:p>
        </w:tc>
        <w:tc>
          <w:tcPr>
            <w:tcW w:w="4624" w:type="pct"/>
          </w:tcPr>
          <w:p w14:paraId="78F83684">
            <w:pPr>
              <w:spacing w:line="360" w:lineRule="auto"/>
              <w:ind w:firstLine="474"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pacing w:val="-2"/>
                <w:sz w:val="24"/>
                <w:highlight w:val="none"/>
                <w14:textFill>
                  <w14:solidFill>
                    <w14:schemeClr w14:val="tx1"/>
                  </w14:solidFill>
                </w14:textFill>
              </w:rPr>
              <w:t>1.生态环境影响分析</w:t>
            </w:r>
          </w:p>
          <w:p w14:paraId="41CE1893">
            <w:pPr>
              <w:spacing w:line="360" w:lineRule="auto"/>
              <w:ind w:firstLine="476"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highlight w:val="none"/>
                <w14:textFill>
                  <w14:solidFill>
                    <w14:schemeClr w14:val="tx1"/>
                  </w14:solidFill>
                </w14:textFill>
              </w:rPr>
              <w:t>施工期生态环境影响分析见</w:t>
            </w:r>
            <w:r>
              <w:rPr>
                <w:rFonts w:hint="eastAsia" w:cs="Times New Roman"/>
                <w:color w:val="000000" w:themeColor="text1"/>
                <w:spacing w:val="-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4"/>
                <w:highlight w:val="none"/>
                <w14:textFill>
                  <w14:solidFill>
                    <w14:schemeClr w14:val="tx1"/>
                  </w14:solidFill>
                </w14:textFill>
              </w:rPr>
              <w:t>生态专项评价</w:t>
            </w:r>
            <w:r>
              <w:rPr>
                <w:rFonts w:hint="eastAsia" w:cs="Times New Roman"/>
                <w:color w:val="000000" w:themeColor="text1"/>
                <w:spacing w:val="-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4"/>
                <w:highlight w:val="none"/>
                <w14:textFill>
                  <w14:solidFill>
                    <w14:schemeClr w14:val="tx1"/>
                  </w14:solidFill>
                </w14:textFill>
              </w:rPr>
              <w:t>。</w:t>
            </w:r>
          </w:p>
          <w:p w14:paraId="1A5C8C64">
            <w:pPr>
              <w:spacing w:line="360" w:lineRule="auto"/>
              <w:ind w:firstLine="434"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pacing w:val="-12"/>
                <w:sz w:val="24"/>
                <w:highlight w:val="none"/>
                <w14:textFill>
                  <w14:solidFill>
                    <w14:schemeClr w14:val="tx1"/>
                  </w14:solidFill>
                </w14:textFill>
              </w:rPr>
              <w:t>2.环境空气影响分析</w:t>
            </w:r>
          </w:p>
          <w:p w14:paraId="5CF2F5F8">
            <w:pPr>
              <w:spacing w:line="360" w:lineRule="auto"/>
              <w:ind w:firstLine="508" w:firstLineChars="200"/>
              <w:rPr>
                <w:rFonts w:hint="default" w:ascii="Times New Roman" w:hAnsi="Times New Roman" w:eastAsia="宋体" w:cs="Times New Roman"/>
                <w:color w:val="000000" w:themeColor="text1"/>
                <w:spacing w:val="7"/>
                <w:sz w:val="24"/>
                <w:highlight w:val="none"/>
                <w14:textFill>
                  <w14:solidFill>
                    <w14:schemeClr w14:val="tx1"/>
                  </w14:solidFill>
                </w14:textFill>
              </w:rPr>
            </w:pPr>
            <w:r>
              <w:rPr>
                <w:rFonts w:hint="default" w:ascii="Times New Roman" w:hAnsi="Times New Roman" w:eastAsia="宋体" w:cs="Times New Roman"/>
                <w:color w:val="000000" w:themeColor="text1"/>
                <w:spacing w:val="7"/>
                <w:sz w:val="24"/>
                <w:highlight w:val="none"/>
                <w14:textFill>
                  <w14:solidFill>
                    <w14:schemeClr w14:val="tx1"/>
                  </w14:solidFill>
                </w14:textFill>
              </w:rPr>
              <w:t>施工期环境空气污染源主要为以下几个方面：①施工未完工路面、</w:t>
            </w:r>
            <w:r>
              <w:rPr>
                <w:rFonts w:hint="default" w:ascii="Times New Roman" w:hAnsi="Times New Roman" w:eastAsia="宋体" w:cs="Times New Roman"/>
                <w:color w:val="000000" w:themeColor="text1"/>
                <w:spacing w:val="6"/>
                <w:sz w:val="24"/>
                <w:highlight w:val="none"/>
                <w14:textFill>
                  <w14:solidFill>
                    <w14:schemeClr w14:val="tx1"/>
                  </w14:solidFill>
                </w14:textFill>
              </w:rPr>
              <w:t>进出</w:t>
            </w:r>
            <w:r>
              <w:rPr>
                <w:rFonts w:hint="default" w:ascii="Times New Roman" w:hAnsi="Times New Roman" w:eastAsia="宋体" w:cs="Times New Roman"/>
                <w:color w:val="000000" w:themeColor="text1"/>
                <w:spacing w:val="14"/>
                <w:sz w:val="24"/>
                <w:highlight w:val="none"/>
                <w14:textFill>
                  <w14:solidFill>
                    <w14:schemeClr w14:val="tx1"/>
                  </w14:solidFill>
                </w14:textFill>
              </w:rPr>
              <w:t>工地等被风吹或施工作业扰动如路基土方挖、运、倒、碾压产生的扬尘污</w:t>
            </w:r>
            <w:r>
              <w:rPr>
                <w:rFonts w:hint="default" w:ascii="Times New Roman" w:hAnsi="Times New Roman" w:eastAsia="宋体" w:cs="Times New Roman"/>
                <w:color w:val="000000" w:themeColor="text1"/>
                <w:spacing w:val="7"/>
                <w:sz w:val="24"/>
                <w:highlight w:val="none"/>
                <w14:textFill>
                  <w14:solidFill>
                    <w14:schemeClr w14:val="tx1"/>
                  </w14:solidFill>
                </w14:textFill>
              </w:rPr>
              <w:t>染；②粉状物料运输产生的扬尘污染；③</w:t>
            </w:r>
            <w:r>
              <w:rPr>
                <w:rFonts w:hint="eastAsia" w:cs="Times New Roman"/>
                <w:color w:val="000000" w:themeColor="text1"/>
                <w:spacing w:val="7"/>
                <w:sz w:val="24"/>
                <w:highlight w:val="none"/>
                <w:lang w:val="en-US" w:eastAsia="zh-CN"/>
                <w14:textFill>
                  <w14:solidFill>
                    <w14:schemeClr w14:val="tx1"/>
                  </w14:solidFill>
                </w14:textFill>
              </w:rPr>
              <w:t>拌合站粉尘</w:t>
            </w:r>
            <w:r>
              <w:rPr>
                <w:rFonts w:hint="default" w:ascii="Times New Roman" w:hAnsi="Times New Roman" w:eastAsia="宋体" w:cs="Times New Roman"/>
                <w:color w:val="000000" w:themeColor="text1"/>
                <w:spacing w:val="6"/>
                <w:sz w:val="24"/>
                <w:highlight w:val="none"/>
                <w14:textFill>
                  <w14:solidFill>
                    <w14:schemeClr w14:val="tx1"/>
                  </w14:solidFill>
                </w14:textFill>
              </w:rPr>
              <w:t>；</w:t>
            </w:r>
            <w:r>
              <w:rPr>
                <w:rFonts w:hint="default" w:ascii="Times New Roman" w:hAnsi="Times New Roman" w:eastAsia="宋体" w:cs="Times New Roman"/>
                <w:color w:val="000000" w:themeColor="text1"/>
                <w:spacing w:val="6"/>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pacing w:val="6"/>
                <w:sz w:val="24"/>
                <w:highlight w:val="none"/>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spacing w:val="6"/>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④</w:t>
            </w:r>
            <w:r>
              <w:rPr>
                <w:rFonts w:hint="default" w:ascii="Times New Roman" w:hAnsi="Times New Roman" w:eastAsia="宋体" w:cs="Times New Roman"/>
                <w:color w:val="000000" w:themeColor="text1"/>
                <w:spacing w:val="6"/>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pacing w:val="6"/>
                <w:sz w:val="24"/>
                <w:highlight w:val="none"/>
                <w14:textFill>
                  <w14:solidFill>
                    <w14:schemeClr w14:val="tx1"/>
                  </w14:solidFill>
                </w14:textFill>
              </w:rPr>
              <w:t>汽车尾气</w:t>
            </w:r>
            <w:r>
              <w:rPr>
                <w:rFonts w:hint="default" w:ascii="Times New Roman" w:hAnsi="Times New Roman" w:eastAsia="宋体" w:cs="Times New Roman"/>
                <w:color w:val="000000" w:themeColor="text1"/>
                <w:spacing w:val="7"/>
                <w:sz w:val="24"/>
                <w:highlight w:val="none"/>
                <w14:textFill>
                  <w14:solidFill>
                    <w14:schemeClr w14:val="tx1"/>
                  </w14:solidFill>
                </w14:textFill>
              </w:rPr>
              <w:t>。</w:t>
            </w:r>
          </w:p>
          <w:p w14:paraId="3A667F0D">
            <w:pPr>
              <w:spacing w:line="360" w:lineRule="auto"/>
              <w:ind w:firstLine="474"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pacing w:val="-2"/>
                <w:sz w:val="24"/>
                <w:highlight w:val="none"/>
                <w14:textFill>
                  <w14:solidFill>
                    <w14:schemeClr w14:val="tx1"/>
                  </w14:solidFill>
                </w14:textFill>
              </w:rPr>
              <w:t>（1）施工扬尘</w:t>
            </w:r>
          </w:p>
          <w:p w14:paraId="4C4D512C">
            <w:pPr>
              <w:spacing w:line="360" w:lineRule="auto"/>
              <w:ind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①</w:t>
            </w:r>
            <w:r>
              <w:rPr>
                <w:rFonts w:hint="default" w:ascii="Times New Roman" w:hAnsi="Times New Roman" w:eastAsia="宋体" w:cs="Times New Roman"/>
                <w:b/>
                <w:bCs/>
                <w:color w:val="000000" w:themeColor="text1"/>
                <w:spacing w:val="-5"/>
                <w:sz w:val="24"/>
                <w:highlight w:val="none"/>
                <w14:textFill>
                  <w14:solidFill>
                    <w14:schemeClr w14:val="tx1"/>
                  </w14:solidFill>
                </w14:textFill>
              </w:rPr>
              <w:t>道路运输扬尘</w:t>
            </w:r>
          </w:p>
          <w:p w14:paraId="1759FC55">
            <w:pPr>
              <w:spacing w:line="360" w:lineRule="auto"/>
              <w:ind w:firstLine="54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pacing w:val="15"/>
                <w:sz w:val="24"/>
                <w:highlight w:val="none"/>
                <w14:textFill>
                  <w14:solidFill>
                    <w14:schemeClr w14:val="tx1"/>
                  </w14:solidFill>
                </w14:textFill>
              </w:rPr>
              <w:t>施工场地的土方挖掘、装卸和运输过程，建筑材料、水泥和砂子等装</w:t>
            </w:r>
            <w:r>
              <w:rPr>
                <w:rFonts w:hint="default" w:ascii="Times New Roman" w:hAnsi="Times New Roman" w:eastAsia="宋体" w:cs="Times New Roman"/>
                <w:color w:val="000000" w:themeColor="text1"/>
                <w:spacing w:val="7"/>
                <w:sz w:val="24"/>
                <w:highlight w:val="none"/>
                <w14:textFill>
                  <w14:solidFill>
                    <w14:schemeClr w14:val="tx1"/>
                  </w14:solidFill>
                </w14:textFill>
              </w:rPr>
              <w:t>卸、堆放，建筑物料的车辆运输以及施工垃圾的堆</w:t>
            </w:r>
            <w:r>
              <w:rPr>
                <w:rFonts w:hint="default" w:ascii="Times New Roman" w:hAnsi="Times New Roman" w:eastAsia="宋体" w:cs="Times New Roman"/>
                <w:color w:val="000000" w:themeColor="text1"/>
                <w:spacing w:val="6"/>
                <w:sz w:val="24"/>
                <w:highlight w:val="none"/>
                <w14:textFill>
                  <w14:solidFill>
                    <w14:schemeClr w14:val="tx1"/>
                  </w14:solidFill>
                </w14:textFill>
              </w:rPr>
              <w:t>放和清运过程等都会造成</w:t>
            </w:r>
            <w:r>
              <w:rPr>
                <w:rFonts w:hint="default" w:ascii="Times New Roman" w:hAnsi="Times New Roman" w:eastAsia="宋体" w:cs="Times New Roman"/>
                <w:color w:val="000000" w:themeColor="text1"/>
                <w:spacing w:val="7"/>
                <w:sz w:val="24"/>
                <w:highlight w:val="none"/>
                <w14:textFill>
                  <w14:solidFill>
                    <w14:schemeClr w14:val="tx1"/>
                  </w14:solidFill>
                </w14:textFill>
              </w:rPr>
              <w:t>扬尘；其中挖土、填方和车辆运输扬尘是对环境影</w:t>
            </w:r>
            <w:r>
              <w:rPr>
                <w:rFonts w:hint="default" w:ascii="Times New Roman" w:hAnsi="Times New Roman" w:eastAsia="宋体" w:cs="Times New Roman"/>
                <w:color w:val="000000" w:themeColor="text1"/>
                <w:spacing w:val="6"/>
                <w:sz w:val="24"/>
                <w:highlight w:val="none"/>
                <w14:textFill>
                  <w14:solidFill>
                    <w14:schemeClr w14:val="tx1"/>
                  </w14:solidFill>
                </w14:textFill>
              </w:rPr>
              <w:t>响的重要环节，而施工区</w:t>
            </w:r>
            <w:r>
              <w:rPr>
                <w:rFonts w:hint="default" w:ascii="Times New Roman" w:hAnsi="Times New Roman" w:eastAsia="宋体" w:cs="Times New Roman"/>
                <w:color w:val="000000" w:themeColor="text1"/>
                <w:spacing w:val="4"/>
                <w:sz w:val="24"/>
                <w:highlight w:val="none"/>
                <w14:textFill>
                  <w14:solidFill>
                    <w14:schemeClr w14:val="tx1"/>
                  </w14:solidFill>
                </w14:textFill>
              </w:rPr>
              <w:t>内车辆运输引起的道路扬尘约占场地扬尘总量的50%以上，特别</w:t>
            </w:r>
            <w:r>
              <w:rPr>
                <w:rFonts w:hint="default" w:ascii="Times New Roman" w:hAnsi="Times New Roman" w:eastAsia="宋体" w:cs="Times New Roman"/>
                <w:color w:val="000000" w:themeColor="text1"/>
                <w:spacing w:val="3"/>
                <w:sz w:val="24"/>
                <w:highlight w:val="none"/>
                <w14:textFill>
                  <w14:solidFill>
                    <w14:schemeClr w14:val="tx1"/>
                  </w14:solidFill>
                </w14:textFill>
              </w:rPr>
              <w:t>是灰土运输</w:t>
            </w:r>
            <w:r>
              <w:rPr>
                <w:rFonts w:hint="default" w:ascii="Times New Roman" w:hAnsi="Times New Roman" w:eastAsia="宋体" w:cs="Times New Roman"/>
                <w:color w:val="000000" w:themeColor="text1"/>
                <w:spacing w:val="7"/>
                <w:sz w:val="24"/>
                <w:highlight w:val="none"/>
                <w14:textFill>
                  <w14:solidFill>
                    <w14:schemeClr w14:val="tx1"/>
                  </w14:solidFill>
                </w14:textFill>
              </w:rPr>
              <w:t>车引起的道路扬尘对道路两侧的影响更为明显，交</w:t>
            </w:r>
            <w:r>
              <w:rPr>
                <w:rFonts w:hint="default" w:ascii="Times New Roman" w:hAnsi="Times New Roman" w:eastAsia="宋体" w:cs="Times New Roman"/>
                <w:color w:val="000000" w:themeColor="text1"/>
                <w:spacing w:val="6"/>
                <w:sz w:val="24"/>
                <w:highlight w:val="none"/>
                <w14:textFill>
                  <w14:solidFill>
                    <w14:schemeClr w14:val="tx1"/>
                  </w14:solidFill>
                </w14:textFill>
              </w:rPr>
              <w:t>通运</w:t>
            </w:r>
            <w:r>
              <w:rPr>
                <w:rFonts w:hint="default" w:ascii="Times New Roman" w:hAnsi="Times New Roman" w:eastAsia="宋体" w:cs="Times New Roman"/>
                <w:color w:val="000000" w:themeColor="text1"/>
                <w:spacing w:val="7"/>
                <w:sz w:val="24"/>
                <w:highlight w:val="none"/>
                <w14:textFill>
                  <w14:solidFill>
                    <w14:schemeClr w14:val="tx1"/>
                  </w14:solidFill>
                </w14:textFill>
              </w:rPr>
              <w:t>输部公路所对京津塘高速公路施工道路的监测结果表明，风速2m/s的情况，在道路边下风向50m处，TSP浓度大于10mg/m</w:t>
            </w:r>
            <w:r>
              <w:rPr>
                <w:rFonts w:hint="default" w:ascii="Times New Roman" w:hAnsi="Times New Roman" w:eastAsia="宋体" w:cs="Times New Roman"/>
                <w:color w:val="000000" w:themeColor="text1"/>
                <w:spacing w:val="7"/>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7"/>
                <w:sz w:val="24"/>
                <w:highlight w:val="none"/>
                <w14:textFill>
                  <w14:solidFill>
                    <w14:schemeClr w14:val="tx1"/>
                  </w14:solidFill>
                </w14:textFill>
              </w:rPr>
              <w:t>；距离路3边150m处TSP浓度大于5mg/m</w:t>
            </w:r>
            <w:r>
              <w:rPr>
                <w:rFonts w:hint="default" w:ascii="Times New Roman" w:hAnsi="Times New Roman" w:eastAsia="宋体" w:cs="Times New Roman"/>
                <w:color w:val="000000" w:themeColor="text1"/>
                <w:spacing w:val="7"/>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7"/>
                <w:sz w:val="24"/>
                <w:highlight w:val="none"/>
                <w14:textFill>
                  <w14:solidFill>
                    <w14:schemeClr w14:val="tx1"/>
                  </w14:solidFill>
                </w14:textFill>
              </w:rPr>
              <w:t>。为减少</w:t>
            </w:r>
            <w:r>
              <w:rPr>
                <w:rFonts w:hint="default" w:ascii="Times New Roman" w:hAnsi="Times New Roman" w:eastAsia="宋体" w:cs="Times New Roman"/>
                <w:color w:val="000000" w:themeColor="text1"/>
                <w:spacing w:val="-7"/>
                <w:sz w:val="24"/>
                <w:highlight w:val="none"/>
                <w14:textFill>
                  <w14:solidFill>
                    <w14:schemeClr w14:val="tx1"/>
                  </w14:solidFill>
                </w14:textFill>
              </w:rPr>
              <w:t>起</w:t>
            </w:r>
            <w:r>
              <w:rPr>
                <w:rFonts w:hint="default" w:ascii="Times New Roman" w:hAnsi="Times New Roman" w:eastAsia="宋体" w:cs="Times New Roman"/>
                <w:color w:val="000000" w:themeColor="text1"/>
                <w:spacing w:val="7"/>
                <w:sz w:val="24"/>
                <w:highlight w:val="none"/>
                <w14:textFill>
                  <w14:solidFill>
                    <w14:schemeClr w14:val="tx1"/>
                  </w14:solidFill>
                </w14:textFill>
              </w:rPr>
              <w:t>尘量，本报告要求建设单位和施工单位加强运输散</w:t>
            </w:r>
            <w:r>
              <w:rPr>
                <w:rFonts w:hint="default" w:ascii="Times New Roman" w:hAnsi="Times New Roman" w:eastAsia="宋体" w:cs="Times New Roman"/>
                <w:color w:val="000000" w:themeColor="text1"/>
                <w:spacing w:val="6"/>
                <w:sz w:val="24"/>
                <w:highlight w:val="none"/>
                <w14:textFill>
                  <w14:solidFill>
                    <w14:schemeClr w14:val="tx1"/>
                  </w14:solidFill>
                </w14:textFill>
              </w:rPr>
              <w:t>体物质车辆管理，对运输</w:t>
            </w:r>
            <w:r>
              <w:rPr>
                <w:rFonts w:hint="default" w:ascii="Times New Roman" w:hAnsi="Times New Roman" w:eastAsia="宋体" w:cs="Times New Roman"/>
                <w:color w:val="000000" w:themeColor="text1"/>
                <w:spacing w:val="-3"/>
                <w:sz w:val="24"/>
                <w:highlight w:val="none"/>
                <w14:textFill>
                  <w14:solidFill>
                    <w14:schemeClr w14:val="tx1"/>
                  </w14:solidFill>
                </w14:textFill>
              </w:rPr>
              <w:t>车辆采用加盖</w:t>
            </w:r>
            <w:r>
              <w:rPr>
                <w:rFonts w:hint="default" w:ascii="Times New Roman" w:hAnsi="Times New Roman" w:eastAsia="宋体" w:cs="Times New Roman"/>
                <w:color w:val="000000" w:themeColor="text1"/>
                <w:sz w:val="24"/>
                <w:highlight w:val="none"/>
                <w14:textFill>
                  <w14:solidFill>
                    <w14:schemeClr w14:val="tx1"/>
                  </w14:solidFill>
                </w14:textFill>
              </w:rPr>
              <w:t>篷布</w:t>
            </w:r>
            <w:r>
              <w:rPr>
                <w:rFonts w:hint="default" w:ascii="Times New Roman" w:hAnsi="Times New Roman" w:eastAsia="宋体" w:cs="Times New Roman"/>
                <w:color w:val="000000" w:themeColor="text1"/>
                <w:spacing w:val="-3"/>
                <w:sz w:val="24"/>
                <w:highlight w:val="none"/>
                <w14:textFill>
                  <w14:solidFill>
                    <w14:schemeClr w14:val="tx1"/>
                  </w14:solidFill>
                </w14:textFill>
              </w:rPr>
              <w:t>或将物料洒水等防护措施。</w:t>
            </w:r>
          </w:p>
          <w:p w14:paraId="2F021433">
            <w:pPr>
              <w:spacing w:line="360" w:lineRule="auto"/>
              <w:ind w:firstLine="504" w:firstLineChars="200"/>
              <w:rPr>
                <w:rFonts w:hint="default" w:ascii="Times New Roman" w:hAnsi="Times New Roman" w:eastAsia="宋体" w:cs="Times New Roman"/>
                <w:color w:val="000000" w:themeColor="text1"/>
                <w:spacing w:val="2"/>
                <w:sz w:val="24"/>
                <w:highlight w:val="none"/>
                <w14:textFill>
                  <w14:solidFill>
                    <w14:schemeClr w14:val="tx1"/>
                  </w14:solidFill>
                </w14:textFill>
              </w:rPr>
            </w:pPr>
            <w:r>
              <w:rPr>
                <w:rFonts w:hint="default" w:ascii="Times New Roman" w:hAnsi="Times New Roman" w:eastAsia="宋体" w:cs="Times New Roman"/>
                <w:color w:val="000000" w:themeColor="text1"/>
                <w:spacing w:val="6"/>
                <w:sz w:val="24"/>
                <w:highlight w:val="none"/>
                <w14:textFill>
                  <w14:solidFill>
                    <w14:schemeClr w14:val="tx1"/>
                  </w14:solidFill>
                </w14:textFill>
              </w:rPr>
              <w:t>施工便</w:t>
            </w:r>
            <w:r>
              <w:rPr>
                <w:rFonts w:hint="default" w:ascii="Times New Roman" w:hAnsi="Times New Roman" w:eastAsia="宋体" w:cs="Times New Roman"/>
                <w:color w:val="000000" w:themeColor="text1"/>
                <w:spacing w:val="7"/>
                <w:sz w:val="24"/>
                <w:highlight w:val="none"/>
                <w14:textFill>
                  <w14:solidFill>
                    <w14:schemeClr w14:val="tx1"/>
                  </w14:solidFill>
                </w14:textFill>
              </w:rPr>
              <w:t>道如果有路面或采用砂砾石进行铺装，运输扬尘相</w:t>
            </w:r>
            <w:r>
              <w:rPr>
                <w:rFonts w:hint="default" w:ascii="Times New Roman" w:hAnsi="Times New Roman" w:eastAsia="宋体" w:cs="Times New Roman"/>
                <w:color w:val="000000" w:themeColor="text1"/>
                <w:spacing w:val="6"/>
                <w:sz w:val="24"/>
                <w:highlight w:val="none"/>
                <w14:textFill>
                  <w14:solidFill>
                    <w14:schemeClr w14:val="tx1"/>
                  </w14:solidFill>
                </w14:textFill>
              </w:rPr>
              <w:t>对较轻。如果施工便道只</w:t>
            </w:r>
            <w:r>
              <w:rPr>
                <w:rFonts w:hint="default" w:ascii="Times New Roman" w:hAnsi="Times New Roman" w:eastAsia="宋体" w:cs="Times New Roman"/>
                <w:color w:val="000000" w:themeColor="text1"/>
                <w:spacing w:val="7"/>
                <w:sz w:val="24"/>
                <w:highlight w:val="none"/>
                <w14:textFill>
                  <w14:solidFill>
                    <w14:schemeClr w14:val="tx1"/>
                  </w14:solidFill>
                </w14:textFill>
              </w:rPr>
              <w:t>是土路面，施工车辆运输引起的扬尘污染则比较严</w:t>
            </w:r>
            <w:r>
              <w:rPr>
                <w:rFonts w:hint="default" w:ascii="Times New Roman" w:hAnsi="Times New Roman" w:eastAsia="宋体" w:cs="Times New Roman"/>
                <w:color w:val="000000" w:themeColor="text1"/>
                <w:spacing w:val="6"/>
                <w:sz w:val="24"/>
                <w:highlight w:val="none"/>
                <w14:textFill>
                  <w14:solidFill>
                    <w14:schemeClr w14:val="tx1"/>
                  </w14:solidFill>
                </w14:textFill>
              </w:rPr>
              <w:t>重，且影响范围较大。据</w:t>
            </w:r>
            <w:r>
              <w:rPr>
                <w:rFonts w:hint="default" w:ascii="Times New Roman" w:hAnsi="Times New Roman" w:eastAsia="宋体" w:cs="Times New Roman"/>
                <w:color w:val="000000" w:themeColor="text1"/>
                <w:spacing w:val="2"/>
                <w:sz w:val="24"/>
                <w:highlight w:val="none"/>
                <w14:textFill>
                  <w14:solidFill>
                    <w14:schemeClr w14:val="tx1"/>
                  </w14:solidFill>
                </w14:textFill>
              </w:rPr>
              <w:t>有关资料，扬尘属于粒径较小的降尘（0μm~</w:t>
            </w:r>
            <w:r>
              <w:rPr>
                <w:rFonts w:hint="default" w:ascii="Times New Roman" w:hAnsi="Times New Roman" w:eastAsia="宋体" w:cs="Times New Roman"/>
                <w:color w:val="000000" w:themeColor="text1"/>
                <w:spacing w:val="1"/>
                <w:sz w:val="24"/>
                <w:highlight w:val="none"/>
                <w14:textFill>
                  <w14:solidFill>
                    <w14:schemeClr w14:val="tx1"/>
                  </w14:solidFill>
                </w14:textFill>
              </w:rPr>
              <w:t>20μm），在未铺装道路表面（泥</w:t>
            </w:r>
            <w:r>
              <w:rPr>
                <w:rFonts w:hint="default" w:ascii="Times New Roman" w:hAnsi="Times New Roman" w:eastAsia="宋体" w:cs="Times New Roman"/>
                <w:color w:val="000000" w:themeColor="text1"/>
                <w:spacing w:val="-5"/>
                <w:sz w:val="24"/>
                <w:highlight w:val="none"/>
                <w14:textFill>
                  <w14:solidFill>
                    <w14:schemeClr w14:val="tx1"/>
                  </w14:solidFill>
                </w14:textFill>
              </w:rPr>
              <w:t>土</w:t>
            </w:r>
            <w:r>
              <w:rPr>
                <w:rFonts w:hint="default" w:ascii="Times New Roman" w:hAnsi="Times New Roman" w:eastAsia="宋体" w:cs="Times New Roman"/>
                <w:color w:val="000000" w:themeColor="text1"/>
                <w:spacing w:val="-1"/>
                <w:sz w:val="24"/>
                <w:highlight w:val="none"/>
                <w14:textFill>
                  <w14:solidFill>
                    <w14:schemeClr w14:val="tx1"/>
                  </w14:solidFill>
                </w14:textFill>
              </w:rPr>
              <w:t>），</w:t>
            </w:r>
            <w:r>
              <w:rPr>
                <w:rFonts w:hint="default" w:ascii="Times New Roman" w:hAnsi="Times New Roman" w:eastAsia="宋体" w:cs="Times New Roman"/>
                <w:color w:val="000000" w:themeColor="text1"/>
                <w:spacing w:val="-5"/>
                <w:sz w:val="24"/>
                <w:highlight w:val="none"/>
                <w14:textFill>
                  <w14:solidFill>
                    <w14:schemeClr w14:val="tx1"/>
                  </w14:solidFill>
                </w14:textFill>
              </w:rPr>
              <w:t>粒径分布小于5μm的粉尘占8%，5μm~10μm的占24%，大于</w:t>
            </w:r>
            <w:r>
              <w:rPr>
                <w:rFonts w:hint="default" w:ascii="Times New Roman" w:hAnsi="Times New Roman" w:eastAsia="宋体" w:cs="Times New Roman"/>
                <w:color w:val="000000" w:themeColor="text1"/>
                <w:spacing w:val="-6"/>
                <w:sz w:val="24"/>
                <w:highlight w:val="none"/>
                <w14:textFill>
                  <w14:solidFill>
                    <w14:schemeClr w14:val="tx1"/>
                  </w14:solidFill>
                </w14:textFill>
              </w:rPr>
              <w:t>30μm的</w:t>
            </w:r>
            <w:r>
              <w:rPr>
                <w:rFonts w:hint="default" w:ascii="Times New Roman" w:hAnsi="Times New Roman" w:eastAsia="宋体" w:cs="Times New Roman"/>
                <w:color w:val="000000" w:themeColor="text1"/>
                <w:spacing w:val="2"/>
                <w:sz w:val="24"/>
                <w:highlight w:val="none"/>
                <w14:textFill>
                  <w14:solidFill>
                    <w14:schemeClr w14:val="tx1"/>
                  </w14:solidFill>
                </w14:textFill>
              </w:rPr>
              <w:t>占68%，因此，临时道路、未铺装的施工便道和正在施工的道路极易起尘。</w:t>
            </w:r>
          </w:p>
          <w:p w14:paraId="08BFE79F">
            <w:pPr>
              <w:spacing w:line="360" w:lineRule="auto"/>
              <w:ind w:firstLine="504"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pacing w:val="6"/>
                <w:sz w:val="24"/>
                <w:highlight w:val="none"/>
                <w14:textFill>
                  <w14:solidFill>
                    <w14:schemeClr w14:val="tx1"/>
                  </w14:solidFill>
                </w14:textFill>
              </w:rPr>
              <w:t>但较灰土拌和引起的粉尘污染而言，扬尘危害较小</w:t>
            </w:r>
            <w:r>
              <w:rPr>
                <w:rFonts w:hint="default" w:ascii="Times New Roman" w:hAnsi="Times New Roman" w:eastAsia="宋体" w:cs="Times New Roman"/>
                <w:color w:val="000000" w:themeColor="text1"/>
                <w:spacing w:val="5"/>
                <w:sz w:val="24"/>
                <w:highlight w:val="none"/>
                <w14:textFill>
                  <w14:solidFill>
                    <w14:schemeClr w14:val="tx1"/>
                  </w14:solidFill>
                </w14:textFill>
              </w:rPr>
              <w:t>，且影响的周期也较短。</w:t>
            </w:r>
            <w:r>
              <w:rPr>
                <w:rFonts w:hint="default" w:ascii="Times New Roman" w:hAnsi="Times New Roman" w:eastAsia="宋体" w:cs="Times New Roman"/>
                <w:color w:val="000000" w:themeColor="text1"/>
                <w:spacing w:val="7"/>
                <w:sz w:val="24"/>
                <w:highlight w:val="none"/>
                <w14:textFill>
                  <w14:solidFill>
                    <w14:schemeClr w14:val="tx1"/>
                  </w14:solidFill>
                </w14:textFill>
              </w:rPr>
              <w:t>为减少起尘量，有效地降低其对居民正常生活</w:t>
            </w:r>
            <w:r>
              <w:rPr>
                <w:rFonts w:hint="default" w:ascii="Times New Roman" w:hAnsi="Times New Roman" w:eastAsia="宋体" w:cs="Times New Roman"/>
                <w:color w:val="000000" w:themeColor="text1"/>
                <w:spacing w:val="6"/>
                <w:sz w:val="24"/>
                <w:highlight w:val="none"/>
                <w14:textFill>
                  <w14:solidFill>
                    <w14:schemeClr w14:val="tx1"/>
                  </w14:solidFill>
                </w14:textFill>
              </w:rPr>
              <w:t>的不利影响，建议施工期间对</w:t>
            </w:r>
            <w:r>
              <w:rPr>
                <w:rFonts w:hint="default" w:ascii="Times New Roman" w:hAnsi="Times New Roman" w:eastAsia="宋体" w:cs="Times New Roman"/>
                <w:color w:val="000000" w:themeColor="text1"/>
                <w:spacing w:val="-1"/>
                <w:sz w:val="24"/>
                <w:highlight w:val="none"/>
                <w14:textFill>
                  <w14:solidFill>
                    <w14:schemeClr w14:val="tx1"/>
                  </w14:solidFill>
                </w14:textFill>
              </w:rPr>
              <w:t>车辆行驶的路面洒水抑尘，每天洒水4次～5次</w:t>
            </w:r>
            <w:r>
              <w:rPr>
                <w:rFonts w:hint="default" w:ascii="Times New Roman" w:hAnsi="Times New Roman" w:eastAsia="宋体" w:cs="Times New Roman"/>
                <w:color w:val="000000" w:themeColor="text1"/>
                <w:spacing w:val="-2"/>
                <w:sz w:val="24"/>
                <w:highlight w:val="none"/>
                <w14:textFill>
                  <w14:solidFill>
                    <w14:schemeClr w14:val="tx1"/>
                  </w14:solidFill>
                </w14:textFill>
              </w:rPr>
              <w:t>，通过洒水可有效地减少起尘量70%左右，从而降低施工扬尘对环境空气质量的影</w:t>
            </w:r>
            <w:r>
              <w:rPr>
                <w:rFonts w:hint="default" w:ascii="Times New Roman" w:hAnsi="Times New Roman" w:eastAsia="宋体" w:cs="Times New Roman"/>
                <w:color w:val="000000" w:themeColor="text1"/>
                <w:spacing w:val="-3"/>
                <w:sz w:val="24"/>
                <w:highlight w:val="none"/>
                <w14:textFill>
                  <w14:solidFill>
                    <w14:schemeClr w14:val="tx1"/>
                  </w14:solidFill>
                </w14:textFill>
              </w:rPr>
              <w:t>响。</w:t>
            </w:r>
          </w:p>
          <w:p w14:paraId="12071681">
            <w:pPr>
              <w:spacing w:line="360" w:lineRule="auto"/>
              <w:ind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②</w:t>
            </w:r>
            <w:r>
              <w:rPr>
                <w:rFonts w:hint="default" w:ascii="Times New Roman" w:hAnsi="Times New Roman" w:eastAsia="宋体" w:cs="Times New Roman"/>
                <w:b/>
                <w:bCs/>
                <w:color w:val="000000" w:themeColor="text1"/>
                <w:spacing w:val="-2"/>
                <w:sz w:val="24"/>
                <w:highlight w:val="none"/>
                <w14:textFill>
                  <w14:solidFill>
                    <w14:schemeClr w14:val="tx1"/>
                  </w14:solidFill>
                </w14:textFill>
              </w:rPr>
              <w:t>施工扰动扬尘</w:t>
            </w:r>
          </w:p>
          <w:p w14:paraId="2821C3FE">
            <w:pPr>
              <w:spacing w:line="360" w:lineRule="auto"/>
              <w:ind w:firstLine="508" w:firstLineChars="200"/>
              <w:rPr>
                <w:rFonts w:hint="default" w:ascii="Times New Roman" w:hAnsi="Times New Roman" w:eastAsia="宋体" w:cs="Times New Roman"/>
                <w:color w:val="000000" w:themeColor="text1"/>
                <w:spacing w:val="7"/>
                <w:sz w:val="24"/>
                <w:highlight w:val="none"/>
                <w14:textFill>
                  <w14:solidFill>
                    <w14:schemeClr w14:val="tx1"/>
                  </w14:solidFill>
                </w14:textFill>
              </w:rPr>
            </w:pPr>
            <w:r>
              <w:rPr>
                <w:rFonts w:hint="default" w:ascii="Times New Roman" w:hAnsi="Times New Roman" w:eastAsia="宋体" w:cs="Times New Roman"/>
                <w:color w:val="000000" w:themeColor="text1"/>
                <w:spacing w:val="7"/>
                <w:sz w:val="24"/>
                <w:highlight w:val="none"/>
                <w14:textFill>
                  <w14:solidFill>
                    <w14:schemeClr w14:val="tx1"/>
                  </w14:solidFill>
                </w14:textFill>
              </w:rPr>
              <w:t>在工程施工建设过程中，路基工程挖土、建材运输和装卸等过程都会产生扬尘。据有关文献资料介绍，施工工地的扬尘主要是运输车辆的行驶及预制件的制作产生的，约占扬尘总量的80%。</w:t>
            </w:r>
          </w:p>
          <w:p w14:paraId="11DABEA6">
            <w:pPr>
              <w:spacing w:line="360" w:lineRule="auto"/>
              <w:ind w:firstLine="474"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pacing w:val="-2"/>
                <w:sz w:val="24"/>
                <w:highlight w:val="none"/>
                <w14:textFill>
                  <w14:solidFill>
                    <w14:schemeClr w14:val="tx1"/>
                  </w14:solidFill>
                </w14:textFill>
              </w:rPr>
              <w:t>（</w:t>
            </w:r>
            <w:r>
              <w:rPr>
                <w:rFonts w:hint="eastAsia" w:cs="Times New Roman"/>
                <w:b/>
                <w:bCs/>
                <w:color w:val="000000" w:themeColor="text1"/>
                <w:spacing w:val="-2"/>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2"/>
                <w:sz w:val="24"/>
                <w:highlight w:val="none"/>
                <w14:textFill>
                  <w14:solidFill>
                    <w14:schemeClr w14:val="tx1"/>
                  </w14:solidFill>
                </w14:textFill>
              </w:rPr>
              <w:t>）汽车尾气</w:t>
            </w:r>
          </w:p>
          <w:p w14:paraId="1564918D">
            <w:pPr>
              <w:spacing w:line="360" w:lineRule="auto"/>
              <w:ind w:firstLine="508" w:firstLineChars="200"/>
              <w:rPr>
                <w:rFonts w:hint="default" w:ascii="Times New Roman" w:hAnsi="Times New Roman" w:eastAsia="宋体" w:cs="Times New Roman"/>
                <w:color w:val="000000" w:themeColor="text1"/>
                <w:spacing w:val="-3"/>
                <w:sz w:val="24"/>
                <w:highlight w:val="none"/>
                <w14:textFill>
                  <w14:solidFill>
                    <w14:schemeClr w14:val="tx1"/>
                  </w14:solidFill>
                </w14:textFill>
              </w:rPr>
            </w:pPr>
            <w:r>
              <w:rPr>
                <w:rFonts w:hint="default" w:ascii="Times New Roman" w:hAnsi="Times New Roman" w:eastAsia="宋体" w:cs="Times New Roman"/>
                <w:color w:val="000000" w:themeColor="text1"/>
                <w:spacing w:val="7"/>
                <w:sz w:val="24"/>
                <w:highlight w:val="none"/>
                <w14:textFill>
                  <w14:solidFill>
                    <w14:schemeClr w14:val="tx1"/>
                  </w14:solidFill>
                </w14:textFill>
              </w:rPr>
              <w:t>项目施工期间，施工机械及各种运输车辆多以柴油为原</w:t>
            </w:r>
            <w:r>
              <w:rPr>
                <w:rFonts w:hint="default" w:ascii="Times New Roman" w:hAnsi="Times New Roman" w:eastAsia="宋体" w:cs="Times New Roman"/>
                <w:color w:val="000000" w:themeColor="text1"/>
                <w:spacing w:val="6"/>
                <w:sz w:val="24"/>
                <w:highlight w:val="none"/>
                <w14:textFill>
                  <w14:solidFill>
                    <w14:schemeClr w14:val="tx1"/>
                  </w14:solidFill>
                </w14:textFill>
              </w:rPr>
              <w:t>料，使用过程中</w:t>
            </w:r>
            <w:r>
              <w:rPr>
                <w:rFonts w:hint="default" w:ascii="Times New Roman" w:hAnsi="Times New Roman" w:eastAsia="宋体" w:cs="Times New Roman"/>
                <w:color w:val="000000" w:themeColor="text1"/>
                <w:spacing w:val="-2"/>
                <w:sz w:val="24"/>
                <w:highlight w:val="none"/>
                <w14:textFill>
                  <w14:solidFill>
                    <w14:schemeClr w14:val="tx1"/>
                  </w14:solidFill>
                </w14:textFill>
              </w:rPr>
              <w:t>会排放一定量的尾气，主要污染物为NOx、CO及THC等，分</w:t>
            </w:r>
            <w:r>
              <w:rPr>
                <w:rFonts w:hint="default" w:ascii="Times New Roman" w:hAnsi="Times New Roman" w:eastAsia="宋体" w:cs="Times New Roman"/>
                <w:color w:val="000000" w:themeColor="text1"/>
                <w:spacing w:val="-3"/>
                <w:sz w:val="24"/>
                <w:highlight w:val="none"/>
                <w14:textFill>
                  <w14:solidFill>
                    <w14:schemeClr w14:val="tx1"/>
                  </w14:solidFill>
                </w14:textFill>
              </w:rPr>
              <w:t>散在施工场地</w:t>
            </w:r>
            <w:r>
              <w:rPr>
                <w:rFonts w:hint="default" w:ascii="Times New Roman" w:hAnsi="Times New Roman" w:eastAsia="宋体" w:cs="Times New Roman"/>
                <w:color w:val="000000" w:themeColor="text1"/>
                <w:spacing w:val="6"/>
                <w:sz w:val="24"/>
                <w:highlight w:val="none"/>
                <w14:textFill>
                  <w14:solidFill>
                    <w14:schemeClr w14:val="tx1"/>
                  </w14:solidFill>
                </w14:textFill>
              </w:rPr>
              <w:t>及运输沿线，尾气排放有限且分散，加之项目所在地周围地势开阔，扩散条</w:t>
            </w:r>
            <w:r>
              <w:rPr>
                <w:rFonts w:hint="default" w:ascii="Times New Roman" w:hAnsi="Times New Roman" w:eastAsia="宋体" w:cs="Times New Roman"/>
                <w:color w:val="000000" w:themeColor="text1"/>
                <w:spacing w:val="-3"/>
                <w:sz w:val="24"/>
                <w:highlight w:val="none"/>
                <w14:textFill>
                  <w14:solidFill>
                    <w14:schemeClr w14:val="tx1"/>
                  </w14:solidFill>
                </w14:textFill>
              </w:rPr>
              <w:t>件好，对周围环境影响不大。</w:t>
            </w:r>
          </w:p>
          <w:p w14:paraId="0FE6F59A">
            <w:pPr>
              <w:numPr>
                <w:ilvl w:val="0"/>
                <w:numId w:val="3"/>
              </w:numPr>
              <w:spacing w:line="360" w:lineRule="auto"/>
              <w:ind w:left="0" w:leftChars="0" w:firstLine="480" w:firstLineChars="0"/>
              <w:rPr>
                <w:rFonts w:hint="eastAsia" w:cs="Times New Roman"/>
                <w:color w:val="000000" w:themeColor="text1"/>
                <w:spacing w:val="-3"/>
                <w:sz w:val="24"/>
                <w:highlight w:val="none"/>
                <w:lang w:val="en-US" w:eastAsia="zh-CN"/>
                <w14:textFill>
                  <w14:solidFill>
                    <w14:schemeClr w14:val="tx1"/>
                  </w14:solidFill>
                </w14:textFill>
              </w:rPr>
            </w:pPr>
            <w:r>
              <w:rPr>
                <w:rFonts w:hint="eastAsia" w:cs="Times New Roman"/>
                <w:color w:val="000000" w:themeColor="text1"/>
                <w:spacing w:val="-3"/>
                <w:sz w:val="24"/>
                <w:highlight w:val="none"/>
                <w:lang w:val="en-US" w:eastAsia="zh-CN"/>
                <w14:textFill>
                  <w14:solidFill>
                    <w14:schemeClr w14:val="tx1"/>
                  </w14:solidFill>
                </w14:textFill>
              </w:rPr>
              <w:t>拌合站粉尘</w:t>
            </w:r>
          </w:p>
          <w:p w14:paraId="3AC90B4E">
            <w:pPr>
              <w:numPr>
                <w:ilvl w:val="0"/>
                <w:numId w:val="0"/>
              </w:numPr>
              <w:spacing w:line="360" w:lineRule="auto"/>
              <w:ind w:left="0" w:leftChars="0" w:firstLine="418" w:firstLineChars="179"/>
              <w:rPr>
                <w:rFonts w:hint="eastAsia" w:cs="Times New Roman"/>
                <w:color w:val="000000" w:themeColor="text1"/>
                <w:spacing w:val="-3"/>
                <w:sz w:val="24"/>
                <w:highlight w:val="none"/>
                <w:lang w:val="en-US" w:eastAsia="zh-CN"/>
                <w14:textFill>
                  <w14:solidFill>
                    <w14:schemeClr w14:val="tx1"/>
                  </w14:solidFill>
                </w14:textFill>
              </w:rPr>
            </w:pPr>
            <w:r>
              <w:rPr>
                <w:rFonts w:hint="eastAsia" w:cs="Times New Roman"/>
                <w:color w:val="000000" w:themeColor="text1"/>
                <w:spacing w:val="-3"/>
                <w:sz w:val="24"/>
                <w:highlight w:val="none"/>
                <w:lang w:val="en-US" w:eastAsia="zh-CN"/>
                <w14:textFill>
                  <w14:solidFill>
                    <w14:schemeClr w14:val="tx1"/>
                  </w14:solidFill>
                </w14:textFill>
              </w:rPr>
              <w:t>拌合站粉尘主要为水泥仓顶无组织排放粉尘、拌合过程粉尘、物料装卸过程粉尘。</w:t>
            </w:r>
          </w:p>
          <w:p w14:paraId="571A9D67">
            <w:pPr>
              <w:numPr>
                <w:ilvl w:val="0"/>
                <w:numId w:val="0"/>
              </w:numPr>
              <w:spacing w:line="360" w:lineRule="auto"/>
              <w:ind w:left="480" w:leftChars="0"/>
              <w:rPr>
                <w:rFonts w:hint="eastAsia"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①水泥仓顶粉尘</w:t>
            </w:r>
          </w:p>
          <w:p w14:paraId="06252613">
            <w:pPr>
              <w:numPr>
                <w:ilvl w:val="0"/>
                <w:numId w:val="0"/>
              </w:numPr>
              <w:spacing w:line="360" w:lineRule="auto"/>
              <w:ind w:left="0" w:leftChars="0" w:firstLine="480" w:firstLineChars="200"/>
              <w:rPr>
                <w:rFonts w:hint="eastAsia"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筒仓在补料和配料过程会产生粉尘排放，筒仓使用气力补料，配料时经过螺旋输送机进入搅拌器。筒仓顶部自带脉冲单机袋式收尘器，处理后的废气经筒仓顶部排气筒排放，</w:t>
            </w:r>
            <w:r>
              <w:rPr>
                <w:rFonts w:hint="eastAsia" w:cs="Times New Roman"/>
                <w:b w:val="0"/>
                <w:bCs w:val="0"/>
                <w:color w:val="000000" w:themeColor="text1"/>
                <w:sz w:val="24"/>
                <w:highlight w:val="none"/>
                <w:lang w:val="en-US" w:eastAsia="zh-CN"/>
                <w14:textFill>
                  <w14:solidFill>
                    <w14:schemeClr w14:val="tx1"/>
                  </w14:solidFill>
                </w14:textFill>
              </w:rPr>
              <w:t>项目设置1个水泥仓，水泥用量约10吨，根据《排放源统计调查产排污核算方法和系数手册》（2021 版）中 3021 水泥制品制造，物料输送储存粉尘产生量按 0.12kg/t-产品计，水泥入料粉尘产生量约1.2kg，除尘器除尘效率可达 99.7%，则筒仓粉尘排放量为 0.004kg。</w:t>
            </w:r>
          </w:p>
          <w:p w14:paraId="46F12CF7">
            <w:pPr>
              <w:numPr>
                <w:ilvl w:val="0"/>
                <w:numId w:val="0"/>
              </w:numPr>
              <w:spacing w:line="360" w:lineRule="auto"/>
              <w:ind w:left="0" w:leftChars="0" w:firstLine="480" w:firstLineChars="200"/>
              <w:rPr>
                <w:rFonts w:hint="default"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②</w:t>
            </w:r>
            <w:r>
              <w:rPr>
                <w:rFonts w:hint="default" w:cs="Times New Roman"/>
                <w:b w:val="0"/>
                <w:bCs w:val="0"/>
                <w:color w:val="000000" w:themeColor="text1"/>
                <w:sz w:val="24"/>
                <w:highlight w:val="none"/>
                <w:lang w:val="en-US" w:eastAsia="zh-CN"/>
                <w14:textFill>
                  <w14:solidFill>
                    <w14:schemeClr w14:val="tx1"/>
                  </w14:solidFill>
                </w14:textFill>
              </w:rPr>
              <w:t>砂石料装卸扬尘</w:t>
            </w:r>
          </w:p>
          <w:p w14:paraId="7CA8D9F7">
            <w:pPr>
              <w:numPr>
                <w:ilvl w:val="0"/>
                <w:numId w:val="0"/>
              </w:numPr>
              <w:spacing w:line="360" w:lineRule="auto"/>
              <w:ind w:left="0" w:leftChars="0" w:firstLine="480" w:firstLineChars="200"/>
              <w:rPr>
                <w:rFonts w:hint="default" w:cs="Times New Roman"/>
                <w:b w:val="0"/>
                <w:bCs w:val="0"/>
                <w:color w:val="000000" w:themeColor="text1"/>
                <w:sz w:val="24"/>
                <w:highlight w:val="none"/>
                <w:lang w:val="en-US" w:eastAsia="zh-CN"/>
                <w14:textFill>
                  <w14:solidFill>
                    <w14:schemeClr w14:val="tx1"/>
                  </w14:solidFill>
                </w14:textFill>
              </w:rPr>
            </w:pPr>
            <w:r>
              <w:rPr>
                <w:rFonts w:hint="default" w:cs="Times New Roman"/>
                <w:b w:val="0"/>
                <w:bCs w:val="0"/>
                <w:color w:val="000000" w:themeColor="text1"/>
                <w:sz w:val="24"/>
                <w:highlight w:val="none"/>
                <w:lang w:val="en-US" w:eastAsia="zh-CN"/>
                <w14:textFill>
                  <w14:solidFill>
                    <w14:schemeClr w14:val="tx1"/>
                  </w14:solidFill>
                </w14:textFill>
              </w:rPr>
              <w:t>根据《排放源统计调查产排污核算方法和系数手册》（生态环境部公告 2021 年 第24 号）中附表 2《工业源固体物料堆场颗粒物核算系数手册》，计算本项目原料堆存扬尘产排情况。</w:t>
            </w:r>
          </w:p>
          <w:p w14:paraId="29513F9E">
            <w:pPr>
              <w:widowControl/>
              <w:adjustRightInd w:val="0"/>
              <w:snapToGrid w:val="0"/>
              <w:spacing w:line="360" w:lineRule="auto"/>
              <w:ind w:firstLine="482" w:firstLineChars="200"/>
              <w:jc w:val="left"/>
              <w:rPr>
                <w:rFonts w:ascii="Times New Roman" w:hAnsi="Times New Roman" w:eastAsia="宋体" w:cs="宋体"/>
                <w:b/>
                <w:color w:val="000000" w:themeColor="text1"/>
                <w:kern w:val="0"/>
                <w:sz w:val="24"/>
                <w:szCs w:val="24"/>
                <w:highlight w:val="none"/>
                <w14:textFill>
                  <w14:solidFill>
                    <w14:schemeClr w14:val="tx1"/>
                  </w14:solidFill>
                </w14:textFill>
              </w:rPr>
            </w:pPr>
            <w:bookmarkStart w:id="3" w:name="_Hlk39651727"/>
            <w:r>
              <w:rPr>
                <w:rFonts w:hint="eastAsia" w:ascii="Times New Roman" w:hAnsi="Times New Roman" w:eastAsia="宋体" w:cs="宋体"/>
                <w:b/>
                <w:color w:val="000000" w:themeColor="text1"/>
                <w:kern w:val="0"/>
                <w:sz w:val="24"/>
                <w:szCs w:val="24"/>
                <w:highlight w:val="none"/>
                <w14:textFill>
                  <w14:solidFill>
                    <w14:schemeClr w14:val="tx1"/>
                  </w14:solidFill>
                </w14:textFill>
              </w:rPr>
              <w:t>装卸、运输物料过程扬尘排放系数</w:t>
            </w:r>
            <w:r>
              <w:rPr>
                <w:rFonts w:hint="eastAsia" w:ascii="Times New Roman" w:hAnsi="Times New Roman" w:eastAsia="宋体" w:cs="宋体"/>
                <w:b/>
                <w:i/>
                <w:color w:val="000000" w:themeColor="text1"/>
                <w:kern w:val="0"/>
                <w:sz w:val="24"/>
                <w:szCs w:val="24"/>
                <w:highlight w:val="none"/>
                <w14:textFill>
                  <w14:solidFill>
                    <w14:schemeClr w14:val="tx1"/>
                  </w14:solidFill>
                </w14:textFill>
              </w:rPr>
              <w:t>E</w:t>
            </w:r>
            <w:r>
              <w:rPr>
                <w:rFonts w:hint="eastAsia" w:ascii="Times New Roman" w:hAnsi="Times New Roman" w:eastAsia="宋体" w:cs="宋体"/>
                <w:b/>
                <w:i/>
                <w:color w:val="000000" w:themeColor="text1"/>
                <w:kern w:val="0"/>
                <w:sz w:val="24"/>
                <w:szCs w:val="24"/>
                <w:highlight w:val="none"/>
                <w:vertAlign w:val="subscript"/>
                <w14:textFill>
                  <w14:solidFill>
                    <w14:schemeClr w14:val="tx1"/>
                  </w14:solidFill>
                </w14:textFill>
              </w:rPr>
              <w:t>h</w:t>
            </w:r>
            <w:r>
              <w:rPr>
                <w:rFonts w:hint="eastAsia" w:ascii="Times New Roman" w:hAnsi="Times New Roman" w:eastAsia="宋体" w:cs="宋体"/>
                <w:b/>
                <w:color w:val="000000" w:themeColor="text1"/>
                <w:kern w:val="0"/>
                <w:sz w:val="24"/>
                <w:szCs w:val="24"/>
                <w:highlight w:val="none"/>
                <w14:textFill>
                  <w14:solidFill>
                    <w14:schemeClr w14:val="tx1"/>
                  </w14:solidFill>
                </w14:textFill>
              </w:rPr>
              <w:t>的估算，公式如下：</w:t>
            </w:r>
          </w:p>
          <w:p w14:paraId="2D0269F0">
            <w:pPr>
              <w:widowControl/>
              <w:jc w:val="center"/>
              <w:rPr>
                <w:rFonts w:ascii="Times New Roman" w:hAnsi="Times New Roman" w:eastAsia="宋体" w:cs="宋体"/>
                <w:color w:val="000000" w:themeColor="text1"/>
                <w:kern w:val="0"/>
                <w:sz w:val="24"/>
                <w:szCs w:val="24"/>
                <w:highlight w:val="none"/>
                <w14:textFill>
                  <w14:solidFill>
                    <w14:schemeClr w14:val="tx1"/>
                  </w14:solidFill>
                </w14:textFill>
              </w:rPr>
            </w:pPr>
            <m:oMath>
              <m:sSub>
                <m:sSubPr>
                  <m:ctrlPr>
                    <w:rPr>
                      <w:rFonts w:ascii="Cambria Math" w:hAnsi="Cambria Math"/>
                      <w:color w:val="000000" w:themeColor="text1"/>
                      <w:highlight w:val="none"/>
                      <w14:textFill>
                        <w14:solidFill>
                          <w14:schemeClr w14:val="tx1"/>
                        </w14:solidFill>
                      </w14:textFill>
                    </w:rPr>
                  </m:ctrlPr>
                </m:sSubPr>
                <m:e>
                  <m:r>
                    <m:rPr/>
                    <w:rPr>
                      <w:rFonts w:ascii="Cambria Math" w:hAnsi="Cambria Math"/>
                      <w:color w:val="000000" w:themeColor="text1"/>
                      <w:highlight w:val="none"/>
                      <w14:textFill>
                        <w14:solidFill>
                          <w14:schemeClr w14:val="tx1"/>
                        </w14:solidFill>
                      </w14:textFill>
                    </w:rPr>
                    <m:t>E</m:t>
                  </m:r>
                  <m:ctrlPr>
                    <w:rPr>
                      <w:rFonts w:ascii="Cambria Math" w:hAnsi="Cambria Math"/>
                      <w:color w:val="000000" w:themeColor="text1"/>
                      <w:highlight w:val="none"/>
                      <w14:textFill>
                        <w14:solidFill>
                          <w14:schemeClr w14:val="tx1"/>
                        </w14:solidFill>
                      </w14:textFill>
                    </w:rPr>
                  </m:ctrlPr>
                </m:e>
                <m:sub>
                  <m:r>
                    <m:rPr/>
                    <w:rPr>
                      <w:rFonts w:ascii="Cambria Math" w:hAnsi="Cambria Math"/>
                      <w:color w:val="000000" w:themeColor="text1"/>
                      <w:highlight w:val="none"/>
                      <w14:textFill>
                        <w14:solidFill>
                          <w14:schemeClr w14:val="tx1"/>
                        </w14:solidFill>
                      </w14:textFill>
                    </w:rPr>
                    <m:t>ℎ</m:t>
                  </m:r>
                  <m:ctrlPr>
                    <w:rPr>
                      <w:rFonts w:ascii="Cambria Math" w:hAnsi="Cambria Math"/>
                      <w:color w:val="000000" w:themeColor="text1"/>
                      <w:highlight w:val="none"/>
                      <w14:textFill>
                        <w14:solidFill>
                          <w14:schemeClr w14:val="tx1"/>
                        </w14:solidFill>
                      </w14:textFill>
                    </w:rPr>
                  </m:ctrlPr>
                </m:sub>
              </m:sSub>
              <m:r>
                <m:rPr/>
                <w:rPr>
                  <w:rFonts w:ascii="Cambria Math" w:hAnsi="Cambria Math"/>
                  <w:color w:val="000000" w:themeColor="text1"/>
                  <w:highlight w:val="none"/>
                  <w14:textFill>
                    <w14:solidFill>
                      <w14:schemeClr w14:val="tx1"/>
                    </w14:solidFill>
                  </w14:textFill>
                </w:rPr>
                <m:t>=</m:t>
              </m:r>
              <m:sSub>
                <m:sSubPr>
                  <m:ctrlPr>
                    <w:rPr>
                      <w:rFonts w:ascii="Cambria Math" w:hAnsi="Cambria Math"/>
                      <w:i/>
                      <w:color w:val="000000" w:themeColor="text1"/>
                      <w:highlight w:val="none"/>
                      <w14:textFill>
                        <w14:solidFill>
                          <w14:schemeClr w14:val="tx1"/>
                        </w14:solidFill>
                      </w14:textFill>
                    </w:rPr>
                  </m:ctrlPr>
                </m:sSubPr>
                <m:e>
                  <m:r>
                    <m:rPr/>
                    <w:rPr>
                      <w:rFonts w:ascii="Cambria Math" w:hAnsi="Cambria Math"/>
                      <w:color w:val="000000" w:themeColor="text1"/>
                      <w:highlight w:val="none"/>
                      <w14:textFill>
                        <w14:solidFill>
                          <w14:schemeClr w14:val="tx1"/>
                        </w14:solidFill>
                      </w14:textFill>
                    </w:rPr>
                    <m:t>k</m:t>
                  </m:r>
                  <m:ctrlPr>
                    <w:rPr>
                      <w:rFonts w:ascii="Cambria Math" w:hAnsi="Cambria Math"/>
                      <w:i/>
                      <w:color w:val="000000" w:themeColor="text1"/>
                      <w:highlight w:val="none"/>
                      <w14:textFill>
                        <w14:solidFill>
                          <w14:schemeClr w14:val="tx1"/>
                        </w14:solidFill>
                      </w14:textFill>
                    </w:rPr>
                  </m:ctrlPr>
                </m:e>
                <m:sub>
                  <m:r>
                    <m:rPr/>
                    <w:rPr>
                      <w:rFonts w:ascii="Cambria Math" w:hAnsi="Cambria Math"/>
                      <w:color w:val="000000" w:themeColor="text1"/>
                      <w:highlight w:val="none"/>
                      <w14:textFill>
                        <w14:solidFill>
                          <w14:schemeClr w14:val="tx1"/>
                        </w14:solidFill>
                      </w14:textFill>
                    </w:rPr>
                    <m:t>i</m:t>
                  </m:r>
                  <m:ctrlPr>
                    <w:rPr>
                      <w:rFonts w:ascii="Cambria Math" w:hAnsi="Cambria Math"/>
                      <w:i/>
                      <w:color w:val="000000" w:themeColor="text1"/>
                      <w:highlight w:val="none"/>
                      <w14:textFill>
                        <w14:solidFill>
                          <w14:schemeClr w14:val="tx1"/>
                        </w14:solidFill>
                      </w14:textFill>
                    </w:rPr>
                  </m:ctrlPr>
                </m:sub>
              </m:sSub>
              <m:r>
                <m:rPr/>
                <w:rPr>
                  <w:rFonts w:ascii="Cambria Math" w:hAnsi="Cambria Math"/>
                  <w:color w:val="000000" w:themeColor="text1"/>
                  <w:highlight w:val="none"/>
                  <w14:textFill>
                    <w14:solidFill>
                      <w14:schemeClr w14:val="tx1"/>
                    </w14:solidFill>
                  </w14:textFill>
                </w:rPr>
                <m:t>×0.0016×</m:t>
              </m:r>
              <m:f>
                <m:fPr>
                  <m:ctrlPr>
                    <w:rPr>
                      <w:rFonts w:ascii="Cambria Math" w:hAnsi="Cambria Math"/>
                      <w:i/>
                      <w:color w:val="000000" w:themeColor="text1"/>
                      <w:highlight w:val="none"/>
                      <w14:textFill>
                        <w14:solidFill>
                          <w14:schemeClr w14:val="tx1"/>
                        </w14:solidFill>
                      </w14:textFill>
                    </w:rPr>
                  </m:ctrlPr>
                </m:fPr>
                <m:num>
                  <m:sSup>
                    <m:sSupPr>
                      <m:ctrlPr>
                        <w:rPr>
                          <w:rFonts w:ascii="Cambria Math" w:hAnsi="Cambria Math"/>
                          <w:i/>
                          <w:color w:val="000000" w:themeColor="text1"/>
                          <w:highlight w:val="none"/>
                          <w14:textFill>
                            <w14:solidFill>
                              <w14:schemeClr w14:val="tx1"/>
                            </w14:solidFill>
                          </w14:textFill>
                        </w:rPr>
                      </m:ctrlPr>
                    </m:sSupPr>
                    <m:e>
                      <m:d>
                        <m:dPr>
                          <m:ctrlPr>
                            <w:rPr>
                              <w:rFonts w:ascii="Cambria Math" w:hAnsi="Cambria Math"/>
                              <w:i/>
                              <w:color w:val="000000" w:themeColor="text1"/>
                              <w:highlight w:val="none"/>
                              <w14:textFill>
                                <w14:solidFill>
                                  <w14:schemeClr w14:val="tx1"/>
                                </w14:solidFill>
                              </w14:textFill>
                            </w:rPr>
                          </m:ctrlPr>
                        </m:dPr>
                        <m:e>
                          <m:f>
                            <m:fPr>
                              <m:ctrlPr>
                                <w:rPr>
                                  <w:rFonts w:ascii="Cambria Math" w:hAnsi="Cambria Math"/>
                                  <w:i/>
                                  <w:color w:val="000000" w:themeColor="text1"/>
                                  <w:highlight w:val="none"/>
                                  <w14:textFill>
                                    <w14:solidFill>
                                      <w14:schemeClr w14:val="tx1"/>
                                    </w14:solidFill>
                                  </w14:textFill>
                                </w:rPr>
                              </m:ctrlPr>
                            </m:fPr>
                            <m:num>
                              <m:r>
                                <m:rPr/>
                                <w:rPr>
                                  <w:rFonts w:ascii="Cambria Math" w:hAnsi="Cambria Math"/>
                                  <w:color w:val="000000" w:themeColor="text1"/>
                                  <w:highlight w:val="none"/>
                                  <w14:textFill>
                                    <w14:solidFill>
                                      <w14:schemeClr w14:val="tx1"/>
                                    </w14:solidFill>
                                  </w14:textFill>
                                </w:rPr>
                                <m:t>u</m:t>
                              </m:r>
                              <m:ctrlPr>
                                <w:rPr>
                                  <w:rFonts w:ascii="Cambria Math" w:hAnsi="Cambria Math"/>
                                  <w:i/>
                                  <w:color w:val="000000" w:themeColor="text1"/>
                                  <w:highlight w:val="none"/>
                                  <w14:textFill>
                                    <w14:solidFill>
                                      <w14:schemeClr w14:val="tx1"/>
                                    </w14:solidFill>
                                  </w14:textFill>
                                </w:rPr>
                              </m:ctrlPr>
                            </m:num>
                            <m:den>
                              <m:r>
                                <m:rPr/>
                                <w:rPr>
                                  <w:rFonts w:ascii="Cambria Math" w:hAnsi="Cambria Math"/>
                                  <w:color w:val="000000" w:themeColor="text1"/>
                                  <w:highlight w:val="none"/>
                                  <w14:textFill>
                                    <w14:solidFill>
                                      <w14:schemeClr w14:val="tx1"/>
                                    </w14:solidFill>
                                  </w14:textFill>
                                </w:rPr>
                                <m:t>2.2</m:t>
                              </m:r>
                              <m:ctrlPr>
                                <w:rPr>
                                  <w:rFonts w:ascii="Cambria Math" w:hAnsi="Cambria Math"/>
                                  <w:i/>
                                  <w:color w:val="000000" w:themeColor="text1"/>
                                  <w:highlight w:val="none"/>
                                  <w14:textFill>
                                    <w14:solidFill>
                                      <w14:schemeClr w14:val="tx1"/>
                                    </w14:solidFill>
                                  </w14:textFill>
                                </w:rPr>
                              </m:ctrlPr>
                            </m:den>
                          </m:f>
                          <m:ctrlPr>
                            <w:rPr>
                              <w:rFonts w:ascii="Cambria Math" w:hAnsi="Cambria Math"/>
                              <w:i/>
                              <w:color w:val="000000" w:themeColor="text1"/>
                              <w:highlight w:val="none"/>
                              <w14:textFill>
                                <w14:solidFill>
                                  <w14:schemeClr w14:val="tx1"/>
                                </w14:solidFill>
                              </w14:textFill>
                            </w:rPr>
                          </m:ctrlPr>
                        </m:e>
                      </m:d>
                      <m:ctrlPr>
                        <w:rPr>
                          <w:rFonts w:ascii="Cambria Math" w:hAnsi="Cambria Math"/>
                          <w:i/>
                          <w:color w:val="000000" w:themeColor="text1"/>
                          <w:highlight w:val="none"/>
                          <w14:textFill>
                            <w14:solidFill>
                              <w14:schemeClr w14:val="tx1"/>
                            </w14:solidFill>
                          </w14:textFill>
                        </w:rPr>
                      </m:ctrlPr>
                    </m:e>
                    <m:sup>
                      <m:r>
                        <m:rPr/>
                        <w:rPr>
                          <w:rFonts w:ascii="Cambria Math" w:hAnsi="Cambria Math"/>
                          <w:color w:val="000000" w:themeColor="text1"/>
                          <w:highlight w:val="none"/>
                          <w14:textFill>
                            <w14:solidFill>
                              <w14:schemeClr w14:val="tx1"/>
                            </w14:solidFill>
                          </w14:textFill>
                        </w:rPr>
                        <m:t>1.3</m:t>
                      </m:r>
                      <m:ctrlPr>
                        <w:rPr>
                          <w:rFonts w:ascii="Cambria Math" w:hAnsi="Cambria Math"/>
                          <w:i/>
                          <w:color w:val="000000" w:themeColor="text1"/>
                          <w:highlight w:val="none"/>
                          <w14:textFill>
                            <w14:solidFill>
                              <w14:schemeClr w14:val="tx1"/>
                            </w14:solidFill>
                          </w14:textFill>
                        </w:rPr>
                      </m:ctrlPr>
                    </m:sup>
                  </m:sSup>
                  <m:ctrlPr>
                    <w:rPr>
                      <w:rFonts w:ascii="Cambria Math" w:hAnsi="Cambria Math"/>
                      <w:i/>
                      <w:color w:val="000000" w:themeColor="text1"/>
                      <w:highlight w:val="none"/>
                      <w14:textFill>
                        <w14:solidFill>
                          <w14:schemeClr w14:val="tx1"/>
                        </w14:solidFill>
                      </w14:textFill>
                    </w:rPr>
                  </m:ctrlPr>
                </m:num>
                <m:den>
                  <m:sSup>
                    <m:sSupPr>
                      <m:ctrlPr>
                        <w:rPr>
                          <w:rFonts w:ascii="Cambria Math" w:hAnsi="Cambria Math"/>
                          <w:i/>
                          <w:color w:val="000000" w:themeColor="text1"/>
                          <w:highlight w:val="none"/>
                          <w14:textFill>
                            <w14:solidFill>
                              <w14:schemeClr w14:val="tx1"/>
                            </w14:solidFill>
                          </w14:textFill>
                        </w:rPr>
                      </m:ctrlPr>
                    </m:sSupPr>
                    <m:e>
                      <m:d>
                        <m:dPr>
                          <m:ctrlPr>
                            <w:rPr>
                              <w:rFonts w:ascii="Cambria Math" w:hAnsi="Cambria Math"/>
                              <w:i/>
                              <w:color w:val="000000" w:themeColor="text1"/>
                              <w:highlight w:val="none"/>
                              <w14:textFill>
                                <w14:solidFill>
                                  <w14:schemeClr w14:val="tx1"/>
                                </w14:solidFill>
                              </w14:textFill>
                            </w:rPr>
                          </m:ctrlPr>
                        </m:dPr>
                        <m:e>
                          <m:f>
                            <m:fPr>
                              <m:ctrlPr>
                                <w:rPr>
                                  <w:rFonts w:ascii="Cambria Math" w:hAnsi="Cambria Math"/>
                                  <w:i/>
                                  <w:color w:val="000000" w:themeColor="text1"/>
                                  <w:highlight w:val="none"/>
                                  <w14:textFill>
                                    <w14:solidFill>
                                      <w14:schemeClr w14:val="tx1"/>
                                    </w14:solidFill>
                                  </w14:textFill>
                                </w:rPr>
                              </m:ctrlPr>
                            </m:fPr>
                            <m:num>
                              <m:r>
                                <m:rPr/>
                                <w:rPr>
                                  <w:rFonts w:ascii="Cambria Math" w:hAnsi="Cambria Math"/>
                                  <w:color w:val="000000" w:themeColor="text1"/>
                                  <w:highlight w:val="none"/>
                                  <w14:textFill>
                                    <w14:solidFill>
                                      <w14:schemeClr w14:val="tx1"/>
                                    </w14:solidFill>
                                  </w14:textFill>
                                </w:rPr>
                                <m:t>M</m:t>
                              </m:r>
                              <m:ctrlPr>
                                <w:rPr>
                                  <w:rFonts w:ascii="Cambria Math" w:hAnsi="Cambria Math"/>
                                  <w:i/>
                                  <w:color w:val="000000" w:themeColor="text1"/>
                                  <w:highlight w:val="none"/>
                                  <w14:textFill>
                                    <w14:solidFill>
                                      <w14:schemeClr w14:val="tx1"/>
                                    </w14:solidFill>
                                  </w14:textFill>
                                </w:rPr>
                              </m:ctrlPr>
                            </m:num>
                            <m:den>
                              <m:r>
                                <m:rPr/>
                                <w:rPr>
                                  <w:rFonts w:ascii="Cambria Math" w:hAnsi="Cambria Math"/>
                                  <w:color w:val="000000" w:themeColor="text1"/>
                                  <w:highlight w:val="none"/>
                                  <w14:textFill>
                                    <w14:solidFill>
                                      <w14:schemeClr w14:val="tx1"/>
                                    </w14:solidFill>
                                  </w14:textFill>
                                </w:rPr>
                                <m:t>2</m:t>
                              </m:r>
                              <m:ctrlPr>
                                <w:rPr>
                                  <w:rFonts w:ascii="Cambria Math" w:hAnsi="Cambria Math"/>
                                  <w:i/>
                                  <w:color w:val="000000" w:themeColor="text1"/>
                                  <w:highlight w:val="none"/>
                                  <w14:textFill>
                                    <w14:solidFill>
                                      <w14:schemeClr w14:val="tx1"/>
                                    </w14:solidFill>
                                  </w14:textFill>
                                </w:rPr>
                              </m:ctrlPr>
                            </m:den>
                          </m:f>
                          <m:ctrlPr>
                            <w:rPr>
                              <w:rFonts w:ascii="Cambria Math" w:hAnsi="Cambria Math"/>
                              <w:i/>
                              <w:color w:val="000000" w:themeColor="text1"/>
                              <w:highlight w:val="none"/>
                              <w14:textFill>
                                <w14:solidFill>
                                  <w14:schemeClr w14:val="tx1"/>
                                </w14:solidFill>
                              </w14:textFill>
                            </w:rPr>
                          </m:ctrlPr>
                        </m:e>
                      </m:d>
                      <m:ctrlPr>
                        <w:rPr>
                          <w:rFonts w:ascii="Cambria Math" w:hAnsi="Cambria Math"/>
                          <w:i/>
                          <w:color w:val="000000" w:themeColor="text1"/>
                          <w:highlight w:val="none"/>
                          <w14:textFill>
                            <w14:solidFill>
                              <w14:schemeClr w14:val="tx1"/>
                            </w14:solidFill>
                          </w14:textFill>
                        </w:rPr>
                      </m:ctrlPr>
                    </m:e>
                    <m:sup>
                      <m:r>
                        <m:rPr/>
                        <w:rPr>
                          <w:rFonts w:ascii="Cambria Math" w:hAnsi="Cambria Math"/>
                          <w:color w:val="000000" w:themeColor="text1"/>
                          <w:highlight w:val="none"/>
                          <w14:textFill>
                            <w14:solidFill>
                              <w14:schemeClr w14:val="tx1"/>
                            </w14:solidFill>
                          </w14:textFill>
                        </w:rPr>
                        <m:t>1.4</m:t>
                      </m:r>
                      <m:ctrlPr>
                        <w:rPr>
                          <w:rFonts w:ascii="Cambria Math" w:hAnsi="Cambria Math"/>
                          <w:i/>
                          <w:color w:val="000000" w:themeColor="text1"/>
                          <w:highlight w:val="none"/>
                          <w14:textFill>
                            <w14:solidFill>
                              <w14:schemeClr w14:val="tx1"/>
                            </w14:solidFill>
                          </w14:textFill>
                        </w:rPr>
                      </m:ctrlPr>
                    </m:sup>
                  </m:sSup>
                  <m:ctrlPr>
                    <w:rPr>
                      <w:rFonts w:ascii="Cambria Math" w:hAnsi="Cambria Math"/>
                      <w:i/>
                      <w:color w:val="000000" w:themeColor="text1"/>
                      <w:highlight w:val="none"/>
                      <w14:textFill>
                        <w14:solidFill>
                          <w14:schemeClr w14:val="tx1"/>
                        </w14:solidFill>
                      </w14:textFill>
                    </w:rPr>
                  </m:ctrlPr>
                </m:den>
              </m:f>
              <m:r>
                <m:rPr/>
                <w:rPr>
                  <w:rFonts w:ascii="Cambria Math" w:hAnsi="Cambria Math"/>
                  <w:color w:val="000000" w:themeColor="text1"/>
                  <w:highlight w:val="none"/>
                  <w14:textFill>
                    <w14:solidFill>
                      <w14:schemeClr w14:val="tx1"/>
                    </w14:solidFill>
                  </w14:textFill>
                </w:rPr>
                <m:t>×</m:t>
              </m:r>
              <m:d>
                <m:dPr>
                  <m:ctrlPr>
                    <w:rPr>
                      <w:rFonts w:ascii="Cambria Math" w:hAnsi="Cambria Math"/>
                      <w:i/>
                      <w:color w:val="000000" w:themeColor="text1"/>
                      <w:highlight w:val="none"/>
                      <w14:textFill>
                        <w14:solidFill>
                          <w14:schemeClr w14:val="tx1"/>
                        </w14:solidFill>
                      </w14:textFill>
                    </w:rPr>
                  </m:ctrlPr>
                </m:dPr>
                <m:e>
                  <m:r>
                    <m:rPr/>
                    <w:rPr>
                      <w:rFonts w:ascii="Cambria Math" w:hAnsi="Cambria Math"/>
                      <w:color w:val="000000" w:themeColor="text1"/>
                      <w:highlight w:val="none"/>
                      <w14:textFill>
                        <w14:solidFill>
                          <w14:schemeClr w14:val="tx1"/>
                        </w14:solidFill>
                      </w14:textFill>
                    </w:rPr>
                    <m:t>1−η</m:t>
                  </m:r>
                  <m:ctrlPr>
                    <w:rPr>
                      <w:rFonts w:ascii="Cambria Math" w:hAnsi="Cambria Math"/>
                      <w:i/>
                      <w:color w:val="000000" w:themeColor="text1"/>
                      <w:highlight w:val="none"/>
                      <w14:textFill>
                        <w14:solidFill>
                          <w14:schemeClr w14:val="tx1"/>
                        </w14:solidFill>
                      </w14:textFill>
                    </w:rPr>
                  </m:ctrlPr>
                </m:e>
              </m:d>
            </m:oMath>
            <w:r>
              <w:rPr>
                <w:rFonts w:hint="eastAsia" w:ascii="Times New Roman" w:hAnsi="Times New Roman" w:eastAsia="宋体" w:cs="宋体"/>
                <w:color w:val="000000" w:themeColor="text1"/>
                <w:kern w:val="0"/>
                <w:sz w:val="24"/>
                <w:szCs w:val="24"/>
                <w:highlight w:val="none"/>
                <w14:textFill>
                  <w14:solidFill>
                    <w14:schemeClr w14:val="tx1"/>
                  </w14:solidFill>
                </w14:textFill>
              </w:rPr>
              <w:t>（2）</w:t>
            </w:r>
          </w:p>
          <w:p w14:paraId="59F34030">
            <w:pPr>
              <w:widowControl/>
              <w:spacing w:line="360" w:lineRule="auto"/>
              <w:ind w:firstLine="480" w:firstLineChars="200"/>
              <w:jc w:val="left"/>
              <w:rPr>
                <w:rFonts w:hint="default" w:ascii="Times New Roman" w:hAnsi="Times New Roman" w:eastAsia="宋体" w:cs="宋体"/>
                <w:color w:val="000000" w:themeColor="text1"/>
                <w:kern w:val="0"/>
                <w:sz w:val="24"/>
                <w:szCs w:val="24"/>
                <w:highlight w:val="none"/>
                <w:lang w:val="en-US" w:eastAsia="zh-CN"/>
                <w14:textFill>
                  <w14:solidFill>
                    <w14:schemeClr w14:val="tx1"/>
                  </w14:solidFill>
                </w14:textFill>
              </w:rPr>
            </w:pPr>
            <w:r>
              <w:rPr>
                <w:rFonts w:ascii="Times New Roman" w:hAnsi="Times New Roman" w:eastAsia="宋体" w:cs="宋体"/>
                <w:i/>
                <w:iCs/>
                <w:color w:val="000000" w:themeColor="text1"/>
                <w:kern w:val="0"/>
                <w:sz w:val="24"/>
                <w:szCs w:val="24"/>
                <w:highlight w:val="none"/>
                <w14:textFill>
                  <w14:solidFill>
                    <w14:schemeClr w14:val="tx1"/>
                  </w14:solidFill>
                </w14:textFill>
              </w:rPr>
              <w:t>E</w:t>
            </w:r>
            <w:r>
              <w:rPr>
                <w:rFonts w:ascii="Times New Roman" w:hAnsi="Times New Roman" w:eastAsia="宋体" w:cs="宋体"/>
                <w:i/>
                <w:iCs/>
                <w:color w:val="000000" w:themeColor="text1"/>
                <w:kern w:val="0"/>
                <w:sz w:val="24"/>
                <w:szCs w:val="24"/>
                <w:highlight w:val="none"/>
                <w:vertAlign w:val="subscript"/>
                <w14:textFill>
                  <w14:solidFill>
                    <w14:schemeClr w14:val="tx1"/>
                  </w14:solidFill>
                </w14:textFill>
              </w:rPr>
              <w:t>h</w:t>
            </w:r>
            <w:r>
              <w:rPr>
                <w:rFonts w:hint="eastAsia" w:ascii="Times New Roman" w:hAnsi="Times New Roman" w:eastAsia="宋体" w:cs="宋体"/>
                <w:i/>
                <w:iCs/>
                <w:color w:val="000000" w:themeColor="text1"/>
                <w:kern w:val="0"/>
                <w:sz w:val="24"/>
                <w:szCs w:val="24"/>
                <w:highlight w:val="none"/>
                <w14:textFill>
                  <w14:solidFill>
                    <w14:schemeClr w14:val="tx1"/>
                  </w14:solidFill>
                </w14:textFill>
              </w:rPr>
              <w:t>——</w:t>
            </w:r>
            <w:r>
              <w:rPr>
                <w:rFonts w:hint="eastAsia" w:ascii="Times New Roman" w:hAnsi="Times New Roman" w:eastAsia="宋体" w:cs="宋体"/>
                <w:color w:val="000000" w:themeColor="text1"/>
                <w:kern w:val="0"/>
                <w:sz w:val="24"/>
                <w:szCs w:val="24"/>
                <w:highlight w:val="none"/>
                <w14:textFill>
                  <w14:solidFill>
                    <w14:schemeClr w14:val="tx1"/>
                  </w14:solidFill>
                </w14:textFill>
              </w:rPr>
              <w:t>为堆场装卸扬尘的排放系数，</w:t>
            </w:r>
            <w:r>
              <w:rPr>
                <w:rFonts w:ascii="Times New Roman" w:hAnsi="Times New Roman" w:eastAsia="宋体" w:cs="宋体"/>
                <w:color w:val="000000" w:themeColor="text1"/>
                <w:kern w:val="0"/>
                <w:sz w:val="24"/>
                <w:szCs w:val="24"/>
                <w:highlight w:val="none"/>
                <w14:textFill>
                  <w14:solidFill>
                    <w14:schemeClr w14:val="tx1"/>
                  </w14:solidFill>
                </w14:textFill>
              </w:rPr>
              <w:t>kg/t</w:t>
            </w:r>
            <w:r>
              <w:rPr>
                <w:rFonts w:hint="eastAsia" w:ascii="Times New Roman" w:hAnsi="Times New Roman" w:eastAsia="宋体" w:cs="宋体"/>
                <w:color w:val="000000" w:themeColor="text1"/>
                <w:kern w:val="0"/>
                <w:sz w:val="24"/>
                <w:szCs w:val="24"/>
                <w:highlight w:val="none"/>
                <w14:textFill>
                  <w14:solidFill>
                    <w14:schemeClr w14:val="tx1"/>
                  </w14:solidFill>
                </w14:textFill>
              </w:rPr>
              <w:t>。</w:t>
            </w: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计算结果0.604</w:t>
            </w:r>
          </w:p>
          <w:p w14:paraId="63F258FD">
            <w:pPr>
              <w:widowControl/>
              <w:spacing w:line="360" w:lineRule="auto"/>
              <w:ind w:firstLine="480" w:firstLineChars="200"/>
              <w:jc w:val="left"/>
              <w:rPr>
                <w:rFonts w:ascii="Times New Roman" w:hAnsi="Times New Roman" w:eastAsia="宋体" w:cs="宋体"/>
                <w:color w:val="000000" w:themeColor="text1"/>
                <w:kern w:val="0"/>
                <w:sz w:val="24"/>
                <w:szCs w:val="24"/>
                <w:highlight w:val="none"/>
                <w14:textFill>
                  <w14:solidFill>
                    <w14:schemeClr w14:val="tx1"/>
                  </w14:solidFill>
                </w14:textFill>
              </w:rPr>
            </w:pPr>
            <w:r>
              <w:rPr>
                <w:rFonts w:ascii="Times New Roman" w:hAnsi="Times New Roman" w:eastAsia="宋体" w:cs="宋体"/>
                <w:i/>
                <w:iCs/>
                <w:color w:val="000000" w:themeColor="text1"/>
                <w:kern w:val="0"/>
                <w:sz w:val="24"/>
                <w:szCs w:val="24"/>
                <w:highlight w:val="none"/>
                <w14:textFill>
                  <w14:solidFill>
                    <w14:schemeClr w14:val="tx1"/>
                  </w14:solidFill>
                </w14:textFill>
              </w:rPr>
              <w:t>k</w:t>
            </w:r>
            <w:r>
              <w:rPr>
                <w:rFonts w:ascii="Times New Roman" w:hAnsi="Times New Roman" w:eastAsia="宋体" w:cs="宋体"/>
                <w:i/>
                <w:iCs/>
                <w:color w:val="000000" w:themeColor="text1"/>
                <w:kern w:val="0"/>
                <w:sz w:val="24"/>
                <w:szCs w:val="24"/>
                <w:highlight w:val="none"/>
                <w:vertAlign w:val="subscript"/>
                <w14:textFill>
                  <w14:solidFill>
                    <w14:schemeClr w14:val="tx1"/>
                  </w14:solidFill>
                </w14:textFill>
              </w:rPr>
              <w:t>i</w:t>
            </w:r>
            <w:r>
              <w:rPr>
                <w:rFonts w:hint="eastAsia" w:ascii="Times New Roman" w:hAnsi="Times New Roman" w:eastAsia="宋体" w:cs="宋体"/>
                <w:i/>
                <w:iCs/>
                <w:color w:val="000000" w:themeColor="text1"/>
                <w:kern w:val="0"/>
                <w:sz w:val="24"/>
                <w:szCs w:val="24"/>
                <w:highlight w:val="none"/>
                <w14:textFill>
                  <w14:solidFill>
                    <w14:schemeClr w14:val="tx1"/>
                  </w14:solidFill>
                </w14:textFill>
              </w:rPr>
              <w:t>——</w:t>
            </w:r>
            <w:r>
              <w:rPr>
                <w:rFonts w:hint="eastAsia" w:ascii="Times New Roman" w:hAnsi="Times New Roman" w:eastAsia="宋体" w:cs="宋体"/>
                <w:color w:val="000000" w:themeColor="text1"/>
                <w:kern w:val="0"/>
                <w:sz w:val="24"/>
                <w:szCs w:val="24"/>
                <w:highlight w:val="none"/>
                <w14:textFill>
                  <w14:solidFill>
                    <w14:schemeClr w14:val="tx1"/>
                  </w14:solidFill>
                </w14:textFill>
              </w:rPr>
              <w:t>为物料的粒度乘数，见表3.</w:t>
            </w:r>
            <w:r>
              <w:rPr>
                <w:rFonts w:ascii="Times New Roman" w:hAnsi="Times New Roman" w:eastAsia="宋体" w:cs="宋体"/>
                <w:color w:val="000000" w:themeColor="text1"/>
                <w:kern w:val="0"/>
                <w:sz w:val="24"/>
                <w:szCs w:val="24"/>
                <w:highlight w:val="none"/>
                <w14:textFill>
                  <w14:solidFill>
                    <w14:schemeClr w14:val="tx1"/>
                  </w14:solidFill>
                </w14:textFill>
              </w:rPr>
              <w:t>6</w:t>
            </w:r>
            <w:r>
              <w:rPr>
                <w:rFonts w:hint="eastAsia" w:ascii="Times New Roman" w:hAnsi="Times New Roman" w:eastAsia="宋体" w:cs="宋体"/>
                <w:color w:val="000000" w:themeColor="text1"/>
                <w:kern w:val="0"/>
                <w:sz w:val="24"/>
                <w:szCs w:val="24"/>
                <w:highlight w:val="none"/>
                <w14:textFill>
                  <w14:solidFill>
                    <w14:schemeClr w14:val="tx1"/>
                  </w14:solidFill>
                </w14:textFill>
              </w:rPr>
              <w:t>-</w:t>
            </w:r>
            <w:r>
              <w:rPr>
                <w:rFonts w:ascii="Times New Roman" w:hAnsi="Times New Roman" w:eastAsia="宋体" w:cs="宋体"/>
                <w:color w:val="000000" w:themeColor="text1"/>
                <w:kern w:val="0"/>
                <w:sz w:val="24"/>
                <w:szCs w:val="24"/>
                <w:highlight w:val="none"/>
                <w14:textFill>
                  <w14:solidFill>
                    <w14:schemeClr w14:val="tx1"/>
                  </w14:solidFill>
                </w14:textFill>
              </w:rPr>
              <w:t>4</w:t>
            </w:r>
            <w:r>
              <w:rPr>
                <w:rFonts w:hint="eastAsia" w:ascii="Times New Roman" w:hAnsi="Times New Roman" w:eastAsia="宋体" w:cs="宋体"/>
                <w:color w:val="000000" w:themeColor="text1"/>
                <w:kern w:val="0"/>
                <w:sz w:val="24"/>
                <w:szCs w:val="24"/>
                <w:highlight w:val="none"/>
                <w14:textFill>
                  <w14:solidFill>
                    <w14:schemeClr w14:val="tx1"/>
                  </w14:solidFill>
                </w14:textFill>
              </w:rPr>
              <w:t>，本项目原矿粒径大，仅考虑TSP，取0.74。</w:t>
            </w:r>
          </w:p>
          <w:p w14:paraId="634CBCCC">
            <w:pPr>
              <w:widowControl/>
              <w:spacing w:line="360" w:lineRule="auto"/>
              <w:ind w:firstLine="480" w:firstLineChars="200"/>
              <w:jc w:val="left"/>
              <w:rPr>
                <w:rFonts w:ascii="Times New Roman" w:hAnsi="Times New Roman" w:eastAsia="宋体" w:cs="宋体"/>
                <w:color w:val="000000" w:themeColor="text1"/>
                <w:kern w:val="0"/>
                <w:sz w:val="24"/>
                <w:szCs w:val="24"/>
                <w:highlight w:val="none"/>
                <w14:textFill>
                  <w14:solidFill>
                    <w14:schemeClr w14:val="tx1"/>
                  </w14:solidFill>
                </w14:textFill>
              </w:rPr>
            </w:pPr>
            <w:r>
              <w:rPr>
                <w:rFonts w:ascii="Times New Roman" w:hAnsi="Times New Roman" w:eastAsia="宋体" w:cs="宋体"/>
                <w:i/>
                <w:iCs/>
                <w:color w:val="000000" w:themeColor="text1"/>
                <w:kern w:val="0"/>
                <w:sz w:val="24"/>
                <w:szCs w:val="24"/>
                <w:highlight w:val="none"/>
                <w14:textFill>
                  <w14:solidFill>
                    <w14:schemeClr w14:val="tx1"/>
                  </w14:solidFill>
                </w14:textFill>
              </w:rPr>
              <w:t>u</w:t>
            </w:r>
            <w:r>
              <w:rPr>
                <w:rFonts w:hint="eastAsia" w:ascii="Times New Roman" w:hAnsi="Times New Roman" w:eastAsia="宋体" w:cs="宋体"/>
                <w:i/>
                <w:iCs/>
                <w:color w:val="000000" w:themeColor="text1"/>
                <w:kern w:val="0"/>
                <w:sz w:val="24"/>
                <w:szCs w:val="24"/>
                <w:highlight w:val="none"/>
                <w14:textFill>
                  <w14:solidFill>
                    <w14:schemeClr w14:val="tx1"/>
                  </w14:solidFill>
                </w14:textFill>
              </w:rPr>
              <w:t>——</w:t>
            </w:r>
            <w:r>
              <w:rPr>
                <w:rFonts w:hint="eastAsia" w:ascii="Times New Roman" w:hAnsi="Times New Roman" w:eastAsia="宋体" w:cs="宋体"/>
                <w:color w:val="000000" w:themeColor="text1"/>
                <w:kern w:val="0"/>
                <w:sz w:val="24"/>
                <w:szCs w:val="24"/>
                <w:highlight w:val="none"/>
                <w14:textFill>
                  <w14:solidFill>
                    <w14:schemeClr w14:val="tx1"/>
                  </w14:solidFill>
                </w14:textFill>
              </w:rPr>
              <w:t>为地面平均风速，</w:t>
            </w:r>
            <w:r>
              <w:rPr>
                <w:rFonts w:ascii="Times New Roman" w:hAnsi="Times New Roman" w:eastAsia="宋体" w:cs="宋体"/>
                <w:color w:val="000000" w:themeColor="text1"/>
                <w:kern w:val="0"/>
                <w:sz w:val="24"/>
                <w:szCs w:val="24"/>
                <w:highlight w:val="none"/>
                <w14:textFill>
                  <w14:solidFill>
                    <w14:schemeClr w14:val="tx1"/>
                  </w14:solidFill>
                </w14:textFill>
              </w:rPr>
              <w:t>m/s</w:t>
            </w:r>
            <w:r>
              <w:rPr>
                <w:rFonts w:hint="eastAsia" w:ascii="Times New Roman" w:hAnsi="Times New Roman" w:eastAsia="宋体" w:cs="宋体"/>
                <w:color w:val="000000" w:themeColor="text1"/>
                <w:kern w:val="0"/>
                <w:sz w:val="24"/>
                <w:szCs w:val="24"/>
                <w:highlight w:val="none"/>
                <w14:textFill>
                  <w14:solidFill>
                    <w14:schemeClr w14:val="tx1"/>
                  </w14:solidFill>
                </w14:textFill>
              </w:rPr>
              <w:t>，根据区域平均风速取</w:t>
            </w: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3.3</w:t>
            </w:r>
            <w:r>
              <w:rPr>
                <w:rFonts w:ascii="Times New Roman" w:hAnsi="Times New Roman" w:eastAsia="宋体" w:cs="宋体"/>
                <w:color w:val="000000" w:themeColor="text1"/>
                <w:kern w:val="0"/>
                <w:sz w:val="24"/>
                <w:szCs w:val="24"/>
                <w:highlight w:val="none"/>
                <w14:textFill>
                  <w14:solidFill>
                    <w14:schemeClr w14:val="tx1"/>
                  </w14:solidFill>
                </w14:textFill>
              </w:rPr>
              <w:t>m/s</w:t>
            </w:r>
            <w:r>
              <w:rPr>
                <w:rFonts w:hint="eastAsia" w:ascii="Times New Roman" w:hAnsi="Times New Roman" w:eastAsia="宋体" w:cs="宋体"/>
                <w:color w:val="000000" w:themeColor="text1"/>
                <w:kern w:val="0"/>
                <w:sz w:val="24"/>
                <w:szCs w:val="24"/>
                <w:highlight w:val="none"/>
                <w14:textFill>
                  <w14:solidFill>
                    <w14:schemeClr w14:val="tx1"/>
                  </w14:solidFill>
                </w14:textFill>
              </w:rPr>
              <w:t>。</w:t>
            </w:r>
          </w:p>
          <w:p w14:paraId="11F3C49D">
            <w:pPr>
              <w:widowControl/>
              <w:spacing w:line="360" w:lineRule="auto"/>
              <w:ind w:firstLine="480" w:firstLineChars="200"/>
              <w:jc w:val="left"/>
              <w:rPr>
                <w:rFonts w:ascii="Times New Roman" w:hAnsi="Times New Roman" w:eastAsia="宋体" w:cs="宋体"/>
                <w:color w:val="000000" w:themeColor="text1"/>
                <w:kern w:val="0"/>
                <w:sz w:val="24"/>
                <w:szCs w:val="24"/>
                <w:highlight w:val="none"/>
                <w14:textFill>
                  <w14:solidFill>
                    <w14:schemeClr w14:val="tx1"/>
                  </w14:solidFill>
                </w14:textFill>
              </w:rPr>
            </w:pPr>
            <w:r>
              <w:rPr>
                <w:rFonts w:ascii="Times New Roman" w:hAnsi="Times New Roman" w:eastAsia="宋体" w:cs="宋体"/>
                <w:i/>
                <w:iCs/>
                <w:color w:val="000000" w:themeColor="text1"/>
                <w:kern w:val="0"/>
                <w:sz w:val="24"/>
                <w:szCs w:val="24"/>
                <w:highlight w:val="none"/>
                <w14:textFill>
                  <w14:solidFill>
                    <w14:schemeClr w14:val="tx1"/>
                  </w14:solidFill>
                </w14:textFill>
              </w:rPr>
              <w:t>M</w:t>
            </w:r>
            <w:r>
              <w:rPr>
                <w:rFonts w:hint="eastAsia" w:ascii="Times New Roman" w:hAnsi="Times New Roman" w:eastAsia="宋体" w:cs="宋体"/>
                <w:i/>
                <w:iCs/>
                <w:color w:val="000000" w:themeColor="text1"/>
                <w:kern w:val="0"/>
                <w:sz w:val="24"/>
                <w:szCs w:val="24"/>
                <w:highlight w:val="none"/>
                <w14:textFill>
                  <w14:solidFill>
                    <w14:schemeClr w14:val="tx1"/>
                  </w14:solidFill>
                </w14:textFill>
              </w:rPr>
              <w:t>——</w:t>
            </w:r>
            <w:r>
              <w:rPr>
                <w:rFonts w:hint="eastAsia" w:ascii="Times New Roman" w:hAnsi="Times New Roman" w:eastAsia="宋体" w:cs="宋体"/>
                <w:color w:val="000000" w:themeColor="text1"/>
                <w:kern w:val="0"/>
                <w:sz w:val="24"/>
                <w:szCs w:val="24"/>
                <w:highlight w:val="none"/>
                <w14:textFill>
                  <w14:solidFill>
                    <w14:schemeClr w14:val="tx1"/>
                  </w14:solidFill>
                </w14:textFill>
              </w:rPr>
              <w:t>为物料含水率，</w:t>
            </w:r>
            <w:r>
              <w:rPr>
                <w:rFonts w:ascii="Times New Roman" w:hAnsi="Times New Roman" w:eastAsia="宋体" w:cs="宋体"/>
                <w:color w:val="000000" w:themeColor="text1"/>
                <w:kern w:val="0"/>
                <w:sz w:val="24"/>
                <w:szCs w:val="24"/>
                <w:highlight w:val="none"/>
                <w14:textFill>
                  <w14:solidFill>
                    <w14:schemeClr w14:val="tx1"/>
                  </w14:solidFill>
                </w14:textFill>
              </w:rPr>
              <w:t>%</w:t>
            </w:r>
            <w:r>
              <w:rPr>
                <w:rFonts w:hint="eastAsia" w:ascii="Times New Roman" w:hAnsi="Times New Roman" w:eastAsia="宋体" w:cs="宋体"/>
                <w:color w:val="000000" w:themeColor="text1"/>
                <w:kern w:val="0"/>
                <w:sz w:val="24"/>
                <w:szCs w:val="24"/>
                <w:highlight w:val="none"/>
                <w14:textFill>
                  <w14:solidFill>
                    <w14:schemeClr w14:val="tx1"/>
                  </w14:solidFill>
                </w14:textFill>
              </w:rPr>
              <w:t>，含水率取10%。</w:t>
            </w:r>
          </w:p>
          <w:p w14:paraId="4FCA8118">
            <w:pPr>
              <w:widowControl/>
              <w:spacing w:line="360" w:lineRule="auto"/>
              <w:ind w:firstLine="480" w:firstLineChars="200"/>
              <w:jc w:val="left"/>
              <w:rPr>
                <w:rFonts w:ascii="Times New Roman" w:hAnsi="Times New Roman" w:eastAsia="宋体" w:cs="宋体"/>
                <w:color w:val="000000" w:themeColor="text1"/>
                <w:kern w:val="0"/>
                <w:sz w:val="24"/>
                <w:szCs w:val="24"/>
                <w:highlight w:val="none"/>
                <w14:textFill>
                  <w14:solidFill>
                    <w14:schemeClr w14:val="tx1"/>
                  </w14:solidFill>
                </w14:textFill>
              </w:rPr>
            </w:pPr>
            <w:r>
              <w:rPr>
                <w:rFonts w:hint="eastAsia" w:ascii="Times New Roman" w:hAnsi="Times New Roman" w:eastAsia="宋体" w:cs="宋体"/>
                <w:i/>
                <w:iCs/>
                <w:color w:val="000000" w:themeColor="text1"/>
                <w:kern w:val="0"/>
                <w:sz w:val="24"/>
                <w:szCs w:val="24"/>
                <w:highlight w:val="none"/>
                <w14:textFill>
                  <w14:solidFill>
                    <w14:schemeClr w14:val="tx1"/>
                  </w14:solidFill>
                </w14:textFill>
              </w:rPr>
              <w:t>η——</w:t>
            </w:r>
            <w:r>
              <w:rPr>
                <w:rFonts w:hint="eastAsia" w:ascii="Times New Roman" w:hAnsi="Times New Roman" w:eastAsia="宋体" w:cs="宋体"/>
                <w:color w:val="000000" w:themeColor="text1"/>
                <w:kern w:val="0"/>
                <w:sz w:val="24"/>
                <w:szCs w:val="24"/>
                <w:highlight w:val="none"/>
                <w14:textFill>
                  <w14:solidFill>
                    <w14:schemeClr w14:val="tx1"/>
                  </w14:solidFill>
                </w14:textFill>
              </w:rPr>
              <w:t>为污染控制技术对扬尘的去除效率，</w:t>
            </w:r>
            <w:r>
              <w:rPr>
                <w:rFonts w:ascii="Times New Roman" w:hAnsi="Times New Roman" w:eastAsia="宋体" w:cs="宋体"/>
                <w:color w:val="000000" w:themeColor="text1"/>
                <w:kern w:val="0"/>
                <w:sz w:val="24"/>
                <w:szCs w:val="24"/>
                <w:highlight w:val="none"/>
                <w14:textFill>
                  <w14:solidFill>
                    <w14:schemeClr w14:val="tx1"/>
                  </w14:solidFill>
                </w14:textFill>
              </w:rPr>
              <w:t>%</w:t>
            </w:r>
            <w:r>
              <w:rPr>
                <w:rFonts w:hint="eastAsia" w:ascii="Times New Roman" w:hAnsi="Times New Roman" w:eastAsia="宋体" w:cs="宋体"/>
                <w:color w:val="000000" w:themeColor="text1"/>
                <w:kern w:val="0"/>
                <w:sz w:val="24"/>
                <w:szCs w:val="24"/>
                <w:highlight w:val="none"/>
                <w14:textFill>
                  <w14:solidFill>
                    <w14:schemeClr w14:val="tx1"/>
                  </w14:solidFill>
                </w14:textFill>
              </w:rPr>
              <w:t>，表3.</w:t>
            </w:r>
            <w:r>
              <w:rPr>
                <w:rFonts w:ascii="Times New Roman" w:hAnsi="Times New Roman" w:eastAsia="宋体" w:cs="宋体"/>
                <w:color w:val="000000" w:themeColor="text1"/>
                <w:kern w:val="0"/>
                <w:sz w:val="24"/>
                <w:szCs w:val="24"/>
                <w:highlight w:val="none"/>
                <w14:textFill>
                  <w14:solidFill>
                    <w14:schemeClr w14:val="tx1"/>
                  </w14:solidFill>
                </w14:textFill>
              </w:rPr>
              <w:t>6</w:t>
            </w:r>
            <w:r>
              <w:rPr>
                <w:rFonts w:hint="eastAsia" w:ascii="Times New Roman" w:hAnsi="Times New Roman" w:eastAsia="宋体" w:cs="宋体"/>
                <w:color w:val="000000" w:themeColor="text1"/>
                <w:kern w:val="0"/>
                <w:sz w:val="24"/>
                <w:szCs w:val="24"/>
                <w:highlight w:val="none"/>
                <w14:textFill>
                  <w14:solidFill>
                    <w14:schemeClr w14:val="tx1"/>
                  </w14:solidFill>
                </w14:textFill>
              </w:rPr>
              <w:t>-</w:t>
            </w:r>
            <w:r>
              <w:rPr>
                <w:rFonts w:ascii="Times New Roman" w:hAnsi="Times New Roman" w:eastAsia="宋体" w:cs="宋体"/>
                <w:color w:val="000000" w:themeColor="text1"/>
                <w:kern w:val="0"/>
                <w:sz w:val="24"/>
                <w:szCs w:val="24"/>
                <w:highlight w:val="none"/>
                <w14:textFill>
                  <w14:solidFill>
                    <w14:schemeClr w14:val="tx1"/>
                  </w14:solidFill>
                </w14:textFill>
              </w:rPr>
              <w:t>5</w:t>
            </w:r>
            <w:r>
              <w:rPr>
                <w:rFonts w:hint="eastAsia" w:ascii="Times New Roman" w:hAnsi="Times New Roman" w:eastAsia="宋体" w:cs="宋体"/>
                <w:color w:val="000000" w:themeColor="text1"/>
                <w:kern w:val="0"/>
                <w:sz w:val="24"/>
                <w:szCs w:val="24"/>
                <w:highlight w:val="none"/>
                <w14:textFill>
                  <w14:solidFill>
                    <w14:schemeClr w14:val="tx1"/>
                  </w14:solidFill>
                </w14:textFill>
              </w:rPr>
              <w:t>给出了各控制措施的效率。多种措施同时开展的，取控制效率最大值，本项目采取洒水降尘措施，</w:t>
            </w:r>
            <w:r>
              <w:rPr>
                <w:rFonts w:hint="eastAsia" w:ascii="Times New Roman" w:hAnsi="Times New Roman" w:eastAsia="宋体" w:cs="宋体"/>
                <w:i/>
                <w:iCs/>
                <w:color w:val="000000" w:themeColor="text1"/>
                <w:kern w:val="0"/>
                <w:sz w:val="24"/>
                <w:szCs w:val="24"/>
                <w:highlight w:val="none"/>
                <w14:textFill>
                  <w14:solidFill>
                    <w14:schemeClr w14:val="tx1"/>
                  </w14:solidFill>
                </w14:textFill>
              </w:rPr>
              <w:t>η</w:t>
            </w:r>
            <w:r>
              <w:rPr>
                <w:rFonts w:hint="eastAsia" w:ascii="Times New Roman" w:hAnsi="Times New Roman" w:eastAsia="宋体" w:cs="宋体"/>
                <w:color w:val="000000" w:themeColor="text1"/>
                <w:kern w:val="0"/>
                <w:sz w:val="24"/>
                <w:szCs w:val="24"/>
                <w:highlight w:val="none"/>
                <w14:textFill>
                  <w14:solidFill>
                    <w14:schemeClr w14:val="tx1"/>
                  </w14:solidFill>
                </w14:textFill>
              </w:rPr>
              <w:t>取</w:t>
            </w:r>
            <w:r>
              <w:rPr>
                <w:rFonts w:ascii="Times New Roman" w:hAnsi="Times New Roman" w:eastAsia="宋体" w:cs="宋体"/>
                <w:color w:val="000000" w:themeColor="text1"/>
                <w:kern w:val="0"/>
                <w:sz w:val="24"/>
                <w:szCs w:val="24"/>
                <w:highlight w:val="none"/>
                <w14:textFill>
                  <w14:solidFill>
                    <w14:schemeClr w14:val="tx1"/>
                  </w14:solidFill>
                </w14:textFill>
              </w:rPr>
              <w:t>74</w:t>
            </w:r>
            <w:r>
              <w:rPr>
                <w:rFonts w:hint="eastAsia" w:ascii="Times New Roman" w:hAnsi="Times New Roman" w:eastAsia="宋体" w:cs="宋体"/>
                <w:color w:val="000000" w:themeColor="text1"/>
                <w:kern w:val="0"/>
                <w:sz w:val="24"/>
                <w:szCs w:val="24"/>
                <w:highlight w:val="none"/>
                <w14:textFill>
                  <w14:solidFill>
                    <w14:schemeClr w14:val="tx1"/>
                  </w14:solidFill>
                </w14:textFill>
              </w:rPr>
              <w:t>%。</w:t>
            </w:r>
          </w:p>
          <w:p w14:paraId="26C74931">
            <w:pPr>
              <w:widowControl/>
              <w:adjustRightInd w:val="0"/>
              <w:snapToGrid w:val="0"/>
              <w:spacing w:line="400" w:lineRule="exact"/>
              <w:jc w:val="center"/>
              <w:rPr>
                <w:rFonts w:ascii="Times New Roman" w:hAnsi="Times New Roman" w:eastAsia="宋体" w:cs="宋体"/>
                <w:b/>
                <w:bCs/>
                <w:color w:val="000000" w:themeColor="text1"/>
                <w:kern w:val="0"/>
                <w:sz w:val="24"/>
                <w:szCs w:val="24"/>
                <w:highlight w:val="none"/>
                <w14:textFill>
                  <w14:solidFill>
                    <w14:schemeClr w14:val="tx1"/>
                  </w14:solidFill>
                </w14:textFill>
              </w:rPr>
            </w:pPr>
            <w:r>
              <w:rPr>
                <w:rFonts w:hint="eastAsia" w:ascii="Times New Roman" w:hAnsi="Times New Roman" w:eastAsia="宋体" w:cs="宋体"/>
                <w:b/>
                <w:bCs/>
                <w:color w:val="000000" w:themeColor="text1"/>
                <w:kern w:val="0"/>
                <w:sz w:val="24"/>
                <w:szCs w:val="24"/>
                <w:highlight w:val="none"/>
                <w14:textFill>
                  <w14:solidFill>
                    <w14:schemeClr w14:val="tx1"/>
                  </w14:solidFill>
                </w14:textFill>
              </w:rPr>
              <w:t>表</w:t>
            </w:r>
            <w:r>
              <w:rPr>
                <w:rFonts w:hint="eastAsia" w:ascii="Times New Roman" w:hAnsi="Times New Roman" w:eastAsia="宋体" w:cs="宋体"/>
                <w:b/>
                <w:bCs/>
                <w:color w:val="000000" w:themeColor="text1"/>
                <w:kern w:val="0"/>
                <w:sz w:val="24"/>
                <w:szCs w:val="24"/>
                <w:highlight w:val="none"/>
                <w:lang w:val="en-US" w:eastAsia="zh-CN"/>
                <w14:textFill>
                  <w14:solidFill>
                    <w14:schemeClr w14:val="tx1"/>
                  </w14:solidFill>
                </w14:textFill>
              </w:rPr>
              <w:t>4</w:t>
            </w:r>
            <w:r>
              <w:rPr>
                <w:rFonts w:hint="eastAsia" w:ascii="Times New Roman" w:hAnsi="Times New Roman" w:eastAsia="宋体" w:cs="宋体"/>
                <w:b/>
                <w:bCs/>
                <w:color w:val="000000" w:themeColor="text1"/>
                <w:kern w:val="0"/>
                <w:sz w:val="24"/>
                <w:szCs w:val="24"/>
                <w:highlight w:val="none"/>
                <w14:textFill>
                  <w14:solidFill>
                    <w14:schemeClr w14:val="tx1"/>
                  </w14:solidFill>
                </w14:textFill>
              </w:rPr>
              <w:t>-</w:t>
            </w:r>
            <w:r>
              <w:rPr>
                <w:rFonts w:ascii="Times New Roman" w:hAnsi="Times New Roman" w:eastAsia="宋体" w:cs="宋体"/>
                <w:b/>
                <w:bCs/>
                <w:color w:val="000000" w:themeColor="text1"/>
                <w:kern w:val="0"/>
                <w:sz w:val="24"/>
                <w:szCs w:val="24"/>
                <w:highlight w:val="none"/>
                <w14:textFill>
                  <w14:solidFill>
                    <w14:schemeClr w14:val="tx1"/>
                  </w14:solidFill>
                </w14:textFill>
              </w:rPr>
              <w:t>1</w:t>
            </w:r>
            <w:r>
              <w:rPr>
                <w:rFonts w:hint="eastAsia" w:ascii="Times New Roman" w:hAnsi="Times New Roman" w:eastAsia="宋体" w:cs="宋体"/>
                <w:b/>
                <w:bCs/>
                <w:color w:val="000000" w:themeColor="text1"/>
                <w:kern w:val="0"/>
                <w:sz w:val="24"/>
                <w:szCs w:val="24"/>
                <w:highlight w:val="none"/>
                <w14:textFill>
                  <w14:solidFill>
                    <w14:schemeClr w14:val="tx1"/>
                  </w14:solidFill>
                </w14:textFill>
              </w:rPr>
              <w:t>装卸过程中产生的物料力度乘数</w:t>
            </w:r>
          </w:p>
          <w:tbl>
            <w:tblPr>
              <w:tblStyle w:val="3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73"/>
              <w:gridCol w:w="1892"/>
              <w:gridCol w:w="1910"/>
              <w:gridCol w:w="1916"/>
            </w:tblGrid>
            <w:tr w14:paraId="7A8E4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74" w:type="dxa"/>
                  <w:vAlign w:val="center"/>
                </w:tcPr>
                <w:p w14:paraId="464F9D9D">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粒径</w:t>
                  </w:r>
                </w:p>
              </w:tc>
              <w:tc>
                <w:tcPr>
                  <w:tcW w:w="2074" w:type="dxa"/>
                  <w:vAlign w:val="center"/>
                </w:tcPr>
                <w:p w14:paraId="775E6E71">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TSP</w:t>
                  </w:r>
                </w:p>
              </w:tc>
              <w:tc>
                <w:tcPr>
                  <w:tcW w:w="2074" w:type="dxa"/>
                  <w:vAlign w:val="center"/>
                </w:tcPr>
                <w:p w14:paraId="7CBFE028">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PM10</w:t>
                  </w:r>
                </w:p>
              </w:tc>
              <w:tc>
                <w:tcPr>
                  <w:tcW w:w="2074" w:type="dxa"/>
                  <w:vAlign w:val="center"/>
                </w:tcPr>
                <w:p w14:paraId="68074927">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PM2.5</w:t>
                  </w:r>
                </w:p>
              </w:tc>
            </w:tr>
            <w:tr w14:paraId="30D6B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74" w:type="dxa"/>
                  <w:vAlign w:val="center"/>
                </w:tcPr>
                <w:p w14:paraId="3F9E79D8">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粒度乘数/无量纲</w:t>
                  </w:r>
                </w:p>
              </w:tc>
              <w:tc>
                <w:tcPr>
                  <w:tcW w:w="2074" w:type="dxa"/>
                  <w:vAlign w:val="center"/>
                </w:tcPr>
                <w:p w14:paraId="3DB524EB">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0.74</w:t>
                  </w:r>
                </w:p>
              </w:tc>
              <w:tc>
                <w:tcPr>
                  <w:tcW w:w="2074" w:type="dxa"/>
                  <w:vAlign w:val="center"/>
                </w:tcPr>
                <w:p w14:paraId="69560FDA">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0.35</w:t>
                  </w:r>
                </w:p>
              </w:tc>
              <w:tc>
                <w:tcPr>
                  <w:tcW w:w="2074" w:type="dxa"/>
                  <w:vAlign w:val="center"/>
                </w:tcPr>
                <w:p w14:paraId="25AB1F26">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0.053</w:t>
                  </w:r>
                </w:p>
              </w:tc>
            </w:tr>
          </w:tbl>
          <w:p w14:paraId="397ADBDE">
            <w:pPr>
              <w:widowControl/>
              <w:adjustRightInd w:val="0"/>
              <w:snapToGrid w:val="0"/>
              <w:spacing w:line="400" w:lineRule="exact"/>
              <w:jc w:val="center"/>
              <w:rPr>
                <w:rFonts w:ascii="Times New Roman" w:hAnsi="Times New Roman" w:eastAsia="宋体" w:cs="宋体"/>
                <w:b/>
                <w:bCs/>
                <w:color w:val="000000" w:themeColor="text1"/>
                <w:kern w:val="0"/>
                <w:sz w:val="24"/>
                <w:szCs w:val="24"/>
                <w:highlight w:val="none"/>
                <w14:textFill>
                  <w14:solidFill>
                    <w14:schemeClr w14:val="tx1"/>
                  </w14:solidFill>
                </w14:textFill>
              </w:rPr>
            </w:pPr>
            <w:r>
              <w:rPr>
                <w:rFonts w:hint="eastAsia" w:ascii="Times New Roman" w:hAnsi="Times New Roman" w:eastAsia="宋体" w:cs="宋体"/>
                <w:b/>
                <w:bCs/>
                <w:color w:val="000000" w:themeColor="text1"/>
                <w:kern w:val="0"/>
                <w:sz w:val="24"/>
                <w:szCs w:val="24"/>
                <w:highlight w:val="none"/>
                <w14:textFill>
                  <w14:solidFill>
                    <w14:schemeClr w14:val="tx1"/>
                  </w14:solidFill>
                </w14:textFill>
              </w:rPr>
              <w:t>表</w:t>
            </w:r>
            <w:r>
              <w:rPr>
                <w:rFonts w:hint="eastAsia" w:ascii="Times New Roman" w:hAnsi="Times New Roman" w:eastAsia="宋体" w:cs="宋体"/>
                <w:b/>
                <w:bCs/>
                <w:color w:val="000000" w:themeColor="text1"/>
                <w:kern w:val="0"/>
                <w:sz w:val="24"/>
                <w:szCs w:val="24"/>
                <w:highlight w:val="none"/>
                <w:lang w:val="en-US" w:eastAsia="zh-CN"/>
                <w14:textFill>
                  <w14:solidFill>
                    <w14:schemeClr w14:val="tx1"/>
                  </w14:solidFill>
                </w14:textFill>
              </w:rPr>
              <w:t>4</w:t>
            </w:r>
            <w:r>
              <w:rPr>
                <w:rFonts w:hint="eastAsia" w:ascii="Times New Roman" w:hAnsi="Times New Roman" w:eastAsia="宋体" w:cs="宋体"/>
                <w:b/>
                <w:bCs/>
                <w:color w:val="000000" w:themeColor="text1"/>
                <w:kern w:val="0"/>
                <w:sz w:val="24"/>
                <w:szCs w:val="24"/>
                <w:highlight w:val="none"/>
                <w14:textFill>
                  <w14:solidFill>
                    <w14:schemeClr w14:val="tx1"/>
                  </w14:solidFill>
                </w14:textFill>
              </w:rPr>
              <w:t>-</w:t>
            </w:r>
            <w:r>
              <w:rPr>
                <w:rFonts w:ascii="Times New Roman" w:hAnsi="Times New Roman" w:eastAsia="宋体" w:cs="宋体"/>
                <w:b/>
                <w:bCs/>
                <w:color w:val="000000" w:themeColor="text1"/>
                <w:kern w:val="0"/>
                <w:sz w:val="24"/>
                <w:szCs w:val="24"/>
                <w:highlight w:val="none"/>
                <w14:textFill>
                  <w14:solidFill>
                    <w14:schemeClr w14:val="tx1"/>
                  </w14:solidFill>
                </w14:textFill>
              </w:rPr>
              <w:t>2</w:t>
            </w:r>
            <w:r>
              <w:rPr>
                <w:rFonts w:hint="eastAsia" w:ascii="Times New Roman" w:hAnsi="Times New Roman" w:eastAsia="宋体" w:cs="宋体"/>
                <w:b/>
                <w:bCs/>
                <w:color w:val="000000" w:themeColor="text1"/>
                <w:kern w:val="0"/>
                <w:sz w:val="24"/>
                <w:szCs w:val="24"/>
                <w:highlight w:val="none"/>
                <w14:textFill>
                  <w14:solidFill>
                    <w14:schemeClr w14:val="tx1"/>
                  </w14:solidFill>
                </w14:textFill>
              </w:rPr>
              <w:t>堆场操作扬尘控制措施的控制效率</w:t>
            </w:r>
          </w:p>
          <w:tbl>
            <w:tblPr>
              <w:tblStyle w:val="3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1685"/>
              <w:gridCol w:w="1570"/>
              <w:gridCol w:w="1911"/>
            </w:tblGrid>
            <w:tr w14:paraId="36F7E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2689" w:type="dxa"/>
                  <w:vAlign w:val="center"/>
                </w:tcPr>
                <w:p w14:paraId="3951A59F">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控制措施</w:t>
                  </w:r>
                </w:p>
              </w:tc>
              <w:tc>
                <w:tcPr>
                  <w:tcW w:w="1842" w:type="dxa"/>
                  <w:vAlign w:val="center"/>
                </w:tcPr>
                <w:p w14:paraId="0C4B93AA">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TSP控制措施</w:t>
                  </w:r>
                </w:p>
              </w:tc>
              <w:tc>
                <w:tcPr>
                  <w:tcW w:w="1691" w:type="dxa"/>
                  <w:vAlign w:val="center"/>
                </w:tcPr>
                <w:p w14:paraId="4A6C9E80">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PM10控制措施</w:t>
                  </w:r>
                </w:p>
              </w:tc>
              <w:tc>
                <w:tcPr>
                  <w:tcW w:w="2074" w:type="dxa"/>
                  <w:vAlign w:val="center"/>
                </w:tcPr>
                <w:p w14:paraId="440961C0">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PM2.5控制措施</w:t>
                  </w:r>
                </w:p>
              </w:tc>
            </w:tr>
            <w:tr w14:paraId="5BFA64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9" w:type="dxa"/>
                  <w:vAlign w:val="center"/>
                </w:tcPr>
                <w:p w14:paraId="5F65EC8D">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输送点位连续洒水操作</w:t>
                  </w:r>
                </w:p>
              </w:tc>
              <w:tc>
                <w:tcPr>
                  <w:tcW w:w="1842" w:type="dxa"/>
                  <w:vAlign w:val="center"/>
                </w:tcPr>
                <w:p w14:paraId="6430B93C">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74%</w:t>
                  </w:r>
                </w:p>
              </w:tc>
              <w:tc>
                <w:tcPr>
                  <w:tcW w:w="1691" w:type="dxa"/>
                  <w:vAlign w:val="center"/>
                </w:tcPr>
                <w:p w14:paraId="3C3F0EBC">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62%</w:t>
                  </w:r>
                </w:p>
              </w:tc>
              <w:tc>
                <w:tcPr>
                  <w:tcW w:w="2074" w:type="dxa"/>
                  <w:vAlign w:val="center"/>
                </w:tcPr>
                <w:p w14:paraId="5A251744">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52%</w:t>
                  </w:r>
                </w:p>
              </w:tc>
            </w:tr>
            <w:tr w14:paraId="62396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9" w:type="dxa"/>
                  <w:vAlign w:val="center"/>
                </w:tcPr>
                <w:p w14:paraId="2FF99876">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建筑料堆的三边用孔隙率50%的围挡遮围</w:t>
                  </w:r>
                </w:p>
              </w:tc>
              <w:tc>
                <w:tcPr>
                  <w:tcW w:w="1842" w:type="dxa"/>
                  <w:vAlign w:val="center"/>
                </w:tcPr>
                <w:p w14:paraId="155AC31B">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90%</w:t>
                  </w:r>
                </w:p>
              </w:tc>
              <w:tc>
                <w:tcPr>
                  <w:tcW w:w="1691" w:type="dxa"/>
                  <w:vAlign w:val="center"/>
                </w:tcPr>
                <w:p w14:paraId="55FBAD49">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75%</w:t>
                  </w:r>
                </w:p>
              </w:tc>
              <w:tc>
                <w:tcPr>
                  <w:tcW w:w="2074" w:type="dxa"/>
                  <w:vAlign w:val="center"/>
                </w:tcPr>
                <w:p w14:paraId="3333B87D">
                  <w:pPr>
                    <w:widowControl/>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63%</w:t>
                  </w:r>
                </w:p>
              </w:tc>
            </w:tr>
          </w:tbl>
          <w:p w14:paraId="718E6FCD">
            <w:pPr>
              <w:widowControl/>
              <w:spacing w:line="360" w:lineRule="auto"/>
              <w:jc w:val="left"/>
              <w:rPr>
                <w:rFonts w:hint="eastAsia" w:ascii="Times New Roman" w:hAnsi="Times New Roman" w:eastAsia="宋体" w:cs="宋体"/>
                <w:b w:val="0"/>
                <w:bCs/>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宋体"/>
                <w:b w:val="0"/>
                <w:bCs/>
                <w:color w:val="000000" w:themeColor="text1"/>
                <w:kern w:val="0"/>
                <w:sz w:val="24"/>
                <w:szCs w:val="24"/>
                <w:highlight w:val="none"/>
                <w:lang w:val="en-US" w:eastAsia="zh-CN"/>
                <w14:textFill>
                  <w14:solidFill>
                    <w14:schemeClr w14:val="tx1"/>
                  </w14:solidFill>
                </w14:textFill>
              </w:rPr>
              <w:t>堆场装卸扬尘中TSP 的排放系数为：5.4×10</w:t>
            </w:r>
            <w:r>
              <w:rPr>
                <w:rFonts w:hint="eastAsia" w:ascii="Times New Roman" w:hAnsi="Times New Roman" w:eastAsia="宋体" w:cs="宋体"/>
                <w:b w:val="0"/>
                <w:bCs/>
                <w:color w:val="000000" w:themeColor="text1"/>
                <w:kern w:val="0"/>
                <w:sz w:val="24"/>
                <w:szCs w:val="24"/>
                <w:highlight w:val="none"/>
                <w:vertAlign w:val="superscript"/>
                <w:lang w:val="en-US" w:eastAsia="zh-CN"/>
                <w14:textFill>
                  <w14:solidFill>
                    <w14:schemeClr w14:val="tx1"/>
                  </w14:solidFill>
                </w14:textFill>
              </w:rPr>
              <w:t>-5</w:t>
            </w:r>
            <w:r>
              <w:rPr>
                <w:rFonts w:hint="eastAsia" w:ascii="Times New Roman" w:hAnsi="Times New Roman" w:eastAsia="宋体" w:cs="宋体"/>
                <w:b w:val="0"/>
                <w:bCs/>
                <w:color w:val="000000" w:themeColor="text1"/>
                <w:kern w:val="0"/>
                <w:sz w:val="24"/>
                <w:szCs w:val="24"/>
                <w:highlight w:val="none"/>
                <w:lang w:val="en-US" w:eastAsia="zh-CN"/>
                <w14:textFill>
                  <w14:solidFill>
                    <w14:schemeClr w14:val="tx1"/>
                  </w14:solidFill>
                </w14:textFill>
              </w:rPr>
              <w:t>kg/t；项目石料和渣料用量17180t；原料装卸作业粉尘排放量为0.9kg。</w:t>
            </w:r>
          </w:p>
          <w:p w14:paraId="10A4B708">
            <w:pPr>
              <w:adjustRightInd w:val="0"/>
              <w:snapToGrid w:val="0"/>
              <w:spacing w:line="360" w:lineRule="auto"/>
              <w:ind w:firstLine="480" w:firstLineChars="200"/>
              <w:rPr>
                <w:rFonts w:hint="eastAsia" w:ascii="Times New Roman" w:hAnsi="Times New Roman" w:eastAsia="宋体"/>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 w:val="0"/>
                <w:bCs/>
                <w:color w:val="000000" w:themeColor="text1"/>
                <w:sz w:val="24"/>
                <w:szCs w:val="24"/>
                <w:highlight w:val="none"/>
                <w:lang w:val="en-US" w:eastAsia="zh-CN"/>
                <w14:textFill>
                  <w14:solidFill>
                    <w14:schemeClr w14:val="tx1"/>
                  </w14:solidFill>
                </w14:textFill>
              </w:rPr>
              <w:t>由于物料均为石料、砂料、渣料，粒径较大，堆存过程采取苫布遮盖，堆存过程粉尘起尘量较小，本次评价忽略不予量化分析。</w:t>
            </w:r>
          </w:p>
          <w:p w14:paraId="3E2DCDB1">
            <w:pPr>
              <w:adjustRightInd w:val="0"/>
              <w:snapToGrid w:val="0"/>
              <w:spacing w:line="360" w:lineRule="auto"/>
              <w:ind w:firstLine="480" w:firstLineChars="200"/>
              <w:rPr>
                <w:rFonts w:hint="default" w:ascii="Times New Roman" w:hAnsi="Times New Roman" w:eastAsia="宋体"/>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 w:val="0"/>
                <w:bCs/>
                <w:color w:val="000000" w:themeColor="text1"/>
                <w:sz w:val="24"/>
                <w:szCs w:val="24"/>
                <w:highlight w:val="none"/>
                <w:lang w:val="en-US" w:eastAsia="zh-CN"/>
                <w14:textFill>
                  <w14:solidFill>
                    <w14:schemeClr w14:val="tx1"/>
                  </w14:solidFill>
                </w14:textFill>
              </w:rPr>
              <w:t>③拌合过程粉尘</w:t>
            </w:r>
          </w:p>
          <w:bookmarkEnd w:id="3"/>
          <w:p w14:paraId="3AC496D1">
            <w:pPr>
              <w:widowControl w:val="0"/>
              <w:numPr>
                <w:ilvl w:val="0"/>
                <w:numId w:val="0"/>
              </w:numPr>
              <w:spacing w:line="360" w:lineRule="auto"/>
              <w:ind w:firstLine="480" w:firstLineChars="200"/>
              <w:jc w:val="both"/>
              <w:rPr>
                <w:rFonts w:hint="default" w:cs="Times New Roman"/>
                <w:b w:val="0"/>
                <w:bCs w:val="0"/>
                <w:color w:val="000000" w:themeColor="text1"/>
                <w:sz w:val="24"/>
                <w:highlight w:val="none"/>
                <w:lang w:val="en-US" w:eastAsia="zh-CN"/>
                <w14:textFill>
                  <w14:solidFill>
                    <w14:schemeClr w14:val="tx1"/>
                  </w14:solidFill>
                </w14:textFill>
              </w:rPr>
            </w:pPr>
            <w:r>
              <w:rPr>
                <w:rFonts w:hint="default" w:cs="Times New Roman"/>
                <w:b w:val="0"/>
                <w:bCs w:val="0"/>
                <w:color w:val="000000" w:themeColor="text1"/>
                <w:sz w:val="24"/>
                <w:highlight w:val="none"/>
                <w:lang w:val="en-US" w:eastAsia="zh-CN"/>
                <w14:textFill>
                  <w14:solidFill>
                    <w14:schemeClr w14:val="tx1"/>
                  </w14:solidFill>
                </w14:textFill>
              </w:rPr>
              <w:t>项目</w:t>
            </w:r>
            <w:r>
              <w:rPr>
                <w:rFonts w:hint="eastAsia" w:cs="Times New Roman"/>
                <w:b w:val="0"/>
                <w:bCs w:val="0"/>
                <w:color w:val="000000" w:themeColor="text1"/>
                <w:sz w:val="24"/>
                <w:highlight w:val="none"/>
                <w:lang w:val="en-US" w:eastAsia="zh-CN"/>
                <w14:textFill>
                  <w14:solidFill>
                    <w14:schemeClr w14:val="tx1"/>
                  </w14:solidFill>
                </w14:textFill>
              </w:rPr>
              <w:t>混凝土</w:t>
            </w:r>
            <w:r>
              <w:rPr>
                <w:rFonts w:hint="default" w:cs="Times New Roman"/>
                <w:b w:val="0"/>
                <w:bCs w:val="0"/>
                <w:color w:val="000000" w:themeColor="text1"/>
                <w:sz w:val="24"/>
                <w:highlight w:val="none"/>
                <w:lang w:val="en-US" w:eastAsia="zh-CN"/>
                <w14:textFill>
                  <w14:solidFill>
                    <w14:schemeClr w14:val="tx1"/>
                  </w14:solidFill>
                </w14:textFill>
              </w:rPr>
              <w:t>投料和搅拌过程中产生的粉尘经收集后经搅拌主机配套的布袋收尘器处理，经收尘器处理后回用于生产。搅拌楼封闭，仅有少量无组织粉尘逸散，对外环境影响较小。</w:t>
            </w:r>
          </w:p>
          <w:p w14:paraId="61EF5541">
            <w:pPr>
              <w:widowControl w:val="0"/>
              <w:numPr>
                <w:ilvl w:val="0"/>
                <w:numId w:val="0"/>
              </w:numPr>
              <w:spacing w:line="360" w:lineRule="auto"/>
              <w:jc w:val="both"/>
              <w:rPr>
                <w:rFonts w:hint="default" w:cs="Times New Roman"/>
                <w:b w:val="0"/>
                <w:bCs w:val="0"/>
                <w:color w:val="000000" w:themeColor="text1"/>
                <w:sz w:val="24"/>
                <w:highlight w:val="none"/>
                <w:lang w:val="en-US" w:eastAsia="zh-CN"/>
                <w14:textFill>
                  <w14:solidFill>
                    <w14:schemeClr w14:val="tx1"/>
                  </w14:solidFill>
                </w14:textFill>
              </w:rPr>
            </w:pPr>
            <w:r>
              <w:rPr>
                <w:rFonts w:hint="default" w:cs="Times New Roman"/>
                <w:b w:val="0"/>
                <w:bCs w:val="0"/>
                <w:color w:val="000000" w:themeColor="text1"/>
                <w:sz w:val="24"/>
                <w:highlight w:val="none"/>
                <w:lang w:val="en-US" w:eastAsia="zh-CN"/>
                <w14:textFill>
                  <w14:solidFill>
                    <w14:schemeClr w14:val="tx1"/>
                  </w14:solidFill>
                </w14:textFill>
              </w:rPr>
              <w:t>根据《排放源统计调查产排污核算方法和系数手册》（2021 版）中 3021 水泥制品制造，物料混合搅拌粉尘产生量按 0.13kg/t-产品计，袋式除尘技术平均去除效率99.7%。本项目年</w:t>
            </w:r>
            <w:r>
              <w:rPr>
                <w:rFonts w:hint="eastAsia" w:cs="Times New Roman"/>
                <w:b w:val="0"/>
                <w:bCs w:val="0"/>
                <w:color w:val="000000" w:themeColor="text1"/>
                <w:sz w:val="24"/>
                <w:highlight w:val="none"/>
                <w:lang w:val="en-US" w:eastAsia="zh-CN"/>
                <w14:textFill>
                  <w14:solidFill>
                    <w14:schemeClr w14:val="tx1"/>
                  </w14:solidFill>
                </w14:textFill>
              </w:rPr>
              <w:t>用量</w:t>
            </w:r>
            <w:r>
              <w:rPr>
                <w:rFonts w:hint="default" w:cs="Times New Roman"/>
                <w:b w:val="0"/>
                <w:bCs w:val="0"/>
                <w:color w:val="000000" w:themeColor="text1"/>
                <w:sz w:val="24"/>
                <w:highlight w:val="none"/>
                <w:lang w:val="en-US" w:eastAsia="zh-CN"/>
                <w14:textFill>
                  <w14:solidFill>
                    <w14:schemeClr w14:val="tx1"/>
                  </w14:solidFill>
                </w14:textFill>
              </w:rPr>
              <w:t xml:space="preserve"> </w:t>
            </w:r>
            <w:r>
              <w:rPr>
                <w:rFonts w:hint="eastAsia" w:cs="Times New Roman"/>
                <w:b w:val="0"/>
                <w:bCs w:val="0"/>
                <w:color w:val="000000" w:themeColor="text1"/>
                <w:sz w:val="24"/>
                <w:highlight w:val="none"/>
                <w:lang w:val="en-US" w:eastAsia="zh-CN"/>
                <w14:textFill>
                  <w14:solidFill>
                    <w14:schemeClr w14:val="tx1"/>
                  </w14:solidFill>
                </w14:textFill>
              </w:rPr>
              <w:t>2</w:t>
            </w:r>
            <w:r>
              <w:rPr>
                <w:rFonts w:hint="default" w:cs="Times New Roman"/>
                <w:b w:val="0"/>
                <w:bCs w:val="0"/>
                <w:color w:val="000000" w:themeColor="text1"/>
                <w:sz w:val="24"/>
                <w:highlight w:val="none"/>
                <w:lang w:val="en-US" w:eastAsia="zh-CN"/>
                <w14:textFill>
                  <w14:solidFill>
                    <w14:schemeClr w14:val="tx1"/>
                  </w14:solidFill>
                </w14:textFill>
              </w:rPr>
              <w:t>万立方商品混凝土（约</w:t>
            </w:r>
            <w:r>
              <w:rPr>
                <w:rFonts w:hint="eastAsia" w:cs="Times New Roman"/>
                <w:b w:val="0"/>
                <w:bCs w:val="0"/>
                <w:color w:val="000000" w:themeColor="text1"/>
                <w:sz w:val="24"/>
                <w:highlight w:val="none"/>
                <w:lang w:val="en-US" w:eastAsia="zh-CN"/>
                <w14:textFill>
                  <w14:solidFill>
                    <w14:schemeClr w14:val="tx1"/>
                  </w14:solidFill>
                </w14:textFill>
              </w:rPr>
              <w:t>5</w:t>
            </w:r>
            <w:r>
              <w:rPr>
                <w:rFonts w:hint="default" w:cs="Times New Roman"/>
                <w:b w:val="0"/>
                <w:bCs w:val="0"/>
                <w:color w:val="000000" w:themeColor="text1"/>
                <w:sz w:val="24"/>
                <w:highlight w:val="none"/>
                <w:lang w:val="en-US" w:eastAsia="zh-CN"/>
                <w14:textFill>
                  <w14:solidFill>
                    <w14:schemeClr w14:val="tx1"/>
                  </w14:solidFill>
                </w14:textFill>
              </w:rPr>
              <w:t xml:space="preserve"> 万吨），则本项目搅拌粉尘产生量为 </w:t>
            </w:r>
            <w:r>
              <w:rPr>
                <w:rFonts w:hint="eastAsia" w:cs="Times New Roman"/>
                <w:b w:val="0"/>
                <w:bCs w:val="0"/>
                <w:color w:val="000000" w:themeColor="text1"/>
                <w:sz w:val="24"/>
                <w:highlight w:val="none"/>
                <w:lang w:val="en-US" w:eastAsia="zh-CN"/>
                <w14:textFill>
                  <w14:solidFill>
                    <w14:schemeClr w14:val="tx1"/>
                  </w14:solidFill>
                </w14:textFill>
              </w:rPr>
              <w:t>6.</w:t>
            </w:r>
            <w:r>
              <w:rPr>
                <w:rFonts w:hint="default" w:cs="Times New Roman"/>
                <w:b w:val="0"/>
                <w:bCs w:val="0"/>
                <w:color w:val="000000" w:themeColor="text1"/>
                <w:sz w:val="24"/>
                <w:highlight w:val="none"/>
                <w:lang w:val="en-US" w:eastAsia="zh-CN"/>
                <w14:textFill>
                  <w14:solidFill>
                    <w14:schemeClr w14:val="tx1"/>
                  </w14:solidFill>
                </w14:textFill>
              </w:rPr>
              <w:t>5t/a，通过自带的布袋收尘器处理后的排放量为 0.0</w:t>
            </w:r>
            <w:r>
              <w:rPr>
                <w:rFonts w:hint="eastAsia" w:cs="Times New Roman"/>
                <w:b w:val="0"/>
                <w:bCs w:val="0"/>
                <w:color w:val="000000" w:themeColor="text1"/>
                <w:sz w:val="24"/>
                <w:highlight w:val="none"/>
                <w:lang w:val="en-US" w:eastAsia="zh-CN"/>
                <w14:textFill>
                  <w14:solidFill>
                    <w14:schemeClr w14:val="tx1"/>
                  </w14:solidFill>
                </w14:textFill>
              </w:rPr>
              <w:t>2</w:t>
            </w:r>
            <w:r>
              <w:rPr>
                <w:rFonts w:hint="default" w:cs="Times New Roman"/>
                <w:b w:val="0"/>
                <w:bCs w:val="0"/>
                <w:color w:val="000000" w:themeColor="text1"/>
                <w:sz w:val="24"/>
                <w:highlight w:val="none"/>
                <w:lang w:val="en-US" w:eastAsia="zh-CN"/>
                <w14:textFill>
                  <w14:solidFill>
                    <w14:schemeClr w14:val="tx1"/>
                  </w14:solidFill>
                </w14:textFill>
              </w:rPr>
              <w:t>t/a（去除效率取 99.7%），在搅拌楼内自然沉降。</w:t>
            </w:r>
          </w:p>
          <w:p w14:paraId="08D46631">
            <w:pPr>
              <w:spacing w:line="360" w:lineRule="auto"/>
              <w:ind w:firstLine="472" w:firstLineChars="200"/>
              <w:rPr>
                <w:rFonts w:hint="default" w:ascii="Times New Roman" w:hAnsi="Times New Roman" w:eastAsia="宋体" w:cs="Times New Roman"/>
                <w:color w:val="000000" w:themeColor="text1"/>
                <w:spacing w:val="-2"/>
                <w:sz w:val="24"/>
                <w:highlight w:val="none"/>
                <w14:textFill>
                  <w14:solidFill>
                    <w14:schemeClr w14:val="tx1"/>
                  </w14:solidFill>
                </w14:textFill>
              </w:rPr>
            </w:pPr>
            <w:r>
              <w:rPr>
                <w:rFonts w:hint="eastAsia" w:cs="Times New Roman"/>
                <w:color w:val="000000" w:themeColor="text1"/>
                <w:spacing w:val="-2"/>
                <w:sz w:val="24"/>
                <w:highlight w:val="none"/>
                <w:lang w:eastAsia="zh-CN"/>
                <w14:textFill>
                  <w14:solidFill>
                    <w14:schemeClr w14:val="tx1"/>
                  </w14:solidFill>
                </w14:textFill>
              </w:rPr>
              <w:t>（</w:t>
            </w:r>
            <w:r>
              <w:rPr>
                <w:rFonts w:hint="eastAsia" w:cs="Times New Roman"/>
                <w:color w:val="000000" w:themeColor="text1"/>
                <w:spacing w:val="-2"/>
                <w:sz w:val="24"/>
                <w:highlight w:val="none"/>
                <w:lang w:val="en-US" w:eastAsia="zh-CN"/>
                <w14:textFill>
                  <w14:solidFill>
                    <w14:schemeClr w14:val="tx1"/>
                  </w14:solidFill>
                </w14:textFill>
              </w:rPr>
              <w:t>4</w:t>
            </w:r>
            <w:r>
              <w:rPr>
                <w:rFonts w:hint="eastAsia" w:cs="Times New Roman"/>
                <w:color w:val="000000" w:themeColor="text1"/>
                <w:spacing w:val="-2"/>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sz w:val="24"/>
                <w:highlight w:val="none"/>
                <w14:textFill>
                  <w14:solidFill>
                    <w14:schemeClr w14:val="tx1"/>
                  </w14:solidFill>
                </w14:textFill>
              </w:rPr>
              <w:t>环境空气影响分析</w:t>
            </w:r>
          </w:p>
          <w:p w14:paraId="5617EF94">
            <w:pPr>
              <w:spacing w:line="360" w:lineRule="auto"/>
              <w:ind w:firstLine="472" w:firstLineChars="200"/>
              <w:rPr>
                <w:rFonts w:hint="eastAsia" w:ascii="Times New Roman" w:hAnsi="Times New Roman" w:eastAsia="宋体" w:cs="Times New Roman"/>
                <w:b w:val="0"/>
                <w:bCs w:val="0"/>
                <w:color w:val="000000" w:themeColor="text1"/>
                <w:spacing w:val="-13"/>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highlight w:val="none"/>
                <w14:textFill>
                  <w14:solidFill>
                    <w14:schemeClr w14:val="tx1"/>
                  </w14:solidFill>
                </w14:textFill>
              </w:rPr>
              <w:t>项 目 所 在 地 为 二 类 功 能 区 ， 环 境 空 气 质 量 执 行 《 环 境 空 气 质 量 标 准 》（GB3095-2012）二级标准。项目所在区域为环境空气质量达标区。本项目外排废气污染物主要为</w:t>
            </w:r>
            <w:r>
              <w:rPr>
                <w:rFonts w:hint="eastAsia" w:cs="Times New Roman"/>
                <w:color w:val="000000" w:themeColor="text1"/>
                <w:spacing w:val="-2"/>
                <w:sz w:val="24"/>
                <w:highlight w:val="none"/>
                <w:lang w:val="en-US" w:eastAsia="zh-CN"/>
                <w14:textFill>
                  <w14:solidFill>
                    <w14:schemeClr w14:val="tx1"/>
                  </w14:solidFill>
                </w14:textFill>
              </w:rPr>
              <w:t>施工期</w:t>
            </w:r>
            <w:r>
              <w:rPr>
                <w:rFonts w:hint="default" w:ascii="Times New Roman" w:hAnsi="Times New Roman" w:eastAsia="宋体" w:cs="Times New Roman"/>
                <w:color w:val="000000" w:themeColor="text1"/>
                <w:spacing w:val="-2"/>
                <w:sz w:val="24"/>
                <w:highlight w:val="none"/>
                <w14:textFill>
                  <w14:solidFill>
                    <w14:schemeClr w14:val="tx1"/>
                  </w14:solidFill>
                </w14:textFill>
              </w:rPr>
              <w:t>颗粒物，经对应污染治理措施处理后排放量较小，可达到《</w:t>
            </w:r>
            <w:r>
              <w:rPr>
                <w:rFonts w:hint="default" w:ascii="Times New Roman" w:hAnsi="Times New Roman" w:eastAsia="宋体" w:cs="Times New Roman"/>
                <w:color w:val="000000" w:themeColor="text1"/>
                <w:spacing w:val="-2"/>
                <w:sz w:val="24"/>
                <w:highlight w:val="none"/>
                <w:lang w:eastAsia="zh-CN"/>
                <w14:textFill>
                  <w14:solidFill>
                    <w14:schemeClr w14:val="tx1"/>
                  </w14:solidFill>
                </w14:textFill>
              </w:rPr>
              <w:t>《大气污染物综合排放标准》（GB16297-1996）表2中无组织排放监控浓度限值</w:t>
            </w:r>
            <w:r>
              <w:rPr>
                <w:rFonts w:hint="default" w:ascii="Times New Roman" w:hAnsi="Times New Roman" w:eastAsia="宋体" w:cs="Times New Roman"/>
                <w:color w:val="000000" w:themeColor="text1"/>
                <w:spacing w:val="-2"/>
                <w:sz w:val="24"/>
                <w:highlight w:val="none"/>
                <w14:textFill>
                  <w14:solidFill>
                    <w14:schemeClr w14:val="tx1"/>
                  </w14:solidFill>
                </w14:textFill>
              </w:rPr>
              <w:t>要求。因此，综上所述，施工期间对大气的环境影响较小，具有短暂性和临时性的特点，随着施工的结束上述影响将消</w:t>
            </w:r>
            <w:r>
              <w:rPr>
                <w:rFonts w:hint="default" w:ascii="Times New Roman" w:hAnsi="Times New Roman" w:eastAsia="宋体" w:cs="Times New Roman"/>
                <w:color w:val="000000" w:themeColor="text1"/>
                <w:spacing w:val="6"/>
                <w:sz w:val="24"/>
                <w:highlight w:val="none"/>
                <w14:textFill>
                  <w14:solidFill>
                    <w14:schemeClr w14:val="tx1"/>
                  </w14:solidFill>
                </w14:textFill>
              </w:rPr>
              <w:t>失。</w:t>
            </w:r>
          </w:p>
          <w:p w14:paraId="584DB982">
            <w:pPr>
              <w:spacing w:line="360" w:lineRule="auto"/>
              <w:ind w:firstLine="430" w:firstLineChars="200"/>
              <w:rPr>
                <w:rFonts w:hint="default" w:ascii="Times New Roman" w:hAnsi="Times New Roman" w:eastAsia="宋体" w:cs="Times New Roman"/>
                <w:b/>
                <w:color w:val="000000" w:themeColor="text1"/>
                <w:spacing w:val="7"/>
                <w:sz w:val="24"/>
                <w:highlight w:val="none"/>
                <w14:textFill>
                  <w14:solidFill>
                    <w14:schemeClr w14:val="tx1"/>
                  </w14:solidFill>
                </w14:textFill>
              </w:rPr>
            </w:pPr>
            <w:r>
              <w:rPr>
                <w:rFonts w:hint="default" w:ascii="Times New Roman" w:hAnsi="Times New Roman" w:eastAsia="宋体" w:cs="Times New Roman"/>
                <w:b/>
                <w:bCs/>
                <w:color w:val="000000" w:themeColor="text1"/>
                <w:spacing w:val="-13"/>
                <w:sz w:val="24"/>
                <w:highlight w:val="none"/>
                <w14:textFill>
                  <w14:solidFill>
                    <w14:schemeClr w14:val="tx1"/>
                  </w14:solidFill>
                </w14:textFill>
              </w:rPr>
              <w:t>3.</w:t>
            </w:r>
            <w:r>
              <w:rPr>
                <w:rFonts w:hint="default" w:ascii="Times New Roman" w:hAnsi="Times New Roman" w:eastAsia="宋体" w:cs="Times New Roman"/>
                <w:b/>
                <w:color w:val="000000" w:themeColor="text1"/>
                <w:spacing w:val="7"/>
                <w:sz w:val="24"/>
                <w:highlight w:val="none"/>
                <w14:textFill>
                  <w14:solidFill>
                    <w14:schemeClr w14:val="tx1"/>
                  </w14:solidFill>
                </w14:textFill>
              </w:rPr>
              <w:t>水环境影响分析</w:t>
            </w:r>
          </w:p>
          <w:p w14:paraId="11CB7BC2">
            <w:pPr>
              <w:snapToGrid w:val="0"/>
              <w:spacing w:line="360" w:lineRule="auto"/>
              <w:ind w:firstLine="488" w:firstLineChars="200"/>
              <w:rPr>
                <w:rFonts w:hint="default" w:ascii="Times New Roman" w:hAnsi="Times New Roman" w:eastAsia="宋体" w:cs="Times New Roman"/>
                <w:color w:val="000000" w:themeColor="text1"/>
                <w:spacing w:val="-2"/>
                <w:sz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highlight w:val="none"/>
                <w14:textFill>
                  <w14:solidFill>
                    <w14:schemeClr w14:val="tx1"/>
                  </w14:solidFill>
                </w14:textFill>
              </w:rPr>
              <w:t>本项目沿线设置施工营地，</w:t>
            </w:r>
            <w:r>
              <w:rPr>
                <w:rFonts w:hint="default" w:ascii="Times New Roman" w:hAnsi="Times New Roman" w:eastAsia="宋体" w:cs="Times New Roman"/>
                <w:color w:val="000000" w:themeColor="text1"/>
                <w:spacing w:val="-2"/>
                <w:sz w:val="24"/>
                <w:highlight w:val="none"/>
                <w14:textFill>
                  <w14:solidFill>
                    <w14:schemeClr w14:val="tx1"/>
                  </w14:solidFill>
                </w14:textFill>
              </w:rPr>
              <w:t>本项目施工期</w:t>
            </w:r>
            <w:r>
              <w:rPr>
                <w:rFonts w:hint="eastAsia" w:cs="Times New Roman"/>
                <w:color w:val="000000" w:themeColor="text1"/>
                <w:spacing w:val="-2"/>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pacing w:val="-2"/>
                <w:sz w:val="24"/>
                <w:highlight w:val="none"/>
                <w14:textFill>
                  <w14:solidFill>
                    <w14:schemeClr w14:val="tx1"/>
                  </w14:solidFill>
                </w14:textFill>
              </w:rPr>
              <w:t>个月。</w:t>
            </w:r>
            <w:r>
              <w:rPr>
                <w:rFonts w:hint="default" w:ascii="Times New Roman" w:hAnsi="Times New Roman" w:eastAsia="宋体" w:cs="Times New Roman"/>
                <w:color w:val="000000" w:themeColor="text1"/>
                <w:sz w:val="24"/>
                <w:highlight w:val="none"/>
                <w14:textFill>
                  <w14:solidFill>
                    <w14:schemeClr w14:val="tx1"/>
                  </w14:solidFill>
                </w14:textFill>
              </w:rPr>
              <w:t>本项目施工期用水采用拉水车从附近牧户家拉运。</w:t>
            </w:r>
          </w:p>
          <w:p w14:paraId="6CF6C4A8">
            <w:pPr>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①生活污水</w:t>
            </w:r>
          </w:p>
          <w:p w14:paraId="60205697">
            <w:pPr>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施工人数约50人，施工人员均为附近村民。</w:t>
            </w:r>
            <w:r>
              <w:rPr>
                <w:rFonts w:hint="eastAsia" w:cs="Times New Roman"/>
                <w:color w:val="000000" w:themeColor="text1"/>
                <w:sz w:val="24"/>
                <w:highlight w:val="none"/>
                <w:lang w:val="en-US" w:eastAsia="zh-CN"/>
                <w14:textFill>
                  <w14:solidFill>
                    <w14:schemeClr w14:val="tx1"/>
                  </w14:solidFill>
                </w14:textFill>
              </w:rPr>
              <w:t>施工营地工人</w:t>
            </w:r>
            <w:r>
              <w:rPr>
                <w:rFonts w:hint="default" w:ascii="Times New Roman" w:hAnsi="Times New Roman" w:eastAsia="宋体" w:cs="Times New Roman"/>
                <w:color w:val="000000" w:themeColor="text1"/>
                <w:sz w:val="24"/>
                <w:highlight w:val="none"/>
                <w14:textFill>
                  <w14:solidFill>
                    <w14:schemeClr w14:val="tx1"/>
                  </w14:solidFill>
                </w14:textFill>
              </w:rPr>
              <w:t>根据《行业用水定额》（DB15/T385-2020，内蒙古自治区市场监督管理局），员工生活用水量按照</w:t>
            </w: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14:textFill>
                  <w14:solidFill>
                    <w14:schemeClr w14:val="tx1"/>
                  </w14:solidFill>
                </w14:textFill>
              </w:rPr>
              <w:t>0L/人·d计，则生活用水量为</w:t>
            </w: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.0m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/d。本项目生活污水量按照生活用水量的80%计，则生活污水量为</w:t>
            </w:r>
            <w:r>
              <w:rPr>
                <w:rFonts w:hint="eastAsia" w:cs="Times New Roman"/>
                <w:color w:val="000000" w:themeColor="text1"/>
                <w:sz w:val="24"/>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/d，施工人员生活污水经过</w:t>
            </w:r>
            <w:r>
              <w:rPr>
                <w:rFonts w:hint="eastAsia" w:cs="Times New Roman"/>
                <w:color w:val="000000" w:themeColor="text1"/>
                <w:sz w:val="24"/>
                <w:highlight w:val="none"/>
                <w:lang w:val="en-US" w:eastAsia="zh-CN"/>
                <w14:textFill>
                  <w14:solidFill>
                    <w14:schemeClr w14:val="tx1"/>
                  </w14:solidFill>
                </w14:textFill>
              </w:rPr>
              <w:t>施工营地</w:t>
            </w:r>
            <w:r>
              <w:rPr>
                <w:rFonts w:hint="default" w:ascii="Times New Roman" w:hAnsi="Times New Roman" w:eastAsia="宋体" w:cs="Times New Roman"/>
                <w:color w:val="000000" w:themeColor="text1"/>
                <w:sz w:val="24"/>
                <w:highlight w:val="none"/>
                <w14:textFill>
                  <w14:solidFill>
                    <w14:schemeClr w14:val="tx1"/>
                  </w14:solidFill>
                </w14:textFill>
              </w:rPr>
              <w:t>临时移动厕所处理后清掏</w:t>
            </w:r>
            <w:r>
              <w:rPr>
                <w:rFonts w:hint="eastAsia" w:cs="Times New Roman"/>
                <w:color w:val="000000" w:themeColor="text1"/>
                <w:sz w:val="24"/>
                <w:highlight w:val="none"/>
                <w:lang w:val="en-US" w:eastAsia="zh-CN"/>
                <w14:textFill>
                  <w14:solidFill>
                    <w14:schemeClr w14:val="tx1"/>
                  </w14:solidFill>
                </w14:textFill>
              </w:rPr>
              <w:t>运至</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城镇污水处理厂</w:t>
            </w:r>
            <w:r>
              <w:rPr>
                <w:rFonts w:hint="eastAsia" w:cs="Times New Roman"/>
                <w:color w:val="000000" w:themeColor="text1"/>
                <w:spacing w:val="-2"/>
                <w:sz w:val="24"/>
                <w:highlight w:val="none"/>
                <w:lang w:val="en-US" w:eastAsia="zh-CN"/>
                <w14:textFill>
                  <w14:solidFill>
                    <w14:schemeClr w14:val="tx1"/>
                  </w14:solidFill>
                </w14:textFill>
              </w:rPr>
              <w:t>处理</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7AD7DB68">
            <w:pPr>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②</w:t>
            </w:r>
            <w:r>
              <w:rPr>
                <w:rFonts w:hint="default" w:ascii="Times New Roman" w:hAnsi="Times New Roman" w:eastAsia="宋体" w:cs="Times New Roman"/>
                <w:color w:val="000000" w:themeColor="text1"/>
                <w:sz w:val="24"/>
                <w:highlight w:val="none"/>
                <w14:textFill>
                  <w14:solidFill>
                    <w14:schemeClr w14:val="tx1"/>
                  </w14:solidFill>
                </w14:textFill>
              </w:rPr>
              <w:t>抑尘用水</w:t>
            </w:r>
          </w:p>
          <w:p w14:paraId="3D6DED59">
            <w:pPr>
              <w:snapToGrid w:val="0"/>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本项目施工场地需定期洒水抑尘，项目抑尘用水全部蒸发，无生产废水产生。</w:t>
            </w:r>
          </w:p>
          <w:p w14:paraId="69AF27F4">
            <w:pPr>
              <w:spacing w:line="360" w:lineRule="auto"/>
              <w:ind w:left="420" w:leftChars="200"/>
              <w:rPr>
                <w:rFonts w:hint="default" w:ascii="Times New Roman" w:hAnsi="Times New Roman" w:eastAsia="宋体" w:cs="Times New Roman"/>
                <w:b/>
                <w:bCs/>
                <w:color w:val="000000" w:themeColor="text1"/>
                <w:spacing w:val="6"/>
                <w:sz w:val="24"/>
                <w:highlight w:val="none"/>
                <w14:textFill>
                  <w14:solidFill>
                    <w14:schemeClr w14:val="tx1"/>
                  </w14:solidFill>
                </w14:textFill>
              </w:rPr>
            </w:pPr>
            <w:r>
              <w:rPr>
                <w:rFonts w:hint="default" w:ascii="Times New Roman" w:hAnsi="Times New Roman" w:eastAsia="宋体" w:cs="Times New Roman"/>
                <w:b/>
                <w:bCs/>
                <w:color w:val="000000" w:themeColor="text1"/>
                <w:spacing w:val="6"/>
                <w:sz w:val="24"/>
                <w:highlight w:val="none"/>
                <w14:textFill>
                  <w14:solidFill>
                    <w14:schemeClr w14:val="tx1"/>
                  </w14:solidFill>
                </w14:textFill>
              </w:rPr>
              <w:t>4.声环境影响分析</w:t>
            </w:r>
          </w:p>
          <w:p w14:paraId="2A5A6B43">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详见声环境专章。</w:t>
            </w:r>
          </w:p>
          <w:p w14:paraId="72779A2F">
            <w:pPr>
              <w:spacing w:line="360" w:lineRule="auto"/>
              <w:ind w:left="845" w:hanging="425"/>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5.固体废物影响分析</w:t>
            </w:r>
          </w:p>
          <w:p w14:paraId="1475C685">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本项目固体废物主要产生在施工期，施工期固体废弃物的种类主要有：施工人员生活垃圾、建筑垃圾。</w:t>
            </w:r>
          </w:p>
          <w:p w14:paraId="2D2DE7E9">
            <w:pPr>
              <w:spacing w:line="360" w:lineRule="auto"/>
              <w:ind w:firstLine="482"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（1）生活垃圾</w:t>
            </w:r>
          </w:p>
          <w:p w14:paraId="195B813A">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生活垃圾主要为项目生产人员生活垃圾，本项目劳动定员50人，根据《第一次全国污染源普查城镇生活源产排污系数手册》附表1（各区域对应系数和城市分类），可知锡林郭勒盟为一区、5类城市，生活垃圾产生量为0.35kg/人·天。因此，本项目生活垃圾产生量为17.5kg/d。本项目施工人员均为附近村镇居民，生活垃圾委托当地环卫部门进行处理，对周围环境影响较小。</w:t>
            </w:r>
          </w:p>
          <w:p w14:paraId="660044D9">
            <w:pPr>
              <w:spacing w:line="360" w:lineRule="auto"/>
              <w:ind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（2）建筑垃圾</w:t>
            </w:r>
          </w:p>
          <w:p w14:paraId="6A581875">
            <w:pPr>
              <w:spacing w:line="360" w:lineRule="auto"/>
              <w:ind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①公路建筑垃圾</w:t>
            </w:r>
          </w:p>
          <w:p w14:paraId="1A1F3DD4">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施工过程产生的建筑垃圾成分主要是施工材料包装物筑废模板、建筑材料下脚料、包装袋以及碎砂石、砖、混凝土等。建筑垃圾经收集后运至相关部门指定地点进行处理。</w:t>
            </w:r>
          </w:p>
          <w:p w14:paraId="5F3B88B0">
            <w:pPr>
              <w:spacing w:line="360" w:lineRule="auto"/>
              <w:ind w:firstLine="4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②开挖弃土</w:t>
            </w:r>
          </w:p>
          <w:p w14:paraId="2A1F7230">
            <w:pPr>
              <w:spacing w:line="360" w:lineRule="auto"/>
              <w:ind w:firstLine="480" w:firstLineChars="200"/>
              <w:rPr>
                <w:rFonts w:hint="default" w:ascii="Times New Roman" w:hAnsi="Times New Roman" w:eastAsia="宋体" w:cs="Times New Roman"/>
                <w:color w:val="000000" w:themeColor="text1"/>
                <w:spacing w:val="-3"/>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本工程无弃方，表土设专门表土场进行临时堆放。</w:t>
            </w:r>
            <w:r>
              <w:rPr>
                <w:rFonts w:hint="default" w:ascii="Times New Roman" w:hAnsi="Times New Roman" w:eastAsia="宋体" w:cs="Times New Roman"/>
                <w:color w:val="000000" w:themeColor="text1"/>
                <w:sz w:val="24"/>
                <w:highlight w:val="none"/>
                <w14:textFill>
                  <w14:solidFill>
                    <w14:schemeClr w14:val="tx1"/>
                  </w14:solidFill>
                </w14:textFill>
              </w:rPr>
              <w:t>施工结束后，</w:t>
            </w:r>
            <w:r>
              <w:rPr>
                <w:rFonts w:hint="eastAsia" w:cs="Times New Roman"/>
                <w:color w:val="000000" w:themeColor="text1"/>
                <w:sz w:val="24"/>
                <w:highlight w:val="none"/>
                <w:lang w:val="en-US" w:eastAsia="zh-CN"/>
                <w14:textFill>
                  <w14:solidFill>
                    <w14:schemeClr w14:val="tx1"/>
                  </w14:solidFill>
                </w14:textFill>
              </w:rPr>
              <w:t>表土用于路基两侧植被防护使用。</w:t>
            </w:r>
          </w:p>
        </w:tc>
      </w:tr>
      <w:tr w14:paraId="325BA4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76" w:type="pct"/>
            <w:tcBorders>
              <w:bottom w:val="single" w:color="000000" w:sz="4" w:space="0"/>
            </w:tcBorders>
            <w:tcMar>
              <w:left w:w="28" w:type="dxa"/>
              <w:right w:w="28" w:type="dxa"/>
            </w:tcMar>
            <w:vAlign w:val="center"/>
          </w:tcPr>
          <w:p w14:paraId="773AD0E0">
            <w:pPr>
              <w:pStyle w:val="26"/>
              <w:adjustRightInd w:val="0"/>
              <w:snapToGrid w:val="0"/>
              <w:spacing w:before="0" w:beforeAutospacing="0" w:after="0" w:afterAutospacing="0" w:line="360" w:lineRule="auto"/>
              <w:jc w:val="center"/>
              <w:rPr>
                <w:rFonts w:hint="default" w:ascii="Times New Roman" w:hAnsi="Times New Roman" w:eastAsia="宋体" w:cs="Times New Roman"/>
                <w:bCs/>
                <w:color w:val="000000" w:themeColor="text1"/>
                <w:kern w:val="2"/>
                <w:highlight w:val="none"/>
                <w14:textFill>
                  <w14:solidFill>
                    <w14:schemeClr w14:val="tx1"/>
                  </w14:solidFill>
                </w14:textFill>
              </w:rPr>
            </w:pPr>
            <w:r>
              <w:rPr>
                <w:rFonts w:hint="default" w:ascii="Times New Roman" w:hAnsi="Times New Roman" w:eastAsia="宋体" w:cs="Times New Roman"/>
                <w:bCs/>
                <w:color w:val="000000" w:themeColor="text1"/>
                <w:spacing w:val="10"/>
                <w:kern w:val="2"/>
                <w:highlight w:val="none"/>
                <w14:textFill>
                  <w14:solidFill>
                    <w14:schemeClr w14:val="tx1"/>
                  </w14:solidFill>
                </w14:textFill>
              </w:rPr>
              <w:t>运营期生态环境影响分析</w:t>
            </w:r>
          </w:p>
        </w:tc>
        <w:tc>
          <w:tcPr>
            <w:tcW w:w="4624" w:type="pct"/>
            <w:tcBorders>
              <w:bottom w:val="single" w:color="000000" w:sz="4" w:space="0"/>
            </w:tcBorders>
          </w:tcPr>
          <w:p w14:paraId="32DDA2A3">
            <w:pPr>
              <w:spacing w:line="360" w:lineRule="auto"/>
              <w:ind w:firstLine="478" w:firstLineChars="200"/>
              <w:rPr>
                <w:rFonts w:hint="default" w:ascii="Times New Roman" w:hAnsi="Times New Roman" w:eastAsia="宋体" w:cs="Times New Roman"/>
                <w:b/>
                <w:bCs/>
                <w:color w:val="000000" w:themeColor="text1"/>
                <w:spacing w:val="-1"/>
                <w:sz w:val="24"/>
                <w:highlight w:val="none"/>
                <w14:textFill>
                  <w14:solidFill>
                    <w14:schemeClr w14:val="tx1"/>
                  </w14:solidFill>
                </w14:textFill>
              </w:rPr>
            </w:pPr>
            <w:r>
              <w:rPr>
                <w:rFonts w:hint="eastAsia" w:cs="Times New Roman"/>
                <w:b/>
                <w:bCs/>
                <w:color w:val="000000" w:themeColor="text1"/>
                <w:spacing w:val="-1"/>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pacing w:val="-1"/>
                <w:sz w:val="24"/>
                <w:highlight w:val="none"/>
                <w14:textFill>
                  <w14:solidFill>
                    <w14:schemeClr w14:val="tx1"/>
                  </w14:solidFill>
                </w14:textFill>
              </w:rPr>
              <w:t>.大气环境影响分析</w:t>
            </w:r>
          </w:p>
          <w:p w14:paraId="1534062B">
            <w:pPr>
              <w:spacing w:line="360" w:lineRule="auto"/>
              <w:ind w:firstLine="476" w:firstLineChars="200"/>
              <w:rPr>
                <w:rFonts w:hint="default" w:ascii="Times New Roman" w:hAnsi="Times New Roman" w:eastAsia="宋体" w:cs="Times New Roman"/>
                <w:color w:val="000000" w:themeColor="text1"/>
                <w:spacing w:val="-1"/>
                <w:sz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highlight w:val="none"/>
                <w14:textFill>
                  <w14:solidFill>
                    <w14:schemeClr w14:val="tx1"/>
                  </w14:solidFill>
                </w14:textFill>
              </w:rPr>
              <w:t>本项目运营期大气污染物主要为过往车辆产生的道路扬尘及汽车尾气。</w:t>
            </w:r>
          </w:p>
          <w:p w14:paraId="5B2A7EB6">
            <w:pPr>
              <w:spacing w:line="360" w:lineRule="auto"/>
              <w:ind w:firstLine="476" w:firstLineChars="200"/>
              <w:rPr>
                <w:rFonts w:hint="default" w:ascii="Times New Roman" w:hAnsi="Times New Roman" w:eastAsia="宋体" w:cs="Times New Roman"/>
                <w:color w:val="000000" w:themeColor="text1"/>
                <w:spacing w:val="-1"/>
                <w:sz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highlight w:val="none"/>
                <w14:textFill>
                  <w14:solidFill>
                    <w14:schemeClr w14:val="tx1"/>
                  </w14:solidFill>
                </w14:textFill>
              </w:rPr>
              <w:t>（1）汽车尾气</w:t>
            </w:r>
          </w:p>
          <w:p w14:paraId="39B4ED0D">
            <w:pPr>
              <w:spacing w:line="360" w:lineRule="auto"/>
              <w:ind w:firstLine="476" w:firstLineChars="200"/>
              <w:rPr>
                <w:rFonts w:hint="default" w:ascii="Times New Roman" w:hAnsi="Times New Roman" w:eastAsia="宋体" w:cs="Times New Roman"/>
                <w:color w:val="000000" w:themeColor="text1"/>
                <w:spacing w:val="-1"/>
                <w:sz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highlight w:val="none"/>
                <w14:textFill>
                  <w14:solidFill>
                    <w14:schemeClr w14:val="tx1"/>
                  </w14:solidFill>
                </w14:textFill>
              </w:rPr>
              <w:t>汽车尾气中主要污染物是一氧化碳、二氧化氮、烟尘、碳氢化合物等。其污染源类型属分散、流动的线源，排放源高度低，污染物扩散范围小。因昼夜车流量的变化，一般白天的污染重于夜间，下风向一侧污染重于上风向一侧，静风天气重于有风天气。污染物排放量随燃油类型、车型、耗油量而变化，一般重型车多于中、轻型车。汽油车一氧化碳、碳氢化合物排放量大，而柴油车二氧化硫、颗粒物、甲醛污染重于汽油车，项目建成后，汽车尾气在距离中心线200m左右影响严重。</w:t>
            </w:r>
          </w:p>
          <w:p w14:paraId="208E5202">
            <w:pPr>
              <w:spacing w:line="360" w:lineRule="auto"/>
              <w:ind w:firstLine="476" w:firstLineChars="200"/>
              <w:rPr>
                <w:rFonts w:hint="default" w:ascii="Times New Roman" w:hAnsi="Times New Roman" w:eastAsia="宋体" w:cs="Times New Roman"/>
                <w:color w:val="000000" w:themeColor="text1"/>
                <w:spacing w:val="-1"/>
                <w:sz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highlight w:val="none"/>
                <w14:textFill>
                  <w14:solidFill>
                    <w14:schemeClr w14:val="tx1"/>
                  </w14:solidFill>
                </w14:textFill>
              </w:rPr>
              <w:t>本项目公路设计速度较低，车流量较小，汽车尾气产生量少，且为流动无组织排放源，废气浓度值较低，持续时间较短，加之项目地面通风性能好，使得汽车尾气极易扩散稀释，对沿线环境空气质量影响不大。</w:t>
            </w:r>
          </w:p>
          <w:p w14:paraId="441D2ADB">
            <w:pPr>
              <w:spacing w:line="360" w:lineRule="auto"/>
              <w:ind w:firstLine="476"/>
              <w:rPr>
                <w:rFonts w:hint="default" w:ascii="Times New Roman" w:hAnsi="Times New Roman" w:eastAsia="宋体" w:cs="Times New Roman"/>
                <w:b/>
                <w:color w:val="000000" w:themeColor="text1"/>
                <w:spacing w:val="-1"/>
                <w:sz w:val="24"/>
                <w:highlight w:val="none"/>
                <w14:textFill>
                  <w14:solidFill>
                    <w14:schemeClr w14:val="tx1"/>
                  </w14:solidFill>
                </w14:textFill>
              </w:rPr>
            </w:pPr>
            <w:r>
              <w:rPr>
                <w:rFonts w:hint="eastAsia" w:cs="Times New Roman"/>
                <w:b/>
                <w:color w:val="000000" w:themeColor="text1"/>
                <w:spacing w:val="-1"/>
                <w:sz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pacing w:val="-1"/>
                <w:sz w:val="24"/>
                <w:highlight w:val="none"/>
                <w14:textFill>
                  <w14:solidFill>
                    <w14:schemeClr w14:val="tx1"/>
                  </w14:solidFill>
                </w14:textFill>
              </w:rPr>
              <w:t>.水环境影响分析</w:t>
            </w:r>
          </w:p>
          <w:p w14:paraId="5724FF2D">
            <w:pPr>
              <w:spacing w:line="360" w:lineRule="auto"/>
              <w:ind w:firstLine="476"/>
              <w:rPr>
                <w:rFonts w:hint="eastAsia" w:ascii="Times New Roman" w:hAnsi="Times New Roman" w:eastAsia="宋体" w:cs="Times New Roman"/>
                <w:color w:val="000000" w:themeColor="text1"/>
                <w:spacing w:val="-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sz w:val="24"/>
                <w:highlight w:val="none"/>
                <w14:textFill>
                  <w14:solidFill>
                    <w14:schemeClr w14:val="tx1"/>
                  </w14:solidFill>
                </w14:textFill>
              </w:rPr>
              <w:t>拟建公路建成通车后，在降雨季节形成的路面径流时间很短，且路面径流量也很小，并且在实际过程中，路面径流在通过路面横坡自然散排、漫流到排水沟或边沟中，</w:t>
            </w:r>
            <w:r>
              <w:rPr>
                <w:rFonts w:hint="eastAsia" w:cs="Times New Roman"/>
                <w:color w:val="000000" w:themeColor="text1"/>
                <w:spacing w:val="-1"/>
                <w:sz w:val="24"/>
                <w:highlight w:val="none"/>
                <w:lang w:val="en-US" w:eastAsia="zh-CN"/>
                <w14:textFill>
                  <w14:solidFill>
                    <w14:schemeClr w14:val="tx1"/>
                  </w14:solidFill>
                </w14:textFill>
              </w:rPr>
              <w:t>周边无地表水体，</w:t>
            </w:r>
            <w:r>
              <w:rPr>
                <w:rFonts w:hint="default" w:ascii="Times New Roman" w:hAnsi="Times New Roman" w:eastAsia="宋体" w:cs="Times New Roman"/>
                <w:color w:val="000000" w:themeColor="text1"/>
                <w:spacing w:val="-1"/>
                <w:sz w:val="24"/>
                <w:highlight w:val="none"/>
                <w14:textFill>
                  <w14:solidFill>
                    <w14:schemeClr w14:val="tx1"/>
                  </w14:solidFill>
                </w14:textFill>
              </w:rPr>
              <w:t>对水体环境的影响甚微</w:t>
            </w:r>
            <w:r>
              <w:rPr>
                <w:rFonts w:hint="eastAsia" w:cs="Times New Roman"/>
                <w:color w:val="000000" w:themeColor="text1"/>
                <w:spacing w:val="-1"/>
                <w:sz w:val="24"/>
                <w:highlight w:val="none"/>
                <w:lang w:eastAsia="zh-CN"/>
                <w14:textFill>
                  <w14:solidFill>
                    <w14:schemeClr w14:val="tx1"/>
                  </w14:solidFill>
                </w14:textFill>
              </w:rPr>
              <w:t>。</w:t>
            </w:r>
          </w:p>
          <w:p w14:paraId="53F04FBB">
            <w:pPr>
              <w:spacing w:line="360" w:lineRule="auto"/>
              <w:ind w:left="476"/>
              <w:jc w:val="left"/>
              <w:rPr>
                <w:rFonts w:hint="default" w:ascii="Times New Roman" w:hAnsi="Times New Roman" w:eastAsia="宋体" w:cs="Times New Roman"/>
                <w:b/>
                <w:color w:val="000000" w:themeColor="text1"/>
                <w:spacing w:val="-1"/>
                <w:sz w:val="24"/>
                <w:highlight w:val="none"/>
                <w14:textFill>
                  <w14:solidFill>
                    <w14:schemeClr w14:val="tx1"/>
                  </w14:solidFill>
                </w14:textFill>
              </w:rPr>
            </w:pPr>
            <w:r>
              <w:rPr>
                <w:rFonts w:hint="eastAsia" w:cs="Times New Roman"/>
                <w:b/>
                <w:color w:val="000000" w:themeColor="text1"/>
                <w:spacing w:val="-1"/>
                <w:sz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pacing w:val="-1"/>
                <w:sz w:val="24"/>
                <w:highlight w:val="none"/>
                <w14:textFill>
                  <w14:solidFill>
                    <w14:schemeClr w14:val="tx1"/>
                  </w14:solidFill>
                </w14:textFill>
              </w:rPr>
              <w:t>.声环境影响预测分析</w:t>
            </w:r>
          </w:p>
          <w:p w14:paraId="021A685F">
            <w:pPr>
              <w:spacing w:line="360" w:lineRule="auto"/>
              <w:ind w:firstLine="476"/>
              <w:rPr>
                <w:rFonts w:hint="eastAsia" w:cs="Times New Roman"/>
                <w:b w:val="0"/>
                <w:bCs w:val="0"/>
                <w:color w:val="000000" w:themeColor="text1"/>
                <w:spacing w:val="-1"/>
                <w:sz w:val="24"/>
                <w:highlight w:val="none"/>
                <w:lang w:val="en-US" w:eastAsia="zh-CN"/>
                <w14:textFill>
                  <w14:solidFill>
                    <w14:schemeClr w14:val="tx1"/>
                  </w14:solidFill>
                </w14:textFill>
              </w:rPr>
            </w:pPr>
            <w:r>
              <w:rPr>
                <w:rFonts w:hint="eastAsia" w:cs="Times New Roman"/>
                <w:b w:val="0"/>
                <w:bCs w:val="0"/>
                <w:color w:val="000000" w:themeColor="text1"/>
                <w:spacing w:val="-1"/>
                <w:sz w:val="24"/>
                <w:highlight w:val="none"/>
                <w:lang w:val="en-US" w:eastAsia="zh-CN"/>
                <w14:textFill>
                  <w14:solidFill>
                    <w14:schemeClr w14:val="tx1"/>
                  </w14:solidFill>
                </w14:textFill>
              </w:rPr>
              <w:t>项目为乌珠穆沁白牛核心育种场创建和认定项目进场道路工程，全长 5.653 公里，设计速度 20 公里/小时，主要为育种场的进场道路，车流量较小，主要为进出育种场的车辆，运行期对周边声环境影响较小，预计能够满足《声环境质量标准》（GB3096-2008）中1类标准。</w:t>
            </w:r>
          </w:p>
          <w:p w14:paraId="28FE82F0">
            <w:pPr>
              <w:spacing w:line="360" w:lineRule="auto"/>
              <w:ind w:firstLine="476"/>
              <w:rPr>
                <w:rFonts w:hint="default" w:ascii="Times New Roman" w:hAnsi="Times New Roman" w:eastAsia="宋体" w:cs="Times New Roman"/>
                <w:color w:val="000000" w:themeColor="text1"/>
                <w:spacing w:val="-1"/>
                <w:sz w:val="24"/>
                <w:highlight w:val="none"/>
                <w14:textFill>
                  <w14:solidFill>
                    <w14:schemeClr w14:val="tx1"/>
                  </w14:solidFill>
                </w14:textFill>
              </w:rPr>
            </w:pPr>
            <w:r>
              <w:rPr>
                <w:rFonts w:hint="eastAsia" w:cs="Times New Roman"/>
                <w:b/>
                <w:bCs/>
                <w:color w:val="000000" w:themeColor="text1"/>
                <w:spacing w:val="-1"/>
                <w:sz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1"/>
                <w:sz w:val="24"/>
                <w:highlight w:val="none"/>
                <w14:textFill>
                  <w14:solidFill>
                    <w14:schemeClr w14:val="tx1"/>
                  </w14:solidFill>
                </w14:textFill>
              </w:rPr>
              <w:t>.固体废物影响分析</w:t>
            </w:r>
          </w:p>
          <w:p w14:paraId="08B76311">
            <w:pPr>
              <w:spacing w:line="360" w:lineRule="auto"/>
              <w:ind w:firstLine="476"/>
              <w:rPr>
                <w:rFonts w:hint="default" w:ascii="Times New Roman" w:hAnsi="Times New Roman" w:eastAsia="宋体" w:cs="Times New Roman"/>
                <w:b/>
                <w:bCs/>
                <w:color w:val="000000" w:themeColor="text1"/>
                <w:spacing w:val="-1"/>
                <w:sz w:val="24"/>
                <w:highlight w:val="none"/>
                <w14:textFill>
                  <w14:solidFill>
                    <w14:schemeClr w14:val="tx1"/>
                  </w14:solidFill>
                </w14:textFill>
              </w:rPr>
            </w:pPr>
            <w:r>
              <w:rPr>
                <w:rFonts w:hint="eastAsia" w:cs="Times New Roman"/>
                <w:color w:val="000000" w:themeColor="text1"/>
                <w:spacing w:val="-1"/>
                <w:sz w:val="24"/>
                <w:highlight w:val="none"/>
                <w:lang w:val="en-US" w:eastAsia="zh-CN"/>
                <w14:textFill>
                  <w14:solidFill>
                    <w14:schemeClr w14:val="tx1"/>
                  </w14:solidFill>
                </w14:textFill>
              </w:rPr>
              <w:t>项目为乌珠穆沁白牛核心育种场创建和认定进场道路，沿途不设服务区等固定场地，运营期无固废产生。</w:t>
            </w:r>
          </w:p>
        </w:tc>
      </w:tr>
      <w:tr w14:paraId="43DE67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4" w:hRule="atLeast"/>
          <w:jc w:val="center"/>
        </w:trPr>
        <w:tc>
          <w:tcPr>
            <w:tcW w:w="376" w:type="pct"/>
            <w:tcBorders>
              <w:top w:val="single" w:color="000000" w:sz="4" w:space="0"/>
              <w:bottom w:val="single" w:color="000000" w:sz="4" w:space="0"/>
            </w:tcBorders>
            <w:tcMar>
              <w:left w:w="28" w:type="dxa"/>
              <w:right w:w="28" w:type="dxa"/>
            </w:tcMar>
            <w:vAlign w:val="center"/>
          </w:tcPr>
          <w:p w14:paraId="17C51651">
            <w:pPr>
              <w:pStyle w:val="26"/>
              <w:adjustRightInd w:val="0"/>
              <w:snapToGrid w:val="0"/>
              <w:spacing w:before="0" w:beforeAutospacing="0" w:after="0" w:afterAutospacing="0" w:line="360" w:lineRule="auto"/>
              <w:jc w:val="center"/>
              <w:rPr>
                <w:rFonts w:hint="default" w:ascii="Times New Roman" w:hAnsi="Times New Roman" w:eastAsia="宋体" w:cs="Times New Roman"/>
                <w:bCs/>
                <w:color w:val="000000" w:themeColor="text1"/>
                <w:kern w:val="2"/>
                <w:highlight w:val="none"/>
                <w14:textFill>
                  <w14:solidFill>
                    <w14:schemeClr w14:val="tx1"/>
                  </w14:solidFill>
                </w14:textFill>
              </w:rPr>
            </w:pPr>
            <w:r>
              <w:rPr>
                <w:rFonts w:hint="default" w:ascii="Times New Roman" w:hAnsi="Times New Roman" w:eastAsia="宋体" w:cs="Times New Roman"/>
                <w:bCs/>
                <w:color w:val="000000" w:themeColor="text1"/>
                <w:kern w:val="2"/>
                <w:highlight w:val="none"/>
                <w14:textFill>
                  <w14:solidFill>
                    <w14:schemeClr w14:val="tx1"/>
                  </w14:solidFill>
                </w14:textFill>
              </w:rPr>
              <w:t>选址选线环境合理性分析</w:t>
            </w:r>
          </w:p>
        </w:tc>
        <w:tc>
          <w:tcPr>
            <w:tcW w:w="4624" w:type="pct"/>
            <w:tcBorders>
              <w:top w:val="single" w:color="000000" w:sz="4" w:space="0"/>
              <w:bottom w:val="single" w:color="000000" w:sz="4" w:space="0"/>
            </w:tcBorders>
          </w:tcPr>
          <w:p w14:paraId="6A8D6579">
            <w:pPr>
              <w:spacing w:line="360" w:lineRule="auto"/>
              <w:ind w:firstLine="488" w:firstLineChars="200"/>
              <w:rPr>
                <w:rFonts w:hint="default" w:ascii="Times New Roman" w:hAnsi="Times New Roman" w:eastAsia="宋体" w:cs="Times New Roman"/>
                <w:color w:val="000000" w:themeColor="text1"/>
                <w:spacing w:val="2"/>
                <w:sz w:val="24"/>
                <w:highlight w:val="none"/>
                <w:lang w:val="en-US" w:eastAsia="zh-CN"/>
                <w14:textFill>
                  <w14:solidFill>
                    <w14:schemeClr w14:val="tx1"/>
                  </w14:solidFill>
                </w14:textFill>
              </w:rPr>
            </w:pPr>
            <w:r>
              <w:rPr>
                <w:rFonts w:hint="eastAsia" w:cs="Times New Roman"/>
                <w:color w:val="000000" w:themeColor="text1"/>
                <w:spacing w:val="2"/>
                <w:sz w:val="24"/>
                <w:highlight w:val="none"/>
                <w:lang w:val="en-US" w:eastAsia="zh-CN"/>
                <w14:textFill>
                  <w14:solidFill>
                    <w14:schemeClr w14:val="tx1"/>
                  </w14:solidFill>
                </w14:textFill>
              </w:rPr>
              <w:t>1、道路选线合理行分析</w:t>
            </w:r>
          </w:p>
          <w:p w14:paraId="5F67EBB5">
            <w:pPr>
              <w:spacing w:line="360" w:lineRule="auto"/>
              <w:ind w:firstLine="488" w:firstLineChars="200"/>
              <w:rPr>
                <w:rFonts w:hint="default" w:ascii="Times New Roman" w:hAnsi="Times New Roman" w:eastAsia="宋体" w:cs="Times New Roman"/>
                <w:color w:val="000000" w:themeColor="text1"/>
                <w:spacing w:val="-5"/>
                <w:sz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highlight w:val="none"/>
                <w14:textFill>
                  <w14:solidFill>
                    <w14:schemeClr w14:val="tx1"/>
                  </w14:solidFill>
                </w14:textFill>
              </w:rPr>
              <w:t>由于本项目位于</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道路工程位于内蒙古锡林郭勒盟西乌珠穆沁旗浩勒图高勒镇境内，项目路线全长 5.653 公里</w:t>
            </w:r>
            <w:r>
              <w:rPr>
                <w:rFonts w:hint="default" w:ascii="Times New Roman" w:hAnsi="Times New Roman" w:eastAsia="宋体" w:cs="Times New Roman"/>
                <w:color w:val="000000" w:themeColor="text1"/>
                <w:spacing w:val="7"/>
                <w:sz w:val="24"/>
                <w:highlight w:val="none"/>
                <w14:textFill>
                  <w14:solidFill>
                    <w14:schemeClr w14:val="tx1"/>
                  </w14:solidFill>
                </w14:textFill>
              </w:rPr>
              <w:t>。</w:t>
            </w:r>
            <w:r>
              <w:rPr>
                <w:rFonts w:hint="default" w:ascii="Times New Roman" w:hAnsi="Times New Roman" w:eastAsia="宋体" w:cs="Times New Roman"/>
                <w:color w:val="000000" w:themeColor="text1"/>
                <w:spacing w:val="2"/>
                <w:sz w:val="24"/>
                <w:highlight w:val="none"/>
                <w:lang w:val="en-US" w:eastAsia="zh-CN"/>
                <w14:textFill>
                  <w14:solidFill>
                    <w14:schemeClr w14:val="tx1"/>
                  </w14:solidFill>
                </w14:textFill>
              </w:rPr>
              <w:t>西乌珠穆沁旗-水源养生态功能重要区</w:t>
            </w:r>
            <w:r>
              <w:rPr>
                <w:rFonts w:hint="eastAsia" w:ascii="Times New Roman" w:hAnsi="Times New Roman" w:eastAsia="宋体" w:cs="Times New Roman"/>
                <w:color w:val="000000" w:themeColor="text1"/>
                <w:spacing w:val="2"/>
                <w:sz w:val="24"/>
                <w:highlight w:val="none"/>
                <w:lang w:val="en-US" w:eastAsia="zh-CN"/>
                <w14:textFill>
                  <w14:solidFill>
                    <w14:schemeClr w14:val="tx1"/>
                  </w14:solidFill>
                </w14:textFill>
              </w:rPr>
              <w:t>生态红线范围内，</w:t>
            </w:r>
            <w:r>
              <w:rPr>
                <w:rFonts w:hint="default" w:ascii="Times New Roman" w:hAnsi="Times New Roman" w:eastAsia="宋体" w:cs="Times New Roman"/>
                <w:color w:val="000000" w:themeColor="text1"/>
                <w:spacing w:val="2"/>
                <w:sz w:val="24"/>
                <w:highlight w:val="none"/>
                <w14:textFill>
                  <w14:solidFill>
                    <w14:schemeClr w14:val="tx1"/>
                  </w14:solidFill>
                </w14:textFill>
              </w:rPr>
              <w:t>项目沿线不涉及自然保护区、风景名胜区等保护区域，无文物</w:t>
            </w:r>
            <w:r>
              <w:rPr>
                <w:rFonts w:hint="default" w:ascii="Times New Roman" w:hAnsi="Times New Roman" w:eastAsia="宋体" w:cs="Times New Roman"/>
                <w:color w:val="000000" w:themeColor="text1"/>
                <w:spacing w:val="-5"/>
                <w:sz w:val="24"/>
                <w:highlight w:val="none"/>
                <w14:textFill>
                  <w14:solidFill>
                    <w14:schemeClr w14:val="tx1"/>
                  </w14:solidFill>
                </w14:textFill>
              </w:rPr>
              <w:t>古迹、不涉及饮用水源</w:t>
            </w:r>
            <w:r>
              <w:rPr>
                <w:rFonts w:hint="eastAsia" w:cs="Times New Roman"/>
                <w:color w:val="000000" w:themeColor="text1"/>
                <w:spacing w:val="-5"/>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5"/>
                <w:sz w:val="24"/>
                <w:highlight w:val="none"/>
                <w14:textFill>
                  <w14:solidFill>
                    <w14:schemeClr w14:val="tx1"/>
                  </w14:solidFill>
                </w14:textFill>
              </w:rPr>
              <w:t>依据根据《关于内蒙古锡林郭勒盟西乌珠穆沁旗乌日吉勒(G306)至白牛场新建公路工程项目符合生态保护红线内允许有限人为活动的认定意见》，已纳入《锡林郭勒盟西乌珠穆沁旗国土空间规划(2021-2035年)》,线路最优性原因无法避让生态保护红线23.0392公顷，</w:t>
            </w:r>
            <w:r>
              <w:rPr>
                <w:rFonts w:hint="default" w:ascii="Times New Roman" w:hAnsi="Times New Roman" w:eastAsia="宋体" w:cs="Times New Roman"/>
                <w:color w:val="000000" w:themeColor="text1"/>
                <w:spacing w:val="-5"/>
                <w:sz w:val="24"/>
                <w:highlight w:val="none"/>
                <w:lang w:val="en-US" w:eastAsia="zh-CN"/>
                <w14:textFill>
                  <w14:solidFill>
                    <w14:schemeClr w14:val="tx1"/>
                  </w14:solidFill>
                </w14:textFill>
              </w:rPr>
              <w:t>项目为认定道路的支线，</w:t>
            </w:r>
            <w:r>
              <w:rPr>
                <w:rFonts w:hint="default" w:ascii="Times New Roman" w:hAnsi="Times New Roman" w:eastAsia="宋体" w:cs="Times New Roman"/>
                <w:color w:val="000000" w:themeColor="text1"/>
                <w:spacing w:val="-5"/>
                <w:sz w:val="24"/>
                <w:highlight w:val="none"/>
                <w14:textFill>
                  <w14:solidFill>
                    <w14:schemeClr w14:val="tx1"/>
                  </w14:solidFill>
                </w14:textFill>
              </w:rPr>
              <w:t>符合《内蒙古自治区人民政府办公厅关于加强生态保护红线管理的实施意见(试行)》(内政办发〔2023〕74号)中“必须且无法避让、符合旗县级以上国土空间规划的线性基础设施、通讯和防洪、供水设施建设和船舶航行、航道疏浚清淤等活动；已有的合法水利、交通运输等设施运行维护改造。”的规定。</w:t>
            </w:r>
          </w:p>
          <w:p w14:paraId="2F0DA154">
            <w:pPr>
              <w:spacing w:line="360" w:lineRule="auto"/>
              <w:ind w:firstLine="488" w:firstLineChars="200"/>
              <w:rPr>
                <w:rFonts w:hint="default" w:ascii="Times New Roman" w:hAnsi="Times New Roman" w:eastAsia="宋体" w:cs="Times New Roman"/>
                <w:color w:val="000000" w:themeColor="text1"/>
                <w:spacing w:val="-5"/>
                <w:sz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highlight w:val="none"/>
                <w14:textFill>
                  <w14:solidFill>
                    <w14:schemeClr w14:val="tx1"/>
                  </w14:solidFill>
                </w14:textFill>
              </w:rPr>
              <w:t>本项目起点、终点已经确定且周围大部分为天然牧草地及生态红线，不具备比选条件，因此本项目不设置比选方案，因此本路线为唯一路线，</w:t>
            </w:r>
            <w:r>
              <w:rPr>
                <w:rFonts w:hint="default" w:ascii="Times New Roman" w:hAnsi="Times New Roman" w:eastAsia="宋体" w:cs="Times New Roman"/>
                <w:color w:val="000000" w:themeColor="text1"/>
                <w:spacing w:val="-5"/>
                <w:sz w:val="24"/>
                <w:highlight w:val="none"/>
                <w14:textFill>
                  <w14:solidFill>
                    <w14:schemeClr w14:val="tx1"/>
                  </w14:solidFill>
                </w14:textFill>
              </w:rPr>
              <w:t>本项目选线合理。</w:t>
            </w:r>
          </w:p>
          <w:p w14:paraId="2D420C85">
            <w:pPr>
              <w:spacing w:line="360" w:lineRule="auto"/>
              <w:ind w:firstLine="488" w:firstLineChars="200"/>
              <w:rPr>
                <w:rFonts w:hint="default" w:ascii="Times New Roman" w:hAnsi="Times New Roman" w:eastAsia="宋体" w:cs="Times New Roman"/>
                <w:color w:val="000000" w:themeColor="text1"/>
                <w:spacing w:val="2"/>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4"/>
                <w:highlight w:val="none"/>
                <w:lang w:val="en-US" w:eastAsia="zh-CN"/>
                <w14:textFill>
                  <w14:solidFill>
                    <w14:schemeClr w14:val="tx1"/>
                  </w14:solidFill>
                </w14:textFill>
              </w:rPr>
              <w:t>2、项目施工期取土场、施工营地选址合理性分析</w:t>
            </w:r>
          </w:p>
          <w:p w14:paraId="2BD8D0EC">
            <w:pPr>
              <w:spacing w:line="360" w:lineRule="auto"/>
              <w:ind w:firstLine="488" w:firstLineChars="200"/>
              <w:rPr>
                <w:rFonts w:hint="eastAsia" w:ascii="Times New Roman" w:hAnsi="Times New Roman" w:eastAsia="宋体" w:cs="Times New Roman"/>
                <w:color w:val="000000" w:themeColor="text1"/>
                <w:spacing w:val="2"/>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4"/>
                <w:highlight w:val="none"/>
                <w:lang w:val="en-US" w:eastAsia="zh-CN"/>
                <w14:textFill>
                  <w14:solidFill>
                    <w14:schemeClr w14:val="tx1"/>
                  </w14:solidFill>
                </w14:textFill>
              </w:rPr>
              <w:t>设取土场 1 处，位于桩号 K0+000 右侧约 2km 处，占地面积为 2.14hm2；工程设施工生产生活区 1 处，位于桩号 K0+000 处右侧， 占地面积为 0.40hm</w:t>
            </w:r>
            <w:r>
              <w:rPr>
                <w:rFonts w:hint="eastAsia" w:ascii="Times New Roman" w:hAnsi="Times New Roman" w:eastAsia="宋体" w:cs="Times New Roman"/>
                <w:color w:val="000000" w:themeColor="text1"/>
                <w:spacing w:val="2"/>
                <w:sz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pacing w:val="2"/>
                <w:sz w:val="24"/>
                <w:highlight w:val="none"/>
                <w:lang w:val="en-US" w:eastAsia="zh-CN"/>
                <w14:textFill>
                  <w14:solidFill>
                    <w14:schemeClr w14:val="tx1"/>
                  </w14:solidFill>
                </w14:textFill>
              </w:rPr>
              <w:t>。</w:t>
            </w:r>
          </w:p>
          <w:p w14:paraId="27604317">
            <w:pPr>
              <w:spacing w:line="360" w:lineRule="auto"/>
              <w:ind w:firstLine="488" w:firstLineChars="200"/>
              <w:rPr>
                <w:rFonts w:hint="eastAsia" w:ascii="Times New Roman" w:hAnsi="Times New Roman" w:eastAsia="宋体" w:cs="Times New Roman"/>
                <w:color w:val="000000" w:themeColor="text1"/>
                <w:spacing w:val="2"/>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4"/>
                <w:highlight w:val="none"/>
                <w:lang w:val="en-US" w:eastAsia="zh-CN"/>
                <w14:textFill>
                  <w14:solidFill>
                    <w14:schemeClr w14:val="tx1"/>
                  </w14:solidFill>
                </w14:textFill>
              </w:rPr>
              <w:t>从土方运距分析，取土场设置在距路基 2km 范围内，达到了在经济可行的基础上合理调配土石方的目的。</w:t>
            </w:r>
          </w:p>
          <w:p w14:paraId="55C34371">
            <w:pPr>
              <w:spacing w:line="360" w:lineRule="auto"/>
              <w:ind w:firstLine="488" w:firstLineChars="200"/>
              <w:rPr>
                <w:rFonts w:hint="eastAsia" w:ascii="Times New Roman" w:hAnsi="Times New Roman" w:eastAsia="宋体" w:cs="Times New Roman"/>
                <w:color w:val="000000" w:themeColor="text1"/>
                <w:spacing w:val="2"/>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4"/>
                <w:highlight w:val="none"/>
                <w:lang w:val="en-US" w:eastAsia="zh-CN"/>
                <w14:textFill>
                  <w14:solidFill>
                    <w14:schemeClr w14:val="tx1"/>
                  </w14:solidFill>
                </w14:textFill>
              </w:rPr>
              <w:t>取土场布设未在滑坡、崩塌、泥石流等易发生重力侵蚀的区域及河道内设置取土场，其选址合理。取土场距离城镇、景区较远，周边1.0km范围内无风景名胜区、自然保护区及农居点等敏感点，不影响其发展规划，取土结束后按照水土保持方案完成治理措施后，取土场地貌将与周边景观相协调。取土场不在河道管理范围内，不影响周边行洪安全，符合相关治导规划及防洪行洪规定。工程结束后，通过治理，可恢复和改善沿线生态环境，使工程建设的影响减少到最低。</w:t>
            </w:r>
          </w:p>
          <w:p w14:paraId="0002393E">
            <w:pPr>
              <w:spacing w:line="360" w:lineRule="auto"/>
              <w:ind w:firstLine="488" w:firstLineChars="200"/>
              <w:rPr>
                <w:rFonts w:hint="default" w:ascii="Times New Roman" w:hAnsi="Times New Roman" w:eastAsia="宋体" w:cs="Times New Roman"/>
                <w:color w:val="000000" w:themeColor="text1"/>
                <w:spacing w:val="-5"/>
                <w:sz w:val="24"/>
                <w:highlight w:val="none"/>
                <w14:textFill>
                  <w14:solidFill>
                    <w14:schemeClr w14:val="tx1"/>
                  </w14:solidFill>
                </w14:textFill>
              </w:rPr>
            </w:pPr>
            <w:r>
              <w:rPr>
                <w:rFonts w:hint="eastAsia" w:ascii="Times New Roman" w:hAnsi="Times New Roman" w:eastAsia="宋体" w:cs="Times New Roman"/>
                <w:color w:val="000000" w:themeColor="text1"/>
                <w:spacing w:val="2"/>
                <w:sz w:val="24"/>
                <w:highlight w:val="none"/>
                <w:lang w:val="en-US" w:eastAsia="zh-CN"/>
                <w14:textFill>
                  <w14:solidFill>
                    <w14:schemeClr w14:val="tx1"/>
                  </w14:solidFill>
                </w14:textFill>
              </w:rPr>
              <w:t>取土场和施工营地均在</w:t>
            </w:r>
            <w:r>
              <w:rPr>
                <w:rFonts w:hint="default" w:ascii="Times New Roman" w:hAnsi="Times New Roman" w:eastAsia="宋体" w:cs="Times New Roman"/>
                <w:color w:val="000000" w:themeColor="text1"/>
                <w:spacing w:val="2"/>
                <w:sz w:val="24"/>
                <w:highlight w:val="none"/>
                <w:lang w:val="en-US" w:eastAsia="zh-CN"/>
                <w14:textFill>
                  <w14:solidFill>
                    <w14:schemeClr w14:val="tx1"/>
                  </w14:solidFill>
                </w14:textFill>
              </w:rPr>
              <w:t>西乌珠穆沁旗-水源养生态功能重要区</w:t>
            </w:r>
            <w:r>
              <w:rPr>
                <w:rFonts w:hint="eastAsia" w:ascii="Times New Roman" w:hAnsi="Times New Roman" w:eastAsia="宋体" w:cs="Times New Roman"/>
                <w:color w:val="000000" w:themeColor="text1"/>
                <w:spacing w:val="2"/>
                <w:sz w:val="24"/>
                <w:highlight w:val="none"/>
                <w:lang w:val="en-US" w:eastAsia="zh-CN"/>
                <w14:textFill>
                  <w14:solidFill>
                    <w14:schemeClr w14:val="tx1"/>
                  </w14:solidFill>
                </w14:textFill>
              </w:rPr>
              <w:t>生态红线范围内，为施工道路的临时工程，施工结束后恢复原生态环境状况，属于不可避让情况，</w:t>
            </w:r>
            <w:r>
              <w:rPr>
                <w:rFonts w:hint="default" w:ascii="Times New Roman" w:hAnsi="Times New Roman" w:eastAsia="宋体" w:cs="Times New Roman"/>
                <w:color w:val="000000" w:themeColor="text1"/>
                <w:spacing w:val="-5"/>
                <w:sz w:val="24"/>
                <w:highlight w:val="none"/>
                <w14:textFill>
                  <w14:solidFill>
                    <w14:schemeClr w14:val="tx1"/>
                  </w14:solidFill>
                </w14:textFill>
              </w:rPr>
              <w:t>符合《内蒙古自治区人民政府办公厅关于加强生态保护红线管理的实施意见(试行)》(内政办发〔2023〕74号)中“必须且无法避让、符合旗县级以上国土空间规划的线性基础设施、通讯和防洪、供水设施建设和船舶航行、航道疏浚清淤等活动；已有的合法水利、交通运输等设施运行维护改造。”的规定。</w:t>
            </w:r>
          </w:p>
          <w:p w14:paraId="35A1B961">
            <w:pPr>
              <w:pStyle w:val="29"/>
              <w:ind w:left="0" w:leftChars="0" w:firstLine="0" w:firstLineChars="0"/>
              <w:rPr>
                <w:rFonts w:hint="default" w:ascii="Times New Roman" w:hAnsi="Times New Roman" w:eastAsia="宋体" w:cs="Times New Roman"/>
                <w:color w:val="000000" w:themeColor="text1"/>
                <w:highlight w:val="none"/>
                <w14:textFill>
                  <w14:solidFill>
                    <w14:schemeClr w14:val="tx1"/>
                  </w14:solidFill>
                </w14:textFill>
              </w:rPr>
            </w:pPr>
          </w:p>
        </w:tc>
      </w:tr>
    </w:tbl>
    <w:p w14:paraId="59058EE0">
      <w:pPr>
        <w:pStyle w:val="26"/>
        <w:jc w:val="center"/>
        <w:rPr>
          <w:rFonts w:hint="default" w:ascii="Times New Roman" w:hAnsi="Times New Roman" w:eastAsia="宋体" w:cs="Times New Roman"/>
          <w:snapToGrid w:val="0"/>
          <w:color w:val="000000" w:themeColor="text1"/>
          <w:sz w:val="36"/>
          <w:szCs w:val="36"/>
          <w:highlight w:val="none"/>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22A112BE">
      <w:pPr>
        <w:pStyle w:val="26"/>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t>五、主要生态环境保护措施</w:t>
      </w:r>
    </w:p>
    <w:tbl>
      <w:tblPr>
        <w:tblStyle w:val="30"/>
        <w:tblW w:w="85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4"/>
        <w:gridCol w:w="7919"/>
      </w:tblGrid>
      <w:tr w14:paraId="0FC434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dxa"/>
            <w:tcMar>
              <w:left w:w="28" w:type="dxa"/>
              <w:right w:w="28" w:type="dxa"/>
            </w:tcMar>
            <w:vAlign w:val="center"/>
          </w:tcPr>
          <w:p w14:paraId="5C22A9F3">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Cs w:val="21"/>
                <w:highlight w:val="none"/>
                <w14:textFill>
                  <w14:solidFill>
                    <w14:schemeClr w14:val="tx1"/>
                  </w14:solidFill>
                </w14:textFill>
              </w:rPr>
              <w:t>施工期生态环境保护措施</w:t>
            </w:r>
          </w:p>
        </w:tc>
        <w:tc>
          <w:tcPr>
            <w:tcW w:w="7919" w:type="dxa"/>
          </w:tcPr>
          <w:p w14:paraId="1D4D32BE">
            <w:pPr>
              <w:spacing w:line="360" w:lineRule="auto"/>
              <w:ind w:firstLine="474"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pacing w:val="-2"/>
                <w:sz w:val="24"/>
                <w:highlight w:val="none"/>
                <w14:textFill>
                  <w14:solidFill>
                    <w14:schemeClr w14:val="tx1"/>
                  </w14:solidFill>
                </w14:textFill>
              </w:rPr>
              <w:t>1.生态环境保护措施</w:t>
            </w:r>
          </w:p>
          <w:p w14:paraId="130B0A73">
            <w:pPr>
              <w:spacing w:line="360" w:lineRule="auto"/>
              <w:ind w:firstLine="46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pacing w:val="-5"/>
                <w:sz w:val="24"/>
                <w:highlight w:val="none"/>
                <w14:textFill>
                  <w14:solidFill>
                    <w14:schemeClr w14:val="tx1"/>
                  </w14:solidFill>
                </w14:textFill>
              </w:rPr>
              <w:t>详见生态专题评价。</w:t>
            </w:r>
          </w:p>
          <w:p w14:paraId="069D1E67">
            <w:pPr>
              <w:spacing w:line="360" w:lineRule="auto"/>
              <w:ind w:firstLine="434"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pacing w:val="-12"/>
                <w:sz w:val="24"/>
                <w:highlight w:val="none"/>
                <w14:textFill>
                  <w14:solidFill>
                    <w14:schemeClr w14:val="tx1"/>
                  </w14:solidFill>
                </w14:textFill>
              </w:rPr>
              <w:t>2.大气污染防治措施</w:t>
            </w:r>
          </w:p>
          <w:p w14:paraId="5BBBE695">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本项目施工期的废气影响是暂时的，随着施工期的结束对周边的影响会随之结束。工程施工应当采取以下措施以减轻其影响：</w:t>
            </w:r>
          </w:p>
          <w:p w14:paraId="265A7DFA">
            <w:pPr>
              <w:spacing w:line="360" w:lineRule="auto"/>
              <w:ind w:firstLine="474"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pacing w:val="-2"/>
                <w:sz w:val="24"/>
                <w:highlight w:val="none"/>
                <w14:textFill>
                  <w14:solidFill>
                    <w14:schemeClr w14:val="tx1"/>
                  </w14:solidFill>
                </w14:textFill>
              </w:rPr>
              <w:t>防尘措施：</w:t>
            </w:r>
          </w:p>
          <w:p w14:paraId="0BA2F440">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①</w:t>
            </w:r>
            <w:r>
              <w:rPr>
                <w:rFonts w:hint="default" w:ascii="Times New Roman" w:hAnsi="Times New Roman" w:eastAsia="宋体" w:cs="Times New Roman"/>
                <w:color w:val="000000" w:themeColor="text1"/>
                <w:spacing w:val="-1"/>
                <w:sz w:val="24"/>
                <w:highlight w:val="none"/>
                <w14:textFill>
                  <w14:solidFill>
                    <w14:schemeClr w14:val="tx1"/>
                  </w14:solidFill>
                </w14:textFill>
              </w:rPr>
              <w:t>路基开挖和填方施工过程中，定期采取洒水抑制扬尘措施；施工场地应进行</w:t>
            </w:r>
            <w:r>
              <w:rPr>
                <w:rFonts w:hint="default" w:ascii="Times New Roman" w:hAnsi="Times New Roman" w:eastAsia="宋体" w:cs="Times New Roman"/>
                <w:color w:val="000000" w:themeColor="text1"/>
                <w:spacing w:val="-5"/>
                <w:sz w:val="24"/>
                <w:highlight w:val="none"/>
                <w14:textFill>
                  <w14:solidFill>
                    <w14:schemeClr w14:val="tx1"/>
                  </w14:solidFill>
                </w14:textFill>
              </w:rPr>
              <w:t>硬化、定期洒水抑尘。粉状筑路材料的堆放应减少堆存量并及时</w:t>
            </w:r>
            <w:r>
              <w:rPr>
                <w:rFonts w:hint="default" w:ascii="Times New Roman" w:hAnsi="Times New Roman" w:eastAsia="宋体" w:cs="Times New Roman"/>
                <w:color w:val="000000" w:themeColor="text1"/>
                <w:spacing w:val="-6"/>
                <w:sz w:val="24"/>
                <w:highlight w:val="none"/>
                <w14:textFill>
                  <w14:solidFill>
                    <w14:schemeClr w14:val="tx1"/>
                  </w14:solidFill>
                </w14:textFill>
              </w:rPr>
              <w:t>利用，堆</w:t>
            </w:r>
            <w:r>
              <w:rPr>
                <w:rFonts w:hint="default" w:ascii="Times New Roman" w:hAnsi="Times New Roman" w:eastAsia="宋体" w:cs="Times New Roman"/>
                <w:color w:val="000000" w:themeColor="text1"/>
                <w:sz w:val="24"/>
                <w:highlight w:val="none"/>
                <w14:textFill>
                  <w14:solidFill>
                    <w14:schemeClr w14:val="tx1"/>
                  </w14:solidFill>
                </w14:textFill>
              </w:rPr>
              <w:t>放时应采取防风防雨措施，必要时设置围栏，并定时</w:t>
            </w:r>
            <w:r>
              <w:rPr>
                <w:rFonts w:hint="default" w:ascii="Times New Roman" w:hAnsi="Times New Roman" w:eastAsia="宋体" w:cs="Times New Roman"/>
                <w:color w:val="000000" w:themeColor="text1"/>
                <w:spacing w:val="-1"/>
                <w:sz w:val="24"/>
                <w:highlight w:val="none"/>
                <w14:textFill>
                  <w14:solidFill>
                    <w14:schemeClr w14:val="tx1"/>
                  </w14:solidFill>
                </w14:textFill>
              </w:rPr>
              <w:t>洒水防止扬尘，遇恶劣天</w:t>
            </w:r>
            <w:r>
              <w:rPr>
                <w:rFonts w:hint="default" w:ascii="Times New Roman" w:hAnsi="Times New Roman" w:eastAsia="宋体" w:cs="Times New Roman"/>
                <w:color w:val="000000" w:themeColor="text1"/>
                <w:spacing w:val="-2"/>
                <w:sz w:val="24"/>
                <w:highlight w:val="none"/>
                <w14:textFill>
                  <w14:solidFill>
                    <w14:schemeClr w14:val="tx1"/>
                  </w14:solidFill>
                </w14:textFill>
              </w:rPr>
              <w:t>气应进行苫盖。</w:t>
            </w:r>
          </w:p>
          <w:p w14:paraId="2F3524F5">
            <w:pPr>
              <w:adjustRightInd w:val="0"/>
              <w:snapToGrid w:val="0"/>
              <w:spacing w:line="360" w:lineRule="auto"/>
              <w:ind w:firstLine="476"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highlight w:val="none"/>
                <w14:textFill>
                  <w14:solidFill>
                    <w14:schemeClr w14:val="tx1"/>
                  </w14:solidFill>
                </w14:textFill>
              </w:rPr>
              <w:t>②</w:t>
            </w:r>
            <w:r>
              <w:rPr>
                <w:rFonts w:hint="default" w:ascii="Times New Roman" w:hAnsi="Times New Roman" w:eastAsia="宋体" w:cs="Times New Roman"/>
                <w:color w:val="000000" w:themeColor="text1"/>
                <w:sz w:val="24"/>
                <w:highlight w:val="none"/>
                <w14:textFill>
                  <w14:solidFill>
                    <w14:schemeClr w14:val="tx1"/>
                  </w14:solidFill>
                </w14:textFill>
              </w:rPr>
              <w:t>施工车辆、施工机械及运输车辆在运行时燃烧燃料会排放废气，废气中的主要污染物包括：NO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、CO、THC等污染物。各种施工及运输车辆均采用环保达标的车辆及机械，并采用高标号的燃料，确保排放废气中的各种污染物均能达标排放。</w:t>
            </w:r>
          </w:p>
          <w:p w14:paraId="52DA8096">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③</w:t>
            </w:r>
            <w:r>
              <w:rPr>
                <w:rFonts w:hint="default" w:ascii="Times New Roman" w:hAnsi="Times New Roman" w:eastAsia="宋体" w:cs="Times New Roman"/>
                <w:color w:val="000000" w:themeColor="text1"/>
                <w:sz w:val="24"/>
                <w:highlight w:val="none"/>
                <w14:textFill>
                  <w14:solidFill>
                    <w14:schemeClr w14:val="tx1"/>
                  </w14:solidFill>
                </w14:textFill>
              </w:rPr>
              <w:t>对</w:t>
            </w:r>
            <w:r>
              <w:rPr>
                <w:rFonts w:hint="eastAsia" w:cs="Times New Roman"/>
                <w:color w:val="000000" w:themeColor="text1"/>
                <w:sz w:val="24"/>
                <w:highlight w:val="none"/>
                <w:lang w:val="en-US" w:eastAsia="zh-CN"/>
                <w14:textFill>
                  <w14:solidFill>
                    <w14:schemeClr w14:val="tx1"/>
                  </w14:solidFill>
                </w14:textFill>
              </w:rPr>
              <w:t>取土场、表土堆场及施工营地</w:t>
            </w:r>
            <w:r>
              <w:rPr>
                <w:rFonts w:hint="default" w:ascii="Times New Roman" w:hAnsi="Times New Roman" w:eastAsia="宋体" w:cs="Times New Roman"/>
                <w:color w:val="000000" w:themeColor="text1"/>
                <w:sz w:val="24"/>
                <w:highlight w:val="none"/>
                <w14:textFill>
                  <w14:solidFill>
                    <w14:schemeClr w14:val="tx1"/>
                  </w14:solidFill>
                </w14:textFill>
              </w:rPr>
              <w:t>建设时期采取洒水等方法。</w:t>
            </w:r>
          </w:p>
          <w:p w14:paraId="705CE450">
            <w:pPr>
              <w:numPr>
                <w:ilvl w:val="0"/>
                <w:numId w:val="0"/>
              </w:numPr>
              <w:spacing w:line="360" w:lineRule="auto"/>
              <w:ind w:firstLine="504" w:firstLineChars="200"/>
              <w:rPr>
                <w:rFonts w:hint="default" w:cs="Times New Roman"/>
                <w:color w:val="000000" w:themeColor="text1"/>
                <w:spacing w:val="6"/>
                <w:sz w:val="24"/>
                <w:highlight w:val="none"/>
                <w:lang w:val="en-US" w:eastAsia="zh-CN"/>
                <w14:textFill>
                  <w14:solidFill>
                    <w14:schemeClr w14:val="tx1"/>
                  </w14:solidFill>
                </w14:textFill>
              </w:rPr>
            </w:pPr>
            <w:r>
              <w:rPr>
                <w:rFonts w:hint="eastAsia" w:cs="Times New Roman"/>
                <w:color w:val="000000" w:themeColor="text1"/>
                <w:spacing w:val="6"/>
                <w:sz w:val="24"/>
                <w:highlight w:val="none"/>
                <w:lang w:val="en-US" w:eastAsia="zh-CN"/>
                <w14:textFill>
                  <w14:solidFill>
                    <w14:schemeClr w14:val="tx1"/>
                  </w14:solidFill>
                </w14:textFill>
              </w:rPr>
              <w:t>④拌合站废气处理措施</w:t>
            </w:r>
          </w:p>
          <w:p w14:paraId="03E70060">
            <w:pPr>
              <w:spacing w:line="360" w:lineRule="auto"/>
              <w:ind w:firstLine="428" w:firstLineChars="200"/>
              <w:rPr>
                <w:rFonts w:hint="default" w:ascii="Times New Roman" w:hAnsi="Times New Roman" w:eastAsia="宋体" w:cs="Times New Roman"/>
                <w:b w:val="0"/>
                <w:bCs w:val="0"/>
                <w:color w:val="000000" w:themeColor="text1"/>
                <w:spacing w:val="-13"/>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13"/>
                <w:sz w:val="24"/>
                <w:highlight w:val="none"/>
                <w14:textFill>
                  <w14:solidFill>
                    <w14:schemeClr w14:val="tx1"/>
                  </w14:solidFill>
                </w14:textFill>
              </w:rPr>
              <w:t>项目</w:t>
            </w:r>
            <w:r>
              <w:rPr>
                <w:rFonts w:hint="eastAsia" w:cs="Times New Roman"/>
                <w:b w:val="0"/>
                <w:bCs w:val="0"/>
                <w:color w:val="000000" w:themeColor="text1"/>
                <w:spacing w:val="-13"/>
                <w:sz w:val="24"/>
                <w:highlight w:val="none"/>
                <w:lang w:val="en-US" w:eastAsia="zh-CN"/>
                <w14:textFill>
                  <w14:solidFill>
                    <w14:schemeClr w14:val="tx1"/>
                  </w14:solidFill>
                </w14:textFill>
              </w:rPr>
              <w:t>拌合站</w:t>
            </w:r>
            <w:r>
              <w:rPr>
                <w:rFonts w:hint="default" w:ascii="Times New Roman" w:hAnsi="Times New Roman" w:eastAsia="宋体" w:cs="Times New Roman"/>
                <w:b w:val="0"/>
                <w:bCs w:val="0"/>
                <w:color w:val="000000" w:themeColor="text1"/>
                <w:spacing w:val="-13"/>
                <w:sz w:val="24"/>
                <w:highlight w:val="none"/>
                <w14:textFill>
                  <w14:solidFill>
                    <w14:schemeClr w14:val="tx1"/>
                  </w14:solidFill>
                </w14:textFill>
              </w:rPr>
              <w:t>水泥</w:t>
            </w:r>
            <w:r>
              <w:rPr>
                <w:rFonts w:hint="eastAsia" w:cs="Times New Roman"/>
                <w:b w:val="0"/>
                <w:bCs w:val="0"/>
                <w:color w:val="000000" w:themeColor="text1"/>
                <w:spacing w:val="-13"/>
                <w:sz w:val="24"/>
                <w:highlight w:val="none"/>
                <w:lang w:val="en-US" w:eastAsia="zh-CN"/>
                <w14:textFill>
                  <w14:solidFill>
                    <w14:schemeClr w14:val="tx1"/>
                  </w14:solidFill>
                </w14:textFill>
              </w:rPr>
              <w:t>仓</w:t>
            </w:r>
            <w:r>
              <w:rPr>
                <w:rFonts w:hint="default" w:ascii="Times New Roman" w:hAnsi="Times New Roman" w:eastAsia="宋体" w:cs="Times New Roman"/>
                <w:b w:val="0"/>
                <w:bCs w:val="0"/>
                <w:color w:val="000000" w:themeColor="text1"/>
                <w:spacing w:val="-13"/>
                <w:sz w:val="24"/>
                <w:highlight w:val="none"/>
                <w14:textFill>
                  <w14:solidFill>
                    <w14:schemeClr w14:val="tx1"/>
                  </w14:solidFill>
                </w14:textFill>
              </w:rPr>
              <w:t>顶孔粉尘，经脉冲式布袋除尘器进行除尘（水泥</w:t>
            </w:r>
            <w:r>
              <w:rPr>
                <w:rFonts w:hint="eastAsia" w:cs="Times New Roman"/>
                <w:b w:val="0"/>
                <w:bCs w:val="0"/>
                <w:color w:val="000000" w:themeColor="text1"/>
                <w:spacing w:val="-13"/>
                <w:sz w:val="24"/>
                <w:highlight w:val="none"/>
                <w:lang w:val="en-US" w:eastAsia="zh-CN"/>
                <w14:textFill>
                  <w14:solidFill>
                    <w14:schemeClr w14:val="tx1"/>
                  </w14:solidFill>
                </w14:textFill>
              </w:rPr>
              <w:t>仓</w:t>
            </w:r>
            <w:r>
              <w:rPr>
                <w:rFonts w:hint="default" w:ascii="Times New Roman" w:hAnsi="Times New Roman" w:eastAsia="宋体" w:cs="Times New Roman"/>
                <w:b w:val="0"/>
                <w:bCs w:val="0"/>
                <w:color w:val="000000" w:themeColor="text1"/>
                <w:spacing w:val="-13"/>
                <w:sz w:val="24"/>
                <w:highlight w:val="none"/>
                <w14:textFill>
                  <w14:solidFill>
                    <w14:schemeClr w14:val="tx1"/>
                  </w14:solidFill>
                </w14:textFill>
              </w:rPr>
              <w:t>为产品设计自带布袋除尘器）。脉冲式除尘器这种除尘器一般用在搅拌站水泥罐顶上，以及各种仓顶上的通风类型的除尘器。它一般没有灰斗，直接用法兰连接在仓顶上。在往罐体内加料时，除尘器是一个通风孔</w:t>
            </w:r>
            <w:r>
              <w:rPr>
                <w:rFonts w:hint="eastAsia" w:cs="Times New Roman"/>
                <w:b w:val="0"/>
                <w:bCs w:val="0"/>
                <w:color w:val="000000" w:themeColor="text1"/>
                <w:spacing w:val="-13"/>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13"/>
                <w:sz w:val="24"/>
                <w:highlight w:val="none"/>
                <w14:textFill>
                  <w14:solidFill>
                    <w14:schemeClr w14:val="tx1"/>
                  </w14:solidFill>
                </w14:textFill>
              </w:rPr>
              <w:t>经过滤后达标排放。</w:t>
            </w:r>
          </w:p>
          <w:p w14:paraId="6AF85DB0">
            <w:pPr>
              <w:spacing w:line="360" w:lineRule="auto"/>
              <w:ind w:firstLine="428" w:firstLineChars="200"/>
              <w:rPr>
                <w:rFonts w:hint="default" w:ascii="Times New Roman" w:hAnsi="Times New Roman" w:eastAsia="宋体" w:cs="Times New Roman"/>
                <w:b w:val="0"/>
                <w:bCs w:val="0"/>
                <w:color w:val="000000" w:themeColor="text1"/>
                <w:spacing w:val="-13"/>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13"/>
                <w:sz w:val="24"/>
                <w:highlight w:val="none"/>
                <w14:textFill>
                  <w14:solidFill>
                    <w14:schemeClr w14:val="tx1"/>
                  </w14:solidFill>
                </w14:textFill>
              </w:rPr>
              <w:t>项目在物料的配料、进料、输送、提升、搅拌等过程中产生无组织粉尘，无组织排放量与物料的粒径、物料转运的距离和落差、操作管理有关，为了有效地控制各个扬尘点的粉尘，工艺设计中原辅材料应尽量采用密闭设备和密闭式储罐转运，降低物料转运的距离和落差，减少无组织粉尘对外环境的影响。</w:t>
            </w:r>
          </w:p>
          <w:p w14:paraId="6BDE5F8D">
            <w:pPr>
              <w:spacing w:line="360" w:lineRule="auto"/>
              <w:ind w:firstLine="428" w:firstLineChars="200"/>
              <w:rPr>
                <w:rFonts w:hint="eastAsia" w:ascii="Times New Roman" w:hAnsi="Times New Roman" w:eastAsia="宋体" w:cs="Times New Roman"/>
                <w:b w:val="0"/>
                <w:bCs w:val="0"/>
                <w:color w:val="000000" w:themeColor="text1"/>
                <w:spacing w:val="-13"/>
                <w:sz w:val="24"/>
                <w:highlight w:val="none"/>
                <w:lang w:val="en-US" w:eastAsia="zh-CN"/>
                <w14:textFill>
                  <w14:solidFill>
                    <w14:schemeClr w14:val="tx1"/>
                  </w14:solidFill>
                </w14:textFill>
              </w:rPr>
            </w:pPr>
            <w:r>
              <w:rPr>
                <w:rFonts w:hint="eastAsia" w:cs="Times New Roman"/>
                <w:b w:val="0"/>
                <w:bCs w:val="0"/>
                <w:color w:val="000000" w:themeColor="text1"/>
                <w:spacing w:val="-13"/>
                <w:sz w:val="24"/>
                <w:highlight w:val="none"/>
                <w:lang w:val="en-US" w:eastAsia="zh-CN"/>
                <w14:textFill>
                  <w14:solidFill>
                    <w14:schemeClr w14:val="tx1"/>
                  </w14:solidFill>
                </w14:textFill>
              </w:rPr>
              <w:t>以上拌合站废气</w:t>
            </w:r>
            <w:r>
              <w:rPr>
                <w:rFonts w:hint="default" w:ascii="Times New Roman" w:hAnsi="Times New Roman" w:eastAsia="宋体" w:cs="Times New Roman"/>
                <w:b w:val="0"/>
                <w:bCs w:val="0"/>
                <w:color w:val="000000" w:themeColor="text1"/>
                <w:spacing w:val="-13"/>
                <w:sz w:val="24"/>
                <w:highlight w:val="none"/>
                <w14:textFill>
                  <w14:solidFill>
                    <w14:schemeClr w14:val="tx1"/>
                  </w14:solidFill>
                </w14:textFill>
              </w:rPr>
              <w:t>采取的废气处理措施属于《水泥工业污染防治可行技术指南（试行）》和《排污许可证申请与核发技术规范 水泥工业》（HJ847-2017）中的可行技</w:t>
            </w:r>
            <w:r>
              <w:rPr>
                <w:rFonts w:hint="eastAsia" w:cs="Times New Roman"/>
                <w:b w:val="0"/>
                <w:bCs w:val="0"/>
                <w:color w:val="000000" w:themeColor="text1"/>
                <w:spacing w:val="-13"/>
                <w:sz w:val="24"/>
                <w:highlight w:val="none"/>
                <w:lang w:val="en-US" w:eastAsia="zh-CN"/>
                <w14:textFill>
                  <w14:solidFill>
                    <w14:schemeClr w14:val="tx1"/>
                  </w14:solidFill>
                </w14:textFill>
              </w:rPr>
              <w:t>术，措施可行。</w:t>
            </w:r>
          </w:p>
          <w:p w14:paraId="228D273B">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p>
          <w:p w14:paraId="2D3E9CC1">
            <w:pPr>
              <w:spacing w:line="360" w:lineRule="auto"/>
              <w:ind w:firstLine="434"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pacing w:val="-12"/>
                <w:sz w:val="24"/>
                <w:highlight w:val="none"/>
                <w14:textFill>
                  <w14:solidFill>
                    <w14:schemeClr w14:val="tx1"/>
                  </w14:solidFill>
                </w14:textFill>
              </w:rPr>
              <w:t>3.废水污染防治措施</w:t>
            </w:r>
          </w:p>
          <w:p w14:paraId="507A78D4">
            <w:pPr>
              <w:spacing w:line="360" w:lineRule="auto"/>
              <w:ind w:firstLine="472" w:firstLineChars="200"/>
              <w:rPr>
                <w:rFonts w:hint="default" w:ascii="Times New Roman" w:hAnsi="Times New Roman" w:eastAsia="宋体" w:cs="Times New Roman"/>
                <w:color w:val="000000" w:themeColor="text1"/>
                <w:spacing w:val="-2"/>
                <w:sz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highlight w:val="none"/>
                <w14:textFill>
                  <w14:solidFill>
                    <w14:schemeClr w14:val="tx1"/>
                  </w14:solidFill>
                </w14:textFill>
              </w:rPr>
              <w:t>本项目设置施工营地，施工</w:t>
            </w:r>
            <w:r>
              <w:rPr>
                <w:rFonts w:hint="eastAsia" w:cs="Times New Roman"/>
                <w:color w:val="000000" w:themeColor="text1"/>
                <w:spacing w:val="-2"/>
                <w:sz w:val="24"/>
                <w:highlight w:val="none"/>
                <w:lang w:val="en-US" w:eastAsia="zh-CN"/>
                <w14:textFill>
                  <w14:solidFill>
                    <w14:schemeClr w14:val="tx1"/>
                  </w14:solidFill>
                </w14:textFill>
              </w:rPr>
              <w:t>营地</w:t>
            </w:r>
            <w:r>
              <w:rPr>
                <w:rFonts w:hint="default" w:ascii="Times New Roman" w:hAnsi="Times New Roman" w:eastAsia="宋体" w:cs="Times New Roman"/>
                <w:color w:val="000000" w:themeColor="text1"/>
                <w:spacing w:val="-2"/>
                <w:sz w:val="24"/>
                <w:highlight w:val="none"/>
                <w14:textFill>
                  <w14:solidFill>
                    <w14:schemeClr w14:val="tx1"/>
                  </w14:solidFill>
                </w14:textFill>
              </w:rPr>
              <w:t>设置临时移动厕所进行收集，</w:t>
            </w:r>
            <w:r>
              <w:rPr>
                <w:rFonts w:hint="eastAsia" w:cs="Times New Roman"/>
                <w:color w:val="000000" w:themeColor="text1"/>
                <w:spacing w:val="-2"/>
                <w:sz w:val="24"/>
                <w:highlight w:val="none"/>
                <w:lang w:val="en-US" w:eastAsia="zh-CN"/>
                <w14:textFill>
                  <w14:solidFill>
                    <w14:schemeClr w14:val="tx1"/>
                  </w14:solidFill>
                </w14:textFill>
              </w:rPr>
              <w:t>定期</w:t>
            </w:r>
            <w:r>
              <w:rPr>
                <w:rFonts w:hint="default" w:ascii="Times New Roman" w:hAnsi="Times New Roman" w:eastAsia="宋体" w:cs="Times New Roman"/>
                <w:color w:val="000000" w:themeColor="text1"/>
                <w:sz w:val="24"/>
                <w:highlight w:val="none"/>
                <w14:textFill>
                  <w14:solidFill>
                    <w14:schemeClr w14:val="tx1"/>
                  </w14:solidFill>
                </w14:textFill>
              </w:rPr>
              <w:t>清掏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排入城镇污水处理厂</w:t>
            </w:r>
            <w:r>
              <w:rPr>
                <w:rFonts w:hint="default" w:ascii="Times New Roman" w:hAnsi="Times New Roman" w:eastAsia="宋体" w:cs="Times New Roman"/>
                <w:color w:val="000000" w:themeColor="text1"/>
                <w:spacing w:val="-2"/>
                <w:sz w:val="24"/>
                <w:highlight w:val="none"/>
                <w14:textFill>
                  <w14:solidFill>
                    <w14:schemeClr w14:val="tx1"/>
                  </w14:solidFill>
                </w14:textFill>
              </w:rPr>
              <w:t>，严禁直接排放。</w:t>
            </w:r>
          </w:p>
          <w:p w14:paraId="46D22658">
            <w:pPr>
              <w:spacing w:line="360" w:lineRule="auto"/>
              <w:ind w:firstLine="474" w:firstLineChars="200"/>
              <w:rPr>
                <w:rFonts w:hint="default" w:ascii="Times New Roman" w:hAnsi="Times New Roman" w:eastAsia="宋体" w:cs="Times New Roman"/>
                <w:b/>
                <w:color w:val="000000" w:themeColor="text1"/>
                <w:spacing w:val="-2"/>
                <w:sz w:val="24"/>
                <w:highlight w:val="none"/>
                <w14:textFill>
                  <w14:solidFill>
                    <w14:schemeClr w14:val="tx1"/>
                  </w14:solidFill>
                </w14:textFill>
              </w:rPr>
            </w:pPr>
            <w:r>
              <w:rPr>
                <w:rFonts w:hint="default" w:ascii="Times New Roman" w:hAnsi="Times New Roman" w:eastAsia="宋体" w:cs="Times New Roman"/>
                <w:b/>
                <w:color w:val="000000" w:themeColor="text1"/>
                <w:spacing w:val="-2"/>
                <w:sz w:val="24"/>
                <w:highlight w:val="none"/>
                <w14:textFill>
                  <w14:solidFill>
                    <w14:schemeClr w14:val="tx1"/>
                  </w14:solidFill>
                </w14:textFill>
              </w:rPr>
              <w:t>4.施工期噪声污染防治措施</w:t>
            </w:r>
          </w:p>
          <w:p w14:paraId="290F0EF2">
            <w:pPr>
              <w:spacing w:line="360" w:lineRule="auto"/>
              <w:ind w:firstLine="472" w:firstLineChars="200"/>
              <w:rPr>
                <w:rFonts w:hint="default" w:ascii="Times New Roman" w:hAnsi="Times New Roman" w:eastAsia="宋体" w:cs="Times New Roman"/>
                <w:color w:val="000000" w:themeColor="text1"/>
                <w:spacing w:val="-2"/>
                <w:sz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highlight w:val="none"/>
                <w14:textFill>
                  <w14:solidFill>
                    <w14:schemeClr w14:val="tx1"/>
                  </w14:solidFill>
                </w14:textFill>
              </w:rPr>
              <w:t>（1）选用符合国家有关标准的施工机具和运输车辆，尽量选用低噪声的施工机械和工艺；振动较大的固定机械设备应加装减振机座，同时加强各类施工设备的维护和保养，保持其更好的运转，尽量降低噪声源强。</w:t>
            </w:r>
          </w:p>
          <w:p w14:paraId="489554A8">
            <w:pPr>
              <w:spacing w:line="360" w:lineRule="auto"/>
              <w:ind w:firstLine="472"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highlight w:val="none"/>
                <w14:textFill>
                  <w14:solidFill>
                    <w14:schemeClr w14:val="tx1"/>
                  </w14:solidFill>
                </w14:textFill>
              </w:rPr>
              <w:t>（2）强噪声源的施工作业时间可安</w:t>
            </w:r>
            <w:r>
              <w:rPr>
                <w:rFonts w:hint="default" w:ascii="Times New Roman" w:hAnsi="Times New Roman" w:eastAsia="宋体" w:cs="Times New Roman"/>
                <w:color w:val="000000" w:themeColor="text1"/>
                <w:spacing w:val="-1"/>
                <w:sz w:val="24"/>
                <w:highlight w:val="none"/>
                <w14:textFill>
                  <w14:solidFill>
                    <w14:schemeClr w14:val="tx1"/>
                  </w14:solidFill>
                </w14:textFill>
              </w:rPr>
              <w:t>排在昼间（22∶00～06∶00）进行或对</w:t>
            </w:r>
            <w:r>
              <w:rPr>
                <w:rFonts w:hint="default" w:ascii="Times New Roman" w:hAnsi="Times New Roman" w:eastAsia="宋体" w:cs="Times New Roman"/>
                <w:color w:val="000000" w:themeColor="text1"/>
                <w:sz w:val="24"/>
                <w:highlight w:val="none"/>
                <w14:textFill>
                  <w14:solidFill>
                    <w14:schemeClr w14:val="tx1"/>
                  </w14:solidFill>
                </w14:textFill>
              </w:rPr>
              <w:t>各种施工机械操作时间作适当调整；为减少施</w:t>
            </w:r>
            <w:r>
              <w:rPr>
                <w:rFonts w:hint="default" w:ascii="Times New Roman" w:hAnsi="Times New Roman" w:eastAsia="宋体" w:cs="Times New Roman"/>
                <w:color w:val="000000" w:themeColor="text1"/>
                <w:spacing w:val="-1"/>
                <w:sz w:val="24"/>
                <w:highlight w:val="none"/>
                <w14:textFill>
                  <w14:solidFill>
                    <w14:schemeClr w14:val="tx1"/>
                  </w14:solidFill>
                </w14:textFill>
              </w:rPr>
              <w:t>工期间的材料运输、敲击等施工</w:t>
            </w:r>
            <w:r>
              <w:rPr>
                <w:rFonts w:hint="default" w:ascii="Times New Roman" w:hAnsi="Times New Roman" w:eastAsia="宋体" w:cs="Times New Roman"/>
                <w:color w:val="000000" w:themeColor="text1"/>
                <w:spacing w:val="-2"/>
                <w:sz w:val="24"/>
                <w:highlight w:val="none"/>
                <w14:textFill>
                  <w14:solidFill>
                    <w14:schemeClr w14:val="tx1"/>
                  </w14:solidFill>
                </w14:textFill>
              </w:rPr>
              <w:t>活动声源，要求承包商通过文明施工、加强有效管理加以缓解。</w:t>
            </w:r>
          </w:p>
          <w:p w14:paraId="40DA7CC2">
            <w:pPr>
              <w:spacing w:line="360" w:lineRule="auto"/>
              <w:ind w:firstLine="476"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highlight w:val="none"/>
                <w14:textFill>
                  <w14:solidFill>
                    <w14:schemeClr w14:val="tx1"/>
                  </w14:solidFill>
                </w14:textFill>
              </w:rPr>
              <w:t>（3）在距离牧户较近的路段，强噪声施工机械夜间（22∶00～06∶00）应</w:t>
            </w:r>
            <w:r>
              <w:rPr>
                <w:rFonts w:hint="default" w:ascii="Times New Roman" w:hAnsi="Times New Roman" w:eastAsia="宋体" w:cs="Times New Roman"/>
                <w:color w:val="000000" w:themeColor="text1"/>
                <w:sz w:val="24"/>
                <w:highlight w:val="none"/>
                <w14:textFill>
                  <w14:solidFill>
                    <w14:schemeClr w14:val="tx1"/>
                  </w14:solidFill>
                </w14:textFill>
              </w:rPr>
              <w:t>停止施工作业；并采取</w:t>
            </w:r>
            <w:r>
              <w:rPr>
                <w:rFonts w:hint="eastAsia" w:cs="Times New Roman"/>
                <w:color w:val="000000" w:themeColor="text1"/>
                <w:sz w:val="24"/>
                <w:highlight w:val="none"/>
                <w:lang w:val="en-US" w:eastAsia="zh-CN"/>
                <w14:textFill>
                  <w14:solidFill>
                    <w14:schemeClr w14:val="tx1"/>
                  </w14:solidFill>
                </w14:textFill>
              </w:rPr>
              <w:t>围挡</w:t>
            </w:r>
            <w:r>
              <w:rPr>
                <w:rFonts w:hint="default" w:ascii="Times New Roman" w:hAnsi="Times New Roman" w:eastAsia="宋体" w:cs="Times New Roman"/>
                <w:color w:val="000000" w:themeColor="text1"/>
                <w:sz w:val="24"/>
                <w:highlight w:val="none"/>
                <w14:textFill>
                  <w14:solidFill>
                    <w14:schemeClr w14:val="tx1"/>
                  </w14:solidFill>
                </w14:textFill>
              </w:rPr>
              <w:t>等防噪声措施。</w:t>
            </w:r>
          </w:p>
          <w:p w14:paraId="4DA03715">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（4）加强沿线的声环境敏感路段（环境评价所列声环境保护目标点）的施工管理，合理制定施工计划。</w:t>
            </w:r>
          </w:p>
          <w:p w14:paraId="6FA5079B">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采取以上措施后，噪声污染对周围环境影响较小，采取以上措施可行。</w:t>
            </w:r>
          </w:p>
          <w:p w14:paraId="1B528C0D">
            <w:pPr>
              <w:spacing w:line="360" w:lineRule="auto"/>
              <w:ind w:firstLine="482" w:firstLineChars="200"/>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5.固体废物防治措施可行性分析</w:t>
            </w:r>
          </w:p>
          <w:p w14:paraId="64631A3E">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本工程固体废弃物主要来源于施工过程的建筑垃圾及施工人员产生的生活垃圾。</w:t>
            </w:r>
          </w:p>
          <w:p w14:paraId="6D8066B6">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（1）建筑垃圾运至当地建筑垃圾填埋场，剥离表土应堆放至表土堆场并进行防护。</w:t>
            </w:r>
            <w:r>
              <w:rPr>
                <w:rFonts w:hint="eastAsia" w:cs="Times New Roman"/>
                <w:color w:val="000000" w:themeColor="text1"/>
                <w:sz w:val="24"/>
                <w:highlight w:val="none"/>
                <w:lang w:val="en-US" w:eastAsia="zh-CN"/>
                <w14:textFill>
                  <w14:solidFill>
                    <w14:schemeClr w14:val="tx1"/>
                  </w14:solidFill>
                </w14:textFill>
              </w:rPr>
              <w:t>无废弃土方。</w:t>
            </w:r>
          </w:p>
          <w:p w14:paraId="3C542B4E">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（2）本项目</w:t>
            </w:r>
            <w:r>
              <w:rPr>
                <w:rFonts w:hint="eastAsia" w:cs="Times New Roman"/>
                <w:color w:val="000000" w:themeColor="text1"/>
                <w:sz w:val="24"/>
                <w:highlight w:val="none"/>
                <w:lang w:val="en-US" w:eastAsia="zh-CN"/>
                <w14:textFill>
                  <w14:solidFill>
                    <w14:schemeClr w14:val="tx1"/>
                  </w14:solidFill>
                </w14:textFill>
              </w:rPr>
              <w:t>设置</w:t>
            </w:r>
            <w:r>
              <w:rPr>
                <w:rFonts w:hint="default" w:ascii="Times New Roman" w:hAnsi="Times New Roman" w:eastAsia="宋体" w:cs="Times New Roman"/>
                <w:color w:val="000000" w:themeColor="text1"/>
                <w:sz w:val="24"/>
                <w:highlight w:val="none"/>
                <w14:textFill>
                  <w14:solidFill>
                    <w14:schemeClr w14:val="tx1"/>
                  </w14:solidFill>
                </w14:textFill>
              </w:rPr>
              <w:t>施工生活区，施工</w:t>
            </w:r>
            <w:r>
              <w:rPr>
                <w:rFonts w:hint="eastAsia" w:cs="Times New Roman"/>
                <w:color w:val="000000" w:themeColor="text1"/>
                <w:sz w:val="24"/>
                <w:highlight w:val="none"/>
                <w:lang w:val="en-US" w:eastAsia="zh-CN"/>
                <w14:textFill>
                  <w14:solidFill>
                    <w14:schemeClr w14:val="tx1"/>
                  </w14:solidFill>
                </w14:textFill>
              </w:rPr>
              <w:t>营地</w:t>
            </w:r>
            <w:r>
              <w:rPr>
                <w:rFonts w:hint="default" w:ascii="Times New Roman" w:hAnsi="Times New Roman" w:eastAsia="宋体" w:cs="Times New Roman"/>
                <w:color w:val="000000" w:themeColor="text1"/>
                <w:sz w:val="24"/>
                <w:highlight w:val="none"/>
                <w14:textFill>
                  <w14:solidFill>
                    <w14:schemeClr w14:val="tx1"/>
                  </w14:solidFill>
                </w14:textFill>
              </w:rPr>
              <w:t>应当设置数量合适的垃圾桶，生活垃圾等固体废物集中堆放，定期清运；施工场地的筑路材料，包括石料、砂、石灰、水泥、钢材、木料等，应当按计划和施工的操作规程严格控制，尽量减少剩余的物料。一旦有余下的材料，将其有序地存放好，妥善保管，可供周边地区修补乡村道路或建筑使用，以减轻建筑垃圾对环境的影响。</w:t>
            </w:r>
          </w:p>
          <w:p w14:paraId="1C4A6723">
            <w:pPr>
              <w:spacing w:line="360" w:lineRule="auto"/>
              <w:ind w:firstLine="480" w:firstLineChars="200"/>
              <w:rPr>
                <w:rFonts w:hint="default" w:ascii="Times New Roman" w:hAnsi="Times New Roman" w:eastAsia="宋体" w:cs="Times New Roman"/>
                <w:color w:val="000000" w:themeColor="text1"/>
                <w:spacing w:val="-9"/>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采取以上措施后，固体废物对周围环境影响较小，采取以上措施可行。</w:t>
            </w:r>
          </w:p>
        </w:tc>
      </w:tr>
      <w:tr w14:paraId="45F653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7" w:hRule="atLeast"/>
          <w:jc w:val="center"/>
        </w:trPr>
        <w:tc>
          <w:tcPr>
            <w:tcW w:w="614" w:type="dxa"/>
            <w:tcMar>
              <w:left w:w="28" w:type="dxa"/>
              <w:right w:w="28" w:type="dxa"/>
            </w:tcMar>
            <w:vAlign w:val="center"/>
          </w:tcPr>
          <w:p w14:paraId="3AE620B2">
            <w:pPr>
              <w:adjustRightInd w:val="0"/>
              <w:snapToGrid w:val="0"/>
              <w:jc w:val="center"/>
              <w:rPr>
                <w:rFonts w:hint="default" w:ascii="Times New Roman" w:hAnsi="Times New Roman" w:eastAsia="宋体" w:cs="Times New Roman"/>
                <w:bCs/>
                <w:color w:val="000000" w:themeColor="text1"/>
                <w:spacing w:val="10"/>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Cs w:val="21"/>
                <w:highlight w:val="none"/>
                <w14:textFill>
                  <w14:solidFill>
                    <w14:schemeClr w14:val="tx1"/>
                  </w14:solidFill>
                </w14:textFill>
              </w:rPr>
              <w:t>运营期生态环境保护措施</w:t>
            </w:r>
          </w:p>
        </w:tc>
        <w:tc>
          <w:tcPr>
            <w:tcW w:w="7919" w:type="dxa"/>
          </w:tcPr>
          <w:p w14:paraId="7FA88676">
            <w:pPr>
              <w:spacing w:line="360" w:lineRule="auto"/>
              <w:ind w:firstLine="474" w:firstLineChars="200"/>
              <w:rPr>
                <w:rFonts w:hint="default" w:ascii="Times New Roman" w:hAnsi="Times New Roman" w:eastAsia="宋体" w:cs="Times New Roman"/>
                <w:b/>
                <w:color w:val="000000" w:themeColor="text1"/>
                <w:sz w:val="24"/>
                <w:highlight w:val="none"/>
                <w14:textFill>
                  <w14:solidFill>
                    <w14:schemeClr w14:val="tx1"/>
                  </w14:solidFill>
                </w14:textFill>
              </w:rPr>
            </w:pPr>
            <w:r>
              <w:rPr>
                <w:rFonts w:hint="eastAsia" w:cs="Times New Roman"/>
                <w:b/>
                <w:color w:val="000000" w:themeColor="text1"/>
                <w:spacing w:val="-2"/>
                <w:sz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pacing w:val="-2"/>
                <w:sz w:val="24"/>
                <w:highlight w:val="none"/>
                <w14:textFill>
                  <w14:solidFill>
                    <w14:schemeClr w14:val="tx1"/>
                  </w14:solidFill>
                </w14:textFill>
              </w:rPr>
              <w:t>.大气污染防治措施</w:t>
            </w:r>
          </w:p>
          <w:p w14:paraId="38B53B0B">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（1）加强公路管理及路面养护，维持公路路面的平整度，避免因路况不佳造成车辆颠簸等引起交通噪声。</w:t>
            </w:r>
          </w:p>
          <w:p w14:paraId="41D7AEAD">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（2）道路养护过程中的水泥、石灰等散装物料运输和存放，应采取防风遮挡措施，以减少起尘量；</w:t>
            </w:r>
          </w:p>
          <w:p w14:paraId="5356A5ED">
            <w:pPr>
              <w:spacing w:line="360" w:lineRule="auto"/>
              <w:ind w:firstLine="482"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b/>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highlight w:val="none"/>
                <w14:textFill>
                  <w14:solidFill>
                    <w14:schemeClr w14:val="tx1"/>
                  </w14:solidFill>
                </w14:textFill>
              </w:rPr>
              <w:t>.</w:t>
            </w:r>
            <w:r>
              <w:rPr>
                <w:rFonts w:hint="default" w:ascii="Times New Roman" w:hAnsi="Times New Roman" w:eastAsia="宋体" w:cs="Times New Roman"/>
                <w:b/>
                <w:bCs/>
                <w:color w:val="000000" w:themeColor="text1"/>
                <w:spacing w:val="-12"/>
                <w:sz w:val="24"/>
                <w:highlight w:val="none"/>
                <w14:textFill>
                  <w14:solidFill>
                    <w14:schemeClr w14:val="tx1"/>
                  </w14:solidFill>
                </w14:textFill>
              </w:rPr>
              <w:t>废水污染防治措施</w:t>
            </w:r>
          </w:p>
          <w:p w14:paraId="219089E1">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工程营运期对附近水域产生的污染途径主要表现为路面径流，污染物主要为石油类、SS和COD。根据环保部华南环科所在南方地区的试验资料，降雨初期到形成径流的30min内，雨水中的悬浮物和石油类浓度较高，30min后，其浓度随着降雨历时的延长下降较快，40-60min后，路面基本被冲洗干净，路面径流污染物的浓度相对稳定在较低水平。故一般营运期路面径流在非事故状态下，污染物排放浓度较小，在水体自净能力的作用下，路面径流中的少量污染物可为环境所接纳，不会造成对环境的污染影响。</w:t>
            </w:r>
          </w:p>
          <w:p w14:paraId="0C492A6F">
            <w:pPr>
              <w:spacing w:line="360" w:lineRule="auto"/>
              <w:ind w:firstLine="482" w:firstLineChars="200"/>
              <w:rPr>
                <w:rFonts w:hint="default" w:ascii="Times New Roman" w:hAnsi="Times New Roman" w:eastAsia="宋体" w:cs="Times New Roman"/>
                <w:b/>
                <w:color w:val="000000" w:themeColor="text1"/>
                <w:sz w:val="24"/>
                <w:highlight w:val="none"/>
                <w14:textFill>
                  <w14:solidFill>
                    <w14:schemeClr w14:val="tx1"/>
                  </w14:solidFill>
                </w14:textFill>
              </w:rPr>
            </w:pPr>
            <w:r>
              <w:rPr>
                <w:rFonts w:hint="eastAsia" w:cs="Times New Roman"/>
                <w:b/>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highlight w:val="none"/>
                <w14:textFill>
                  <w14:solidFill>
                    <w14:schemeClr w14:val="tx1"/>
                  </w14:solidFill>
                </w14:textFill>
              </w:rPr>
              <w:t>.噪声污染防治措施</w:t>
            </w:r>
          </w:p>
          <w:p w14:paraId="617DFCB6">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机动车辆通过敏感点时减少鸣笛次数；在居民区附近设置限速标志、禁止鸣笛指示牌等，可以有效控制交通噪声的污染，减少交通噪声扰民问题。</w:t>
            </w:r>
          </w:p>
        </w:tc>
      </w:tr>
      <w:tr w14:paraId="6E2D55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614" w:type="dxa"/>
            <w:vAlign w:val="center"/>
          </w:tcPr>
          <w:p w14:paraId="0F700FBE">
            <w:pPr>
              <w:adjustRightInd w:val="0"/>
              <w:snapToGrid w:val="0"/>
              <w:jc w:val="center"/>
              <w:rPr>
                <w:rFonts w:hint="default" w:ascii="Times New Roman" w:hAnsi="Times New Roman" w:eastAsia="宋体" w:cs="Times New Roman"/>
                <w:bCs/>
                <w:color w:val="000000" w:themeColor="text1"/>
                <w:spacing w:val="10"/>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其他</w:t>
            </w:r>
          </w:p>
        </w:tc>
        <w:tc>
          <w:tcPr>
            <w:tcW w:w="7919" w:type="dxa"/>
            <w:vAlign w:val="center"/>
          </w:tcPr>
          <w:p w14:paraId="7967A7EF">
            <w:pPr>
              <w:adjustRightInd w:val="0"/>
              <w:snapToGrid w:val="0"/>
              <w:jc w:val="center"/>
              <w:rPr>
                <w:rFonts w:hint="eastAsia" w:ascii="Times New Roman" w:hAnsi="Times New Roman" w:eastAsia="宋体" w:cs="Times New Roman"/>
                <w:bCs/>
                <w:color w:val="000000" w:themeColor="text1"/>
                <w:spacing w:val="10"/>
                <w:szCs w:val="21"/>
                <w:highlight w:val="none"/>
                <w:lang w:val="en-US" w:eastAsia="zh-CN"/>
                <w14:textFill>
                  <w14:solidFill>
                    <w14:schemeClr w14:val="tx1"/>
                  </w14:solidFill>
                </w14:textFill>
              </w:rPr>
            </w:pPr>
            <w:r>
              <w:rPr>
                <w:rFonts w:hint="eastAsia" w:cs="Times New Roman"/>
                <w:bCs/>
                <w:color w:val="000000" w:themeColor="text1"/>
                <w:spacing w:val="10"/>
                <w:szCs w:val="21"/>
                <w:highlight w:val="none"/>
                <w:lang w:val="en-US" w:eastAsia="zh-CN"/>
                <w14:textFill>
                  <w14:solidFill>
                    <w14:schemeClr w14:val="tx1"/>
                  </w14:solidFill>
                </w14:textFill>
              </w:rPr>
              <w:t>无</w:t>
            </w:r>
          </w:p>
        </w:tc>
      </w:tr>
      <w:tr w14:paraId="79127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4" w:type="dxa"/>
            <w:vAlign w:val="center"/>
          </w:tcPr>
          <w:p w14:paraId="72A3F32D">
            <w:pPr>
              <w:adjustRightInd w:val="0"/>
              <w:snapToGrid w:val="0"/>
              <w:jc w:val="center"/>
              <w:rPr>
                <w:rFonts w:hint="default" w:ascii="Times New Roman" w:hAnsi="Times New Roman" w:eastAsia="宋体" w:cs="Times New Roman"/>
                <w:bCs/>
                <w:color w:val="000000" w:themeColor="text1"/>
                <w:spacing w:val="10"/>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环保投资</w:t>
            </w:r>
          </w:p>
        </w:tc>
        <w:tc>
          <w:tcPr>
            <w:tcW w:w="7919" w:type="dxa"/>
          </w:tcPr>
          <w:p w14:paraId="013FF2BC">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本项目总投资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545.21</w:t>
            </w:r>
            <w:r>
              <w:rPr>
                <w:rFonts w:hint="default" w:ascii="Times New Roman" w:hAnsi="Times New Roman" w:eastAsia="宋体" w:cs="Times New Roman"/>
                <w:color w:val="000000" w:themeColor="text1"/>
                <w:sz w:val="24"/>
                <w:highlight w:val="none"/>
                <w14:textFill>
                  <w14:solidFill>
                    <w14:schemeClr w14:val="tx1"/>
                  </w14:solidFill>
                </w14:textFill>
              </w:rPr>
              <w:t>万元，环保投资为</w:t>
            </w:r>
            <w:r>
              <w:rPr>
                <w:rFonts w:hint="eastAsia" w:cs="Times New Roman"/>
                <w:color w:val="000000" w:themeColor="text1"/>
                <w:sz w:val="24"/>
                <w:highlight w:val="none"/>
                <w:lang w:val="en-US" w:eastAsia="zh-CN"/>
                <w14:textFill>
                  <w14:solidFill>
                    <w14:schemeClr w14:val="tx1"/>
                  </w14:solidFill>
                </w14:textFill>
              </w:rPr>
              <w:t>163.4</w:t>
            </w:r>
            <w:r>
              <w:rPr>
                <w:rFonts w:hint="default" w:ascii="Times New Roman" w:hAnsi="Times New Roman" w:eastAsia="宋体" w:cs="Times New Roman"/>
                <w:color w:val="000000" w:themeColor="text1"/>
                <w:sz w:val="24"/>
                <w:highlight w:val="none"/>
                <w14:textFill>
                  <w14:solidFill>
                    <w14:schemeClr w14:val="tx1"/>
                  </w14:solidFill>
                </w14:textFill>
              </w:rPr>
              <w:t>万元，占总投资的</w:t>
            </w:r>
            <w:r>
              <w:rPr>
                <w:rFonts w:hint="eastAsia" w:cs="Times New Roman"/>
                <w:color w:val="000000" w:themeColor="text1"/>
                <w:sz w:val="24"/>
                <w:highlight w:val="none"/>
                <w:lang w:val="en-US" w:eastAsia="zh-CN"/>
                <w14:textFill>
                  <w14:solidFill>
                    <w14:schemeClr w14:val="tx1"/>
                  </w14:solidFill>
                </w14:textFill>
              </w:rPr>
              <w:t>29.9</w:t>
            </w:r>
            <w:r>
              <w:rPr>
                <w:rFonts w:hint="default" w:ascii="Times New Roman" w:hAnsi="Times New Roman" w:eastAsia="宋体" w:cs="Times New Roman"/>
                <w:color w:val="000000" w:themeColor="text1"/>
                <w:sz w:val="24"/>
                <w:highlight w:val="none"/>
                <w14:textFill>
                  <w14:solidFill>
                    <w14:schemeClr w14:val="tx1"/>
                  </w14:solidFill>
                </w14:textFill>
              </w:rPr>
              <w:t>%。环保投资内容见表5-</w:t>
            </w:r>
            <w:r>
              <w:rPr>
                <w:rFonts w:hint="eastAsia"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451D163A">
            <w:pPr>
              <w:adjustRightInd w:val="0"/>
              <w:snapToGrid w:val="0"/>
              <w:jc w:val="center"/>
              <w:rPr>
                <w:rFonts w:hint="default" w:ascii="Times New Roman" w:hAnsi="Times New Roman" w:eastAsia="宋体" w:cs="Times New Roman"/>
                <w:b/>
                <w:color w:val="000000" w:themeColor="text1"/>
                <w:spacing w:val="-1"/>
                <w:szCs w:val="21"/>
                <w:highlight w:val="none"/>
                <w14:textFill>
                  <w14:solidFill>
                    <w14:schemeClr w14:val="tx1"/>
                  </w14:solidFill>
                </w14:textFill>
              </w:rPr>
            </w:pPr>
            <w:r>
              <w:rPr>
                <w:rFonts w:hint="default" w:ascii="Times New Roman" w:hAnsi="Times New Roman" w:eastAsia="宋体" w:cs="Times New Roman"/>
                <w:b/>
                <w:color w:val="000000" w:themeColor="text1"/>
                <w:spacing w:val="-1"/>
                <w:szCs w:val="21"/>
                <w:highlight w:val="none"/>
                <w14:textFill>
                  <w14:solidFill>
                    <w14:schemeClr w14:val="tx1"/>
                  </w14:solidFill>
                </w14:textFill>
              </w:rPr>
              <w:t>表</w:t>
            </w:r>
            <w:r>
              <w:rPr>
                <w:rFonts w:hint="default" w:ascii="Times New Roman" w:hAnsi="Times New Roman" w:eastAsia="宋体" w:cs="Times New Roman"/>
                <w:b/>
                <w:bCs/>
                <w:color w:val="000000" w:themeColor="text1"/>
                <w:spacing w:val="-1"/>
                <w:szCs w:val="21"/>
                <w:highlight w:val="none"/>
                <w14:textFill>
                  <w14:solidFill>
                    <w14:schemeClr w14:val="tx1"/>
                  </w14:solidFill>
                </w14:textFill>
              </w:rPr>
              <w:t>5-</w:t>
            </w:r>
            <w:r>
              <w:rPr>
                <w:rFonts w:hint="eastAsia" w:cs="Times New Roman"/>
                <w:b/>
                <w:bCs/>
                <w:color w:val="000000" w:themeColor="text1"/>
                <w:spacing w:val="-1"/>
                <w:szCs w:val="2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pacing w:val="-1"/>
                <w:szCs w:val="21"/>
                <w:highlight w:val="none"/>
                <w14:textFill>
                  <w14:solidFill>
                    <w14:schemeClr w14:val="tx1"/>
                  </w14:solidFill>
                </w14:textFill>
              </w:rPr>
              <w:t xml:space="preserve"> </w:t>
            </w:r>
            <w:r>
              <w:rPr>
                <w:rFonts w:hint="default" w:ascii="Times New Roman" w:hAnsi="Times New Roman" w:eastAsia="宋体" w:cs="Times New Roman"/>
                <w:b/>
                <w:color w:val="000000" w:themeColor="text1"/>
                <w:spacing w:val="-1"/>
                <w:szCs w:val="21"/>
                <w:highlight w:val="none"/>
                <w14:textFill>
                  <w14:solidFill>
                    <w14:schemeClr w14:val="tx1"/>
                  </w14:solidFill>
                </w14:textFill>
              </w:rPr>
              <w:t>项目环保投资估算一览表</w:t>
            </w:r>
          </w:p>
          <w:tbl>
            <w:tblPr>
              <w:tblStyle w:val="30"/>
              <w:tblW w:w="0" w:type="auto"/>
              <w:jc w:val="center"/>
              <w:tblLayout w:type="fixed"/>
              <w:tblCellMar>
                <w:top w:w="0" w:type="dxa"/>
                <w:left w:w="108" w:type="dxa"/>
                <w:bottom w:w="0" w:type="dxa"/>
                <w:right w:w="108" w:type="dxa"/>
              </w:tblCellMar>
            </w:tblPr>
            <w:tblGrid>
              <w:gridCol w:w="418"/>
              <w:gridCol w:w="882"/>
              <w:gridCol w:w="693"/>
              <w:gridCol w:w="1122"/>
              <w:gridCol w:w="3567"/>
              <w:gridCol w:w="814"/>
            </w:tblGrid>
            <w:tr w14:paraId="364B6240">
              <w:tblPrEx>
                <w:tblCellMar>
                  <w:top w:w="0" w:type="dxa"/>
                  <w:left w:w="108" w:type="dxa"/>
                  <w:bottom w:w="0" w:type="dxa"/>
                  <w:right w:w="108" w:type="dxa"/>
                </w:tblCellMar>
              </w:tblPrEx>
              <w:trPr>
                <w:trHeight w:val="20" w:hRule="atLeast"/>
                <w:jc w:val="center"/>
              </w:trPr>
              <w:tc>
                <w:tcPr>
                  <w:tcW w:w="1300" w:type="dxa"/>
                  <w:gridSpan w:val="2"/>
                  <w:tcBorders>
                    <w:top w:val="single" w:color="000000" w:sz="4" w:space="0"/>
                    <w:left w:val="single" w:color="000000" w:sz="4" w:space="0"/>
                    <w:bottom w:val="single" w:color="000000" w:sz="4" w:space="0"/>
                    <w:right w:val="single" w:color="000000" w:sz="4" w:space="0"/>
                  </w:tcBorders>
                  <w:vAlign w:val="center"/>
                </w:tcPr>
                <w:p w14:paraId="1D9D5D16">
                  <w:pPr>
                    <w:widowControl/>
                    <w:jc w:val="center"/>
                    <w:rPr>
                      <w:rFonts w:hint="default" w:ascii="Times New Roman" w:hAnsi="Times New Roman" w:eastAsia="宋体" w:cs="Times New Roman"/>
                      <w:b/>
                      <w:color w:val="000000" w:themeColor="text1"/>
                      <w:kern w:val="0"/>
                      <w:szCs w:val="21"/>
                      <w:highlight w:val="none"/>
                      <w14:textFill>
                        <w14:solidFill>
                          <w14:schemeClr w14:val="tx1"/>
                        </w14:solidFill>
                      </w14:textFill>
                    </w:rPr>
                  </w:pPr>
                  <w:r>
                    <w:rPr>
                      <w:rFonts w:hint="default" w:ascii="Times New Roman" w:hAnsi="Times New Roman" w:eastAsia="宋体" w:cs="Times New Roman"/>
                      <w:b/>
                      <w:color w:val="000000" w:themeColor="text1"/>
                      <w:kern w:val="0"/>
                      <w:szCs w:val="21"/>
                      <w:highlight w:val="none"/>
                      <w14:textFill>
                        <w14:solidFill>
                          <w14:schemeClr w14:val="tx1"/>
                        </w14:solidFill>
                      </w14:textFill>
                    </w:rPr>
                    <w:t>项目</w:t>
                  </w:r>
                </w:p>
              </w:tc>
              <w:tc>
                <w:tcPr>
                  <w:tcW w:w="693" w:type="dxa"/>
                  <w:tcBorders>
                    <w:top w:val="single" w:color="000000" w:sz="4" w:space="0"/>
                    <w:left w:val="single" w:color="000000" w:sz="4" w:space="0"/>
                    <w:bottom w:val="single" w:color="000000" w:sz="4" w:space="0"/>
                    <w:right w:val="single" w:color="000000" w:sz="4" w:space="0"/>
                  </w:tcBorders>
                  <w:vAlign w:val="center"/>
                </w:tcPr>
                <w:p w14:paraId="19877E8F">
                  <w:pPr>
                    <w:widowControl/>
                    <w:jc w:val="center"/>
                    <w:rPr>
                      <w:rFonts w:hint="default" w:ascii="Times New Roman" w:hAnsi="Times New Roman" w:eastAsia="宋体" w:cs="Times New Roman"/>
                      <w:b/>
                      <w:color w:val="000000" w:themeColor="text1"/>
                      <w:kern w:val="0"/>
                      <w:szCs w:val="21"/>
                      <w:highlight w:val="none"/>
                      <w14:textFill>
                        <w14:solidFill>
                          <w14:schemeClr w14:val="tx1"/>
                        </w14:solidFill>
                      </w14:textFill>
                    </w:rPr>
                  </w:pPr>
                  <w:r>
                    <w:rPr>
                      <w:rFonts w:hint="default" w:ascii="Times New Roman" w:hAnsi="Times New Roman" w:eastAsia="宋体" w:cs="Times New Roman"/>
                      <w:b/>
                      <w:color w:val="000000" w:themeColor="text1"/>
                      <w:kern w:val="0"/>
                      <w:szCs w:val="21"/>
                      <w:highlight w:val="none"/>
                      <w14:textFill>
                        <w14:solidFill>
                          <w14:schemeClr w14:val="tx1"/>
                        </w14:solidFill>
                      </w14:textFill>
                    </w:rPr>
                    <w:t>污染源</w:t>
                  </w:r>
                </w:p>
              </w:tc>
              <w:tc>
                <w:tcPr>
                  <w:tcW w:w="1122" w:type="dxa"/>
                  <w:tcBorders>
                    <w:top w:val="single" w:color="000000" w:sz="4" w:space="0"/>
                    <w:left w:val="single" w:color="000000" w:sz="4" w:space="0"/>
                    <w:bottom w:val="single" w:color="000000" w:sz="4" w:space="0"/>
                    <w:right w:val="single" w:color="000000" w:sz="4" w:space="0"/>
                  </w:tcBorders>
                  <w:vAlign w:val="center"/>
                </w:tcPr>
                <w:p w14:paraId="30544096">
                  <w:pPr>
                    <w:widowControl/>
                    <w:jc w:val="center"/>
                    <w:rPr>
                      <w:rFonts w:hint="default" w:ascii="Times New Roman" w:hAnsi="Times New Roman" w:eastAsia="宋体" w:cs="Times New Roman"/>
                      <w:b/>
                      <w:color w:val="000000" w:themeColor="text1"/>
                      <w:kern w:val="0"/>
                      <w:szCs w:val="21"/>
                      <w:highlight w:val="none"/>
                      <w14:textFill>
                        <w14:solidFill>
                          <w14:schemeClr w14:val="tx1"/>
                        </w14:solidFill>
                      </w14:textFill>
                    </w:rPr>
                  </w:pPr>
                  <w:r>
                    <w:rPr>
                      <w:rFonts w:hint="default" w:ascii="Times New Roman" w:hAnsi="Times New Roman" w:eastAsia="宋体" w:cs="Times New Roman"/>
                      <w:b/>
                      <w:color w:val="000000" w:themeColor="text1"/>
                      <w:kern w:val="0"/>
                      <w:szCs w:val="21"/>
                      <w:highlight w:val="none"/>
                      <w14:textFill>
                        <w14:solidFill>
                          <w14:schemeClr w14:val="tx1"/>
                        </w14:solidFill>
                      </w14:textFill>
                    </w:rPr>
                    <w:t>污染物</w:t>
                  </w:r>
                </w:p>
              </w:tc>
              <w:tc>
                <w:tcPr>
                  <w:tcW w:w="3567" w:type="dxa"/>
                  <w:tcBorders>
                    <w:top w:val="single" w:color="000000" w:sz="4" w:space="0"/>
                    <w:left w:val="single" w:color="000000" w:sz="4" w:space="0"/>
                    <w:bottom w:val="single" w:color="000000" w:sz="4" w:space="0"/>
                    <w:right w:val="single" w:color="000000" w:sz="4" w:space="0"/>
                  </w:tcBorders>
                  <w:vAlign w:val="center"/>
                </w:tcPr>
                <w:p w14:paraId="4AB30D23">
                  <w:pPr>
                    <w:widowControl/>
                    <w:jc w:val="center"/>
                    <w:rPr>
                      <w:rFonts w:hint="default" w:ascii="Times New Roman" w:hAnsi="Times New Roman" w:eastAsia="宋体" w:cs="Times New Roman"/>
                      <w:b/>
                      <w:color w:val="000000" w:themeColor="text1"/>
                      <w:kern w:val="0"/>
                      <w:szCs w:val="21"/>
                      <w:highlight w:val="none"/>
                      <w14:textFill>
                        <w14:solidFill>
                          <w14:schemeClr w14:val="tx1"/>
                        </w14:solidFill>
                      </w14:textFill>
                    </w:rPr>
                  </w:pPr>
                  <w:r>
                    <w:rPr>
                      <w:rFonts w:hint="default" w:ascii="Times New Roman" w:hAnsi="Times New Roman" w:eastAsia="宋体" w:cs="Times New Roman"/>
                      <w:b/>
                      <w:color w:val="000000" w:themeColor="text1"/>
                      <w:kern w:val="0"/>
                      <w:szCs w:val="21"/>
                      <w:highlight w:val="none"/>
                      <w14:textFill>
                        <w14:solidFill>
                          <w14:schemeClr w14:val="tx1"/>
                        </w14:solidFill>
                      </w14:textFill>
                    </w:rPr>
                    <w:t>治理措施</w:t>
                  </w:r>
                </w:p>
              </w:tc>
              <w:tc>
                <w:tcPr>
                  <w:tcW w:w="814" w:type="dxa"/>
                  <w:tcBorders>
                    <w:top w:val="single" w:color="000000" w:sz="4" w:space="0"/>
                    <w:left w:val="single" w:color="000000" w:sz="4" w:space="0"/>
                    <w:bottom w:val="single" w:color="000000" w:sz="4" w:space="0"/>
                    <w:right w:val="single" w:color="000000" w:sz="4" w:space="0"/>
                  </w:tcBorders>
                  <w:vAlign w:val="center"/>
                </w:tcPr>
                <w:p w14:paraId="564C92FD">
                  <w:pPr>
                    <w:widowControl/>
                    <w:jc w:val="center"/>
                    <w:rPr>
                      <w:rFonts w:hint="default" w:ascii="Times New Roman" w:hAnsi="Times New Roman" w:eastAsia="宋体" w:cs="Times New Roman"/>
                      <w:b/>
                      <w:color w:val="000000" w:themeColor="text1"/>
                      <w:kern w:val="0"/>
                      <w:szCs w:val="21"/>
                      <w:highlight w:val="none"/>
                      <w14:textFill>
                        <w14:solidFill>
                          <w14:schemeClr w14:val="tx1"/>
                        </w14:solidFill>
                      </w14:textFill>
                    </w:rPr>
                  </w:pPr>
                  <w:r>
                    <w:rPr>
                      <w:rFonts w:hint="default" w:ascii="Times New Roman" w:hAnsi="Times New Roman" w:eastAsia="宋体" w:cs="Times New Roman"/>
                      <w:b/>
                      <w:color w:val="000000" w:themeColor="text1"/>
                      <w:kern w:val="0"/>
                      <w:szCs w:val="21"/>
                      <w:highlight w:val="none"/>
                      <w14:textFill>
                        <w14:solidFill>
                          <w14:schemeClr w14:val="tx1"/>
                        </w14:solidFill>
                      </w14:textFill>
                    </w:rPr>
                    <w:t>投资万元</w:t>
                  </w:r>
                </w:p>
              </w:tc>
            </w:tr>
            <w:tr w14:paraId="3E90BEC3">
              <w:tblPrEx>
                <w:tblCellMar>
                  <w:top w:w="0" w:type="dxa"/>
                  <w:left w:w="108" w:type="dxa"/>
                  <w:bottom w:w="0" w:type="dxa"/>
                  <w:right w:w="108" w:type="dxa"/>
                </w:tblCellMar>
              </w:tblPrEx>
              <w:trPr>
                <w:trHeight w:val="20" w:hRule="atLeast"/>
                <w:jc w:val="center"/>
              </w:trPr>
              <w:tc>
                <w:tcPr>
                  <w:tcW w:w="418" w:type="dxa"/>
                  <w:tcBorders>
                    <w:top w:val="single" w:color="000000" w:sz="4" w:space="0"/>
                    <w:left w:val="single" w:color="000000" w:sz="4" w:space="0"/>
                    <w:bottom w:val="single" w:color="000000" w:sz="4" w:space="0"/>
                    <w:right w:val="single" w:color="000000" w:sz="4" w:space="0"/>
                  </w:tcBorders>
                  <w:vAlign w:val="center"/>
                </w:tcPr>
                <w:p w14:paraId="1DB26EFC">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废气</w:t>
                  </w:r>
                </w:p>
              </w:tc>
              <w:tc>
                <w:tcPr>
                  <w:tcW w:w="882" w:type="dxa"/>
                  <w:tcBorders>
                    <w:top w:val="single" w:color="000000" w:sz="4" w:space="0"/>
                    <w:left w:val="single" w:color="000000" w:sz="4" w:space="0"/>
                    <w:bottom w:val="single" w:color="000000" w:sz="4" w:space="0"/>
                    <w:right w:val="single" w:color="000000" w:sz="4" w:space="0"/>
                  </w:tcBorders>
                  <w:vAlign w:val="center"/>
                </w:tcPr>
                <w:p w14:paraId="27385769">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施工期</w:t>
                  </w:r>
                </w:p>
              </w:tc>
              <w:tc>
                <w:tcPr>
                  <w:tcW w:w="693" w:type="dxa"/>
                  <w:tcBorders>
                    <w:top w:val="single" w:color="000000" w:sz="4" w:space="0"/>
                    <w:left w:val="single" w:color="000000" w:sz="4" w:space="0"/>
                    <w:bottom w:val="single" w:color="000000" w:sz="4" w:space="0"/>
                    <w:right w:val="single" w:color="000000" w:sz="4" w:space="0"/>
                  </w:tcBorders>
                  <w:vAlign w:val="center"/>
                </w:tcPr>
                <w:p w14:paraId="1D0C0706">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施工场地</w:t>
                  </w:r>
                </w:p>
              </w:tc>
              <w:tc>
                <w:tcPr>
                  <w:tcW w:w="1122" w:type="dxa"/>
                  <w:tcBorders>
                    <w:top w:val="single" w:color="000000" w:sz="4" w:space="0"/>
                    <w:left w:val="single" w:color="000000" w:sz="4" w:space="0"/>
                    <w:bottom w:val="single" w:color="000000" w:sz="4" w:space="0"/>
                    <w:right w:val="single" w:color="000000" w:sz="4" w:space="0"/>
                  </w:tcBorders>
                  <w:vAlign w:val="center"/>
                </w:tcPr>
                <w:p w14:paraId="63BE5FAF">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施工扬尘、汽车尾气</w:t>
                  </w:r>
                </w:p>
              </w:tc>
              <w:tc>
                <w:tcPr>
                  <w:tcW w:w="3567" w:type="dxa"/>
                  <w:tcBorders>
                    <w:top w:val="single" w:color="000000" w:sz="4" w:space="0"/>
                    <w:left w:val="single" w:color="000000" w:sz="4" w:space="0"/>
                    <w:bottom w:val="single" w:color="000000" w:sz="4" w:space="0"/>
                    <w:right w:val="single" w:color="000000" w:sz="4" w:space="0"/>
                  </w:tcBorders>
                  <w:vAlign w:val="center"/>
                </w:tcPr>
                <w:p w14:paraId="76DC40C6">
                  <w:pPr>
                    <w:widowControl/>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施工场地定期洒水抑尘，运输车辆减速慢行，加盖苫布，施工区域设置防尘围栏及防护，取土场及道路两侧临时表土堆存</w:t>
                  </w:r>
                  <w:r>
                    <w:rPr>
                      <w:rFonts w:hint="eastAsia" w:cs="Times New Roman"/>
                      <w:color w:val="000000" w:themeColor="text1"/>
                      <w:kern w:val="0"/>
                      <w:szCs w:val="21"/>
                      <w:highlight w:val="none"/>
                      <w:lang w:val="en-US" w:eastAsia="zh-CN"/>
                      <w14:textFill>
                        <w14:solidFill>
                          <w14:schemeClr w14:val="tx1"/>
                        </w14:solidFill>
                      </w14:textFill>
                    </w:rPr>
                    <w:t>洒水抑尘</w:t>
                  </w:r>
                  <w:r>
                    <w:rPr>
                      <w:rFonts w:hint="default" w:ascii="Times New Roman" w:hAnsi="Times New Roman" w:eastAsia="宋体" w:cs="Times New Roman"/>
                      <w:color w:val="000000" w:themeColor="text1"/>
                      <w:kern w:val="0"/>
                      <w:szCs w:val="21"/>
                      <w:highlight w:val="none"/>
                      <w14:textFill>
                        <w14:solidFill>
                          <w14:schemeClr w14:val="tx1"/>
                        </w14:solidFill>
                      </w14:textFill>
                    </w:rPr>
                    <w:t>。</w:t>
                  </w:r>
                  <w:r>
                    <w:rPr>
                      <w:rFonts w:hint="eastAsia" w:cs="Times New Roman"/>
                      <w:color w:val="000000" w:themeColor="text1"/>
                      <w:kern w:val="0"/>
                      <w:szCs w:val="21"/>
                      <w:highlight w:val="none"/>
                      <w:lang w:val="en-US" w:eastAsia="zh-CN"/>
                      <w14:textFill>
                        <w14:solidFill>
                          <w14:schemeClr w14:val="tx1"/>
                        </w14:solidFill>
                      </w14:textFill>
                    </w:rPr>
                    <w:t>拌合站水泥筒仓自带布袋除尘器，搅拌楼自带布袋收尘器。物料装卸采取洒水降尘</w:t>
                  </w:r>
                </w:p>
              </w:tc>
              <w:tc>
                <w:tcPr>
                  <w:tcW w:w="814" w:type="dxa"/>
                  <w:tcBorders>
                    <w:top w:val="single" w:color="000000" w:sz="4" w:space="0"/>
                    <w:left w:val="single" w:color="000000" w:sz="4" w:space="0"/>
                    <w:bottom w:val="single" w:color="000000" w:sz="4" w:space="0"/>
                    <w:right w:val="single" w:color="000000" w:sz="4" w:space="0"/>
                  </w:tcBorders>
                  <w:vAlign w:val="center"/>
                </w:tcPr>
                <w:p w14:paraId="5895EF7F">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4</w:t>
                  </w:r>
                </w:p>
              </w:tc>
            </w:tr>
            <w:tr w14:paraId="30131897">
              <w:tblPrEx>
                <w:tblCellMar>
                  <w:top w:w="0" w:type="dxa"/>
                  <w:left w:w="108" w:type="dxa"/>
                  <w:bottom w:w="0" w:type="dxa"/>
                  <w:right w:w="108" w:type="dxa"/>
                </w:tblCellMar>
              </w:tblPrEx>
              <w:trPr>
                <w:trHeight w:val="20" w:hRule="atLeast"/>
                <w:jc w:val="center"/>
              </w:trPr>
              <w:tc>
                <w:tcPr>
                  <w:tcW w:w="418" w:type="dxa"/>
                  <w:vMerge w:val="restart"/>
                  <w:tcBorders>
                    <w:top w:val="single" w:color="000000" w:sz="4" w:space="0"/>
                    <w:left w:val="single" w:color="000000" w:sz="4" w:space="0"/>
                    <w:bottom w:val="single" w:color="000000" w:sz="4" w:space="0"/>
                    <w:right w:val="single" w:color="000000" w:sz="4" w:space="0"/>
                  </w:tcBorders>
                  <w:vAlign w:val="center"/>
                </w:tcPr>
                <w:p w14:paraId="4FB5FD18">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噪声</w:t>
                  </w:r>
                </w:p>
              </w:tc>
              <w:tc>
                <w:tcPr>
                  <w:tcW w:w="882" w:type="dxa"/>
                  <w:tcBorders>
                    <w:top w:val="single" w:color="000000" w:sz="4" w:space="0"/>
                    <w:left w:val="single" w:color="000000" w:sz="4" w:space="0"/>
                    <w:bottom w:val="single" w:color="000000" w:sz="4" w:space="0"/>
                    <w:right w:val="single" w:color="000000" w:sz="4" w:space="0"/>
                  </w:tcBorders>
                  <w:vAlign w:val="center"/>
                </w:tcPr>
                <w:p w14:paraId="760BDF41">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施工期</w:t>
                  </w:r>
                </w:p>
              </w:tc>
              <w:tc>
                <w:tcPr>
                  <w:tcW w:w="1815" w:type="dxa"/>
                  <w:gridSpan w:val="2"/>
                  <w:tcBorders>
                    <w:top w:val="single" w:color="000000" w:sz="4" w:space="0"/>
                    <w:left w:val="single" w:color="000000" w:sz="4" w:space="0"/>
                    <w:bottom w:val="single" w:color="000000" w:sz="4" w:space="0"/>
                    <w:right w:val="single" w:color="000000" w:sz="4" w:space="0"/>
                  </w:tcBorders>
                  <w:vAlign w:val="center"/>
                </w:tcPr>
                <w:p w14:paraId="6C2F684B">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施工机械</w:t>
                  </w:r>
                </w:p>
              </w:tc>
              <w:tc>
                <w:tcPr>
                  <w:tcW w:w="3567" w:type="dxa"/>
                  <w:tcBorders>
                    <w:top w:val="single" w:color="000000" w:sz="4" w:space="0"/>
                    <w:left w:val="single" w:color="000000" w:sz="4" w:space="0"/>
                    <w:bottom w:val="single" w:color="000000" w:sz="4" w:space="0"/>
                    <w:right w:val="single" w:color="000000" w:sz="4" w:space="0"/>
                  </w:tcBorders>
                  <w:vAlign w:val="center"/>
                </w:tcPr>
                <w:p w14:paraId="0485C793">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施工机械设备采取减振、降噪措施。</w:t>
                  </w:r>
                </w:p>
              </w:tc>
              <w:tc>
                <w:tcPr>
                  <w:tcW w:w="814" w:type="dxa"/>
                  <w:tcBorders>
                    <w:top w:val="single" w:color="000000" w:sz="4" w:space="0"/>
                    <w:left w:val="single" w:color="000000" w:sz="4" w:space="0"/>
                    <w:bottom w:val="single" w:color="000000" w:sz="4" w:space="0"/>
                    <w:right w:val="single" w:color="000000" w:sz="4" w:space="0"/>
                  </w:tcBorders>
                  <w:vAlign w:val="center"/>
                </w:tcPr>
                <w:p w14:paraId="56CC0071">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2</w:t>
                  </w:r>
                </w:p>
              </w:tc>
            </w:tr>
            <w:tr w14:paraId="6E6CF345">
              <w:tblPrEx>
                <w:tblCellMar>
                  <w:top w:w="0" w:type="dxa"/>
                  <w:left w:w="108" w:type="dxa"/>
                  <w:bottom w:w="0" w:type="dxa"/>
                  <w:right w:w="108" w:type="dxa"/>
                </w:tblCellMar>
              </w:tblPrEx>
              <w:trPr>
                <w:trHeight w:val="482" w:hRule="atLeast"/>
                <w:jc w:val="center"/>
              </w:trPr>
              <w:tc>
                <w:tcPr>
                  <w:tcW w:w="418" w:type="dxa"/>
                  <w:vMerge w:val="continue"/>
                  <w:tcBorders>
                    <w:top w:val="single" w:color="000000" w:sz="4" w:space="0"/>
                    <w:left w:val="single" w:color="000000" w:sz="4" w:space="0"/>
                    <w:bottom w:val="single" w:color="000000" w:sz="4" w:space="0"/>
                    <w:right w:val="single" w:color="000000" w:sz="4" w:space="0"/>
                  </w:tcBorders>
                  <w:vAlign w:val="center"/>
                </w:tcPr>
                <w:p w14:paraId="07F79C47">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882" w:type="dxa"/>
                  <w:vMerge w:val="restart"/>
                  <w:tcBorders>
                    <w:top w:val="single" w:color="000000" w:sz="4" w:space="0"/>
                    <w:left w:val="single" w:color="000000" w:sz="4" w:space="0"/>
                    <w:right w:val="single" w:color="000000" w:sz="4" w:space="0"/>
                  </w:tcBorders>
                  <w:vAlign w:val="center"/>
                </w:tcPr>
                <w:p w14:paraId="6D609BB7">
                  <w:pPr>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运营期</w:t>
                  </w:r>
                </w:p>
              </w:tc>
              <w:tc>
                <w:tcPr>
                  <w:tcW w:w="1815" w:type="dxa"/>
                  <w:gridSpan w:val="2"/>
                  <w:tcBorders>
                    <w:top w:val="single" w:color="000000" w:sz="4" w:space="0"/>
                    <w:left w:val="single" w:color="000000" w:sz="4" w:space="0"/>
                    <w:right w:val="single" w:color="000000" w:sz="4" w:space="0"/>
                  </w:tcBorders>
                  <w:vAlign w:val="center"/>
                </w:tcPr>
                <w:p w14:paraId="4CF64433">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交通噪声</w:t>
                  </w:r>
                </w:p>
              </w:tc>
              <w:tc>
                <w:tcPr>
                  <w:tcW w:w="3567" w:type="dxa"/>
                  <w:tcBorders>
                    <w:top w:val="single" w:color="000000" w:sz="4" w:space="0"/>
                    <w:left w:val="single" w:color="000000" w:sz="4" w:space="0"/>
                    <w:right w:val="single" w:color="000000" w:sz="4" w:space="0"/>
                  </w:tcBorders>
                  <w:vAlign w:val="center"/>
                </w:tcPr>
                <w:p w14:paraId="10B93863">
                  <w:pPr>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敏感点处设置禁止鸣笛及限速标志。</w:t>
                  </w:r>
                </w:p>
              </w:tc>
              <w:tc>
                <w:tcPr>
                  <w:tcW w:w="814" w:type="dxa"/>
                  <w:tcBorders>
                    <w:top w:val="single" w:color="000000" w:sz="4" w:space="0"/>
                    <w:left w:val="single" w:color="000000" w:sz="4" w:space="0"/>
                    <w:bottom w:val="single" w:color="000000" w:sz="4" w:space="0"/>
                    <w:right w:val="single" w:color="000000" w:sz="4" w:space="0"/>
                  </w:tcBorders>
                  <w:vAlign w:val="center"/>
                </w:tcPr>
                <w:p w14:paraId="68F250C5">
                  <w:pPr>
                    <w:widowControl/>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0.5</w:t>
                  </w:r>
                </w:p>
              </w:tc>
            </w:tr>
            <w:tr w14:paraId="6E6B9080">
              <w:tblPrEx>
                <w:tblCellMar>
                  <w:top w:w="0" w:type="dxa"/>
                  <w:left w:w="108" w:type="dxa"/>
                  <w:bottom w:w="0" w:type="dxa"/>
                  <w:right w:w="108" w:type="dxa"/>
                </w:tblCellMar>
              </w:tblPrEx>
              <w:trPr>
                <w:trHeight w:val="20" w:hRule="atLeast"/>
                <w:jc w:val="center"/>
              </w:trPr>
              <w:tc>
                <w:tcPr>
                  <w:tcW w:w="418" w:type="dxa"/>
                  <w:vMerge w:val="restart"/>
                  <w:tcBorders>
                    <w:top w:val="single" w:color="000000" w:sz="6" w:space="0"/>
                    <w:left w:val="single" w:color="000000" w:sz="4" w:space="0"/>
                    <w:right w:val="single" w:color="000000" w:sz="4" w:space="0"/>
                  </w:tcBorders>
                  <w:shd w:val="clear" w:color="auto" w:fill="auto"/>
                  <w:vAlign w:val="center"/>
                </w:tcPr>
                <w:p w14:paraId="7B0748C1">
                  <w:pPr>
                    <w:widowControl/>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固废</w:t>
                  </w:r>
                </w:p>
              </w:tc>
              <w:tc>
                <w:tcPr>
                  <w:tcW w:w="882" w:type="dxa"/>
                  <w:vMerge w:val="restart"/>
                  <w:tcBorders>
                    <w:top w:val="single" w:color="000000" w:sz="6" w:space="0"/>
                    <w:left w:val="single" w:color="000000" w:sz="4" w:space="0"/>
                    <w:right w:val="single" w:color="000000" w:sz="4" w:space="0"/>
                  </w:tcBorders>
                  <w:shd w:val="clear" w:color="auto" w:fill="auto"/>
                  <w:vAlign w:val="center"/>
                </w:tcPr>
                <w:p w14:paraId="60ECA613">
                  <w:pPr>
                    <w:widowControl/>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施工期</w:t>
                  </w:r>
                </w:p>
              </w:tc>
              <w:tc>
                <w:tcPr>
                  <w:tcW w:w="1815" w:type="dxa"/>
                  <w:gridSpan w:val="2"/>
                  <w:tcBorders>
                    <w:top w:val="single" w:color="000000" w:sz="4" w:space="0"/>
                    <w:left w:val="single" w:color="000000" w:sz="4" w:space="0"/>
                    <w:bottom w:val="single" w:color="000000" w:sz="4" w:space="0"/>
                    <w:right w:val="single" w:color="000000" w:sz="4" w:space="0"/>
                  </w:tcBorders>
                  <w:vAlign w:val="center"/>
                </w:tcPr>
                <w:p w14:paraId="2ECB1A8B">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建筑垃圾</w:t>
                  </w:r>
                </w:p>
              </w:tc>
              <w:tc>
                <w:tcPr>
                  <w:tcW w:w="3567" w:type="dxa"/>
                  <w:tcBorders>
                    <w:top w:val="single" w:color="000000" w:sz="4" w:space="0"/>
                    <w:left w:val="single" w:color="000000" w:sz="4" w:space="0"/>
                    <w:bottom w:val="single" w:color="000000" w:sz="4" w:space="0"/>
                    <w:right w:val="single" w:color="000000" w:sz="4" w:space="0"/>
                  </w:tcBorders>
                  <w:vAlign w:val="center"/>
                </w:tcPr>
                <w:p w14:paraId="45B356E0">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运至相关部门指定地点进行处理。</w:t>
                  </w:r>
                </w:p>
              </w:tc>
              <w:tc>
                <w:tcPr>
                  <w:tcW w:w="814" w:type="dxa"/>
                  <w:tcBorders>
                    <w:top w:val="single" w:color="000000" w:sz="4" w:space="0"/>
                    <w:left w:val="single" w:color="000000" w:sz="4" w:space="0"/>
                    <w:bottom w:val="single" w:color="000000" w:sz="4" w:space="0"/>
                    <w:right w:val="single" w:color="000000" w:sz="4" w:space="0"/>
                  </w:tcBorders>
                  <w:vAlign w:val="center"/>
                </w:tcPr>
                <w:p w14:paraId="37D26AAB">
                  <w:pPr>
                    <w:widowControl/>
                    <w:jc w:val="cente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1</w:t>
                  </w:r>
                </w:p>
              </w:tc>
            </w:tr>
            <w:tr w14:paraId="282DA90D">
              <w:tblPrEx>
                <w:tblCellMar>
                  <w:top w:w="0" w:type="dxa"/>
                  <w:left w:w="108" w:type="dxa"/>
                  <w:bottom w:w="0" w:type="dxa"/>
                  <w:right w:w="108" w:type="dxa"/>
                </w:tblCellMar>
              </w:tblPrEx>
              <w:trPr>
                <w:trHeight w:val="20" w:hRule="atLeast"/>
                <w:jc w:val="center"/>
              </w:trPr>
              <w:tc>
                <w:tcPr>
                  <w:tcW w:w="418" w:type="dxa"/>
                  <w:vMerge w:val="continue"/>
                  <w:tcBorders>
                    <w:top w:val="single" w:color="000000" w:sz="6" w:space="0"/>
                    <w:left w:val="single" w:color="000000" w:sz="4" w:space="0"/>
                    <w:bottom w:val="single" w:color="000000" w:sz="6" w:space="0"/>
                    <w:right w:val="single" w:color="000000" w:sz="4" w:space="0"/>
                  </w:tcBorders>
                  <w:vAlign w:val="center"/>
                </w:tcPr>
                <w:p w14:paraId="3D99FBA3">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882" w:type="dxa"/>
                  <w:vMerge w:val="continue"/>
                  <w:tcBorders>
                    <w:top w:val="single" w:color="000000" w:sz="6" w:space="0"/>
                    <w:left w:val="single" w:color="000000" w:sz="4" w:space="0"/>
                    <w:bottom w:val="single" w:color="000000" w:sz="6" w:space="0"/>
                    <w:right w:val="single" w:color="000000" w:sz="4" w:space="0"/>
                  </w:tcBorders>
                  <w:vAlign w:val="center"/>
                </w:tcPr>
                <w:p w14:paraId="5968E18F">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815" w:type="dxa"/>
                  <w:gridSpan w:val="2"/>
                  <w:tcBorders>
                    <w:top w:val="single" w:color="000000" w:sz="4" w:space="0"/>
                    <w:left w:val="single" w:color="000000" w:sz="4" w:space="0"/>
                    <w:bottom w:val="single" w:color="000000" w:sz="4" w:space="0"/>
                    <w:right w:val="single" w:color="000000" w:sz="4" w:space="0"/>
                  </w:tcBorders>
                  <w:vAlign w:val="center"/>
                </w:tcPr>
                <w:p w14:paraId="04F26532">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生活垃圾</w:t>
                  </w:r>
                </w:p>
              </w:tc>
              <w:tc>
                <w:tcPr>
                  <w:tcW w:w="3567" w:type="dxa"/>
                  <w:tcBorders>
                    <w:top w:val="single" w:color="000000" w:sz="4" w:space="0"/>
                    <w:left w:val="single" w:color="000000" w:sz="4" w:space="0"/>
                    <w:bottom w:val="single" w:color="000000" w:sz="4" w:space="0"/>
                    <w:right w:val="single" w:color="000000" w:sz="4" w:space="0"/>
                  </w:tcBorders>
                  <w:vAlign w:val="center"/>
                </w:tcPr>
                <w:p w14:paraId="54F4FF97">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施工人员均为附近村镇居民，生活垃圾依托所在村镇环卫部门进行处理。</w:t>
                  </w:r>
                </w:p>
              </w:tc>
              <w:tc>
                <w:tcPr>
                  <w:tcW w:w="814" w:type="dxa"/>
                  <w:tcBorders>
                    <w:top w:val="single" w:color="000000" w:sz="4" w:space="0"/>
                    <w:left w:val="single" w:color="000000" w:sz="4" w:space="0"/>
                    <w:bottom w:val="single" w:color="000000" w:sz="4" w:space="0"/>
                    <w:right w:val="single" w:color="000000" w:sz="4" w:space="0"/>
                  </w:tcBorders>
                  <w:vAlign w:val="center"/>
                </w:tcPr>
                <w:p w14:paraId="65096CF6">
                  <w:pPr>
                    <w:widowControl/>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0.5</w:t>
                  </w:r>
                </w:p>
              </w:tc>
            </w:tr>
            <w:tr w14:paraId="4EDB1C30">
              <w:tblPrEx>
                <w:tblCellMar>
                  <w:top w:w="0" w:type="dxa"/>
                  <w:left w:w="108" w:type="dxa"/>
                  <w:bottom w:w="0" w:type="dxa"/>
                  <w:right w:w="108" w:type="dxa"/>
                </w:tblCellMar>
              </w:tblPrEx>
              <w:trPr>
                <w:trHeight w:val="20" w:hRule="atLeast"/>
                <w:jc w:val="center"/>
              </w:trPr>
              <w:tc>
                <w:tcPr>
                  <w:tcW w:w="418" w:type="dxa"/>
                  <w:vMerge w:val="restart"/>
                  <w:tcBorders>
                    <w:top w:val="single" w:color="000000" w:sz="6" w:space="0"/>
                    <w:left w:val="single" w:color="000000" w:sz="4" w:space="0"/>
                    <w:right w:val="single" w:color="000000" w:sz="4" w:space="0"/>
                  </w:tcBorders>
                  <w:vAlign w:val="center"/>
                </w:tcPr>
                <w:p w14:paraId="315FD492">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生态</w:t>
                  </w:r>
                </w:p>
              </w:tc>
              <w:tc>
                <w:tcPr>
                  <w:tcW w:w="882" w:type="dxa"/>
                  <w:vMerge w:val="restart"/>
                  <w:tcBorders>
                    <w:top w:val="single" w:color="000000" w:sz="6" w:space="0"/>
                    <w:left w:val="single" w:color="000000" w:sz="4" w:space="0"/>
                    <w:right w:val="single" w:color="000000" w:sz="4" w:space="0"/>
                  </w:tcBorders>
                  <w:vAlign w:val="center"/>
                </w:tcPr>
                <w:p w14:paraId="38A58B33">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施工期</w:t>
                  </w:r>
                </w:p>
              </w:tc>
              <w:tc>
                <w:tcPr>
                  <w:tcW w:w="1815" w:type="dxa"/>
                  <w:gridSpan w:val="2"/>
                  <w:tcBorders>
                    <w:top w:val="single" w:color="000000" w:sz="4" w:space="0"/>
                    <w:left w:val="single" w:color="000000" w:sz="4" w:space="0"/>
                    <w:bottom w:val="single" w:color="000000" w:sz="4" w:space="0"/>
                    <w:right w:val="single" w:color="000000" w:sz="4" w:space="0"/>
                  </w:tcBorders>
                  <w:vAlign w:val="center"/>
                </w:tcPr>
                <w:p w14:paraId="404E0AEB">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施工场地</w:t>
                  </w:r>
                </w:p>
              </w:tc>
              <w:tc>
                <w:tcPr>
                  <w:tcW w:w="3567" w:type="dxa"/>
                  <w:tcBorders>
                    <w:top w:val="single" w:color="000000" w:sz="4" w:space="0"/>
                    <w:left w:val="single" w:color="000000" w:sz="4" w:space="0"/>
                    <w:bottom w:val="single" w:color="000000" w:sz="4" w:space="0"/>
                    <w:right w:val="single" w:color="000000" w:sz="4" w:space="0"/>
                  </w:tcBorders>
                  <w:vAlign w:val="center"/>
                </w:tcPr>
                <w:p w14:paraId="70ABA8B2">
                  <w:pPr>
                    <w:widowControl/>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表土临时表土堆场堆存，施工结束后用于路两侧植被恢复覆土</w:t>
                  </w:r>
                </w:p>
              </w:tc>
              <w:tc>
                <w:tcPr>
                  <w:tcW w:w="814" w:type="dxa"/>
                  <w:vMerge w:val="restart"/>
                  <w:tcBorders>
                    <w:top w:val="single" w:color="000000" w:sz="4" w:space="0"/>
                    <w:left w:val="single" w:color="000000" w:sz="4" w:space="0"/>
                    <w:right w:val="single" w:color="000000" w:sz="4" w:space="0"/>
                  </w:tcBorders>
                  <w:vAlign w:val="center"/>
                </w:tcPr>
                <w:p w14:paraId="59D6DD10">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153.4</w:t>
                  </w:r>
                </w:p>
                <w:p w14:paraId="00C5925F">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r>
            <w:tr w14:paraId="2802154B">
              <w:tblPrEx>
                <w:tblCellMar>
                  <w:top w:w="0" w:type="dxa"/>
                  <w:left w:w="108" w:type="dxa"/>
                  <w:bottom w:w="0" w:type="dxa"/>
                  <w:right w:w="108" w:type="dxa"/>
                </w:tblCellMar>
              </w:tblPrEx>
              <w:trPr>
                <w:trHeight w:val="20" w:hRule="atLeast"/>
                <w:jc w:val="center"/>
              </w:trPr>
              <w:tc>
                <w:tcPr>
                  <w:tcW w:w="418" w:type="dxa"/>
                  <w:vMerge w:val="continue"/>
                  <w:tcBorders>
                    <w:left w:val="single" w:color="000000" w:sz="4" w:space="0"/>
                    <w:right w:val="single" w:color="000000" w:sz="4" w:space="0"/>
                  </w:tcBorders>
                  <w:vAlign w:val="center"/>
                </w:tcPr>
                <w:p w14:paraId="6EF84DC3">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882" w:type="dxa"/>
                  <w:vMerge w:val="continue"/>
                  <w:tcBorders>
                    <w:left w:val="single" w:color="000000" w:sz="4" w:space="0"/>
                    <w:right w:val="single" w:color="000000" w:sz="4" w:space="0"/>
                  </w:tcBorders>
                  <w:vAlign w:val="center"/>
                </w:tcPr>
                <w:p w14:paraId="3819AC74">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815" w:type="dxa"/>
                  <w:gridSpan w:val="2"/>
                  <w:tcBorders>
                    <w:top w:val="single" w:color="000000" w:sz="4" w:space="0"/>
                    <w:left w:val="single" w:color="000000" w:sz="4" w:space="0"/>
                    <w:bottom w:val="single" w:color="000000" w:sz="4" w:space="0"/>
                    <w:right w:val="single" w:color="000000" w:sz="4" w:space="0"/>
                  </w:tcBorders>
                  <w:vAlign w:val="center"/>
                </w:tcPr>
                <w:p w14:paraId="7428595E">
                  <w:pPr>
                    <w:widowControl/>
                    <w:jc w:val="cente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取土场</w:t>
                  </w:r>
                </w:p>
              </w:tc>
              <w:tc>
                <w:tcPr>
                  <w:tcW w:w="3567" w:type="dxa"/>
                  <w:tcBorders>
                    <w:top w:val="single" w:color="000000" w:sz="4" w:space="0"/>
                    <w:left w:val="single" w:color="000000" w:sz="4" w:space="0"/>
                    <w:bottom w:val="single" w:color="000000" w:sz="4" w:space="0"/>
                    <w:right w:val="single" w:color="000000" w:sz="4" w:space="0"/>
                  </w:tcBorders>
                  <w:vAlign w:val="center"/>
                </w:tcPr>
                <w:p w14:paraId="2096E4EA">
                  <w:pPr>
                    <w:widowControl/>
                    <w:jc w:val="center"/>
                    <w:rPr>
                      <w:rFonts w:hint="default"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施工结束后对取土场进行撒播草籽恢复生态</w:t>
                  </w:r>
                </w:p>
              </w:tc>
              <w:tc>
                <w:tcPr>
                  <w:tcW w:w="814" w:type="dxa"/>
                  <w:vMerge w:val="continue"/>
                  <w:tcBorders>
                    <w:left w:val="single" w:color="000000" w:sz="4" w:space="0"/>
                    <w:right w:val="single" w:color="000000" w:sz="4" w:space="0"/>
                  </w:tcBorders>
                  <w:vAlign w:val="center"/>
                </w:tcPr>
                <w:p w14:paraId="644A1D1E">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r>
            <w:tr w14:paraId="51FA2093">
              <w:tblPrEx>
                <w:tblCellMar>
                  <w:top w:w="0" w:type="dxa"/>
                  <w:left w:w="108" w:type="dxa"/>
                  <w:bottom w:w="0" w:type="dxa"/>
                  <w:right w:w="108" w:type="dxa"/>
                </w:tblCellMar>
              </w:tblPrEx>
              <w:trPr>
                <w:trHeight w:val="20" w:hRule="atLeast"/>
                <w:jc w:val="center"/>
              </w:trPr>
              <w:tc>
                <w:tcPr>
                  <w:tcW w:w="418" w:type="dxa"/>
                  <w:vMerge w:val="continue"/>
                  <w:tcBorders>
                    <w:left w:val="single" w:color="000000" w:sz="4" w:space="0"/>
                    <w:right w:val="single" w:color="000000" w:sz="4" w:space="0"/>
                  </w:tcBorders>
                  <w:vAlign w:val="center"/>
                </w:tcPr>
                <w:p w14:paraId="1A6152FB">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882" w:type="dxa"/>
                  <w:vMerge w:val="continue"/>
                  <w:tcBorders>
                    <w:left w:val="single" w:color="000000" w:sz="4" w:space="0"/>
                    <w:right w:val="single" w:color="000000" w:sz="4" w:space="0"/>
                  </w:tcBorders>
                  <w:vAlign w:val="center"/>
                </w:tcPr>
                <w:p w14:paraId="4AB7695F">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815" w:type="dxa"/>
                  <w:gridSpan w:val="2"/>
                  <w:tcBorders>
                    <w:top w:val="single" w:color="000000" w:sz="4" w:space="0"/>
                    <w:left w:val="single" w:color="000000" w:sz="4" w:space="0"/>
                    <w:bottom w:val="single" w:color="000000" w:sz="4" w:space="0"/>
                    <w:right w:val="single" w:color="000000" w:sz="4" w:space="0"/>
                  </w:tcBorders>
                  <w:vAlign w:val="center"/>
                </w:tcPr>
                <w:p w14:paraId="7E4DA84B">
                  <w:pPr>
                    <w:widowControl/>
                    <w:jc w:val="center"/>
                    <w:rPr>
                      <w:rFonts w:hint="default"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施工营地</w:t>
                  </w:r>
                </w:p>
              </w:tc>
              <w:tc>
                <w:tcPr>
                  <w:tcW w:w="3567" w:type="dxa"/>
                  <w:tcBorders>
                    <w:top w:val="single" w:color="000000" w:sz="4" w:space="0"/>
                    <w:left w:val="single" w:color="000000" w:sz="4" w:space="0"/>
                    <w:bottom w:val="single" w:color="000000" w:sz="4" w:space="0"/>
                    <w:right w:val="single" w:color="000000" w:sz="4" w:space="0"/>
                  </w:tcBorders>
                  <w:vAlign w:val="center"/>
                </w:tcPr>
                <w:p w14:paraId="78D548C2">
                  <w:pPr>
                    <w:widowControl/>
                    <w:jc w:val="center"/>
                    <w:rPr>
                      <w:rFonts w:hint="default"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施工结束后，施工营地进行拆除，表面整理覆土撒播草籽恢复原本的生态状况</w:t>
                  </w:r>
                </w:p>
              </w:tc>
              <w:tc>
                <w:tcPr>
                  <w:tcW w:w="814" w:type="dxa"/>
                  <w:vMerge w:val="continue"/>
                  <w:tcBorders>
                    <w:left w:val="single" w:color="000000" w:sz="4" w:space="0"/>
                    <w:right w:val="single" w:color="000000" w:sz="4" w:space="0"/>
                  </w:tcBorders>
                  <w:vAlign w:val="center"/>
                </w:tcPr>
                <w:p w14:paraId="717C6BB8">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r>
            <w:tr w14:paraId="5448B257">
              <w:tblPrEx>
                <w:tblCellMar>
                  <w:top w:w="0" w:type="dxa"/>
                  <w:left w:w="108" w:type="dxa"/>
                  <w:bottom w:w="0" w:type="dxa"/>
                  <w:right w:w="108" w:type="dxa"/>
                </w:tblCellMar>
              </w:tblPrEx>
              <w:trPr>
                <w:trHeight w:val="20" w:hRule="atLeast"/>
                <w:jc w:val="center"/>
              </w:trPr>
              <w:tc>
                <w:tcPr>
                  <w:tcW w:w="418" w:type="dxa"/>
                  <w:vMerge w:val="continue"/>
                  <w:tcBorders>
                    <w:left w:val="single" w:color="000000" w:sz="4" w:space="0"/>
                    <w:right w:val="single" w:color="000000" w:sz="4" w:space="0"/>
                  </w:tcBorders>
                  <w:vAlign w:val="center"/>
                </w:tcPr>
                <w:p w14:paraId="18D14D1A">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882" w:type="dxa"/>
                  <w:vMerge w:val="continue"/>
                  <w:tcBorders>
                    <w:left w:val="single" w:color="000000" w:sz="4" w:space="0"/>
                    <w:bottom w:val="single" w:color="000000" w:sz="4" w:space="0"/>
                    <w:right w:val="single" w:color="000000" w:sz="4" w:space="0"/>
                  </w:tcBorders>
                  <w:vAlign w:val="center"/>
                </w:tcPr>
                <w:p w14:paraId="2E027C49">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815" w:type="dxa"/>
                  <w:gridSpan w:val="2"/>
                  <w:tcBorders>
                    <w:top w:val="single" w:color="000000" w:sz="4" w:space="0"/>
                    <w:left w:val="single" w:color="000000" w:sz="4" w:space="0"/>
                    <w:bottom w:val="single" w:color="000000" w:sz="4" w:space="0"/>
                    <w:right w:val="single" w:color="000000" w:sz="4" w:space="0"/>
                  </w:tcBorders>
                  <w:vAlign w:val="center"/>
                </w:tcPr>
                <w:p w14:paraId="2593C615">
                  <w:pPr>
                    <w:widowControl/>
                    <w:jc w:val="center"/>
                    <w:rPr>
                      <w:rFonts w:hint="default"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施工便道</w:t>
                  </w:r>
                </w:p>
              </w:tc>
              <w:tc>
                <w:tcPr>
                  <w:tcW w:w="3567" w:type="dxa"/>
                  <w:tcBorders>
                    <w:top w:val="single" w:color="000000" w:sz="4" w:space="0"/>
                    <w:left w:val="single" w:color="000000" w:sz="4" w:space="0"/>
                    <w:bottom w:val="single" w:color="000000" w:sz="4" w:space="0"/>
                    <w:right w:val="single" w:color="000000" w:sz="4" w:space="0"/>
                  </w:tcBorders>
                  <w:vAlign w:val="center"/>
                </w:tcPr>
                <w:p w14:paraId="365DF944">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 xml:space="preserve">占地区域实施表土剥离，表土集中堆放于区内空地，并采取密目网临时防 </w:t>
                  </w:r>
                </w:p>
                <w:p w14:paraId="704AF10D">
                  <w:pPr>
                    <w:widowControl/>
                    <w:jc w:val="center"/>
                    <w:rPr>
                      <w:rFonts w:hint="eastAsia"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护；施工结束后对场地实施土地整治（含覆土），并实施种草恢复植被。</w:t>
                  </w:r>
                </w:p>
              </w:tc>
              <w:tc>
                <w:tcPr>
                  <w:tcW w:w="814" w:type="dxa"/>
                  <w:vMerge w:val="continue"/>
                  <w:tcBorders>
                    <w:left w:val="single" w:color="000000" w:sz="4" w:space="0"/>
                    <w:bottom w:val="single" w:color="000000" w:sz="4" w:space="0"/>
                    <w:right w:val="single" w:color="000000" w:sz="4" w:space="0"/>
                  </w:tcBorders>
                  <w:vAlign w:val="center"/>
                </w:tcPr>
                <w:p w14:paraId="08D7AD23">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r>
            <w:tr w14:paraId="736513F9">
              <w:tblPrEx>
                <w:tblCellMar>
                  <w:top w:w="0" w:type="dxa"/>
                  <w:left w:w="108" w:type="dxa"/>
                  <w:bottom w:w="0" w:type="dxa"/>
                  <w:right w:w="108" w:type="dxa"/>
                </w:tblCellMar>
              </w:tblPrEx>
              <w:trPr>
                <w:trHeight w:val="20" w:hRule="atLeast"/>
                <w:jc w:val="center"/>
              </w:trPr>
              <w:tc>
                <w:tcPr>
                  <w:tcW w:w="418" w:type="dxa"/>
                  <w:tcBorders>
                    <w:top w:val="single" w:color="000000" w:sz="4" w:space="0"/>
                    <w:left w:val="single" w:color="000000" w:sz="4" w:space="0"/>
                    <w:bottom w:val="single" w:color="000000" w:sz="4" w:space="0"/>
                    <w:right w:val="single" w:color="000000" w:sz="4" w:space="0"/>
                  </w:tcBorders>
                  <w:vAlign w:val="center"/>
                </w:tcPr>
                <w:p w14:paraId="40BC1070">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6264" w:type="dxa"/>
                  <w:gridSpan w:val="4"/>
                  <w:tcBorders>
                    <w:top w:val="single" w:color="000000" w:sz="4" w:space="0"/>
                    <w:left w:val="single" w:color="000000" w:sz="4" w:space="0"/>
                    <w:bottom w:val="single" w:color="000000" w:sz="4" w:space="0"/>
                    <w:right w:val="single" w:color="000000" w:sz="4" w:space="0"/>
                  </w:tcBorders>
                  <w:vAlign w:val="center"/>
                </w:tcPr>
                <w:p w14:paraId="243A1CAD">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合计</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82162">
                  <w:pPr>
                    <w:keepNext w:val="0"/>
                    <w:keepLines w:val="0"/>
                    <w:widowControl/>
                    <w:suppressLineNumbers w:val="0"/>
                    <w:jc w:val="right"/>
                    <w:textAlignment w:val="center"/>
                    <w:rPr>
                      <w:rFonts w:hint="default" w:ascii="宋体" w:hAnsi="宋体" w:eastAsia="宋体" w:cs="宋体"/>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163.</w:t>
                  </w:r>
                  <w:r>
                    <w:rPr>
                      <w:rFonts w:hint="eastAsia" w:cs="Times New Roman"/>
                      <w:color w:val="000000" w:themeColor="text1"/>
                      <w:kern w:val="0"/>
                      <w:szCs w:val="21"/>
                      <w:highlight w:val="none"/>
                      <w:lang w:val="en-US" w:eastAsia="zh-CN"/>
                      <w14:textFill>
                        <w14:solidFill>
                          <w14:schemeClr w14:val="tx1"/>
                        </w14:solidFill>
                      </w14:textFill>
                    </w:rPr>
                    <w:t>4</w:t>
                  </w:r>
                </w:p>
              </w:tc>
            </w:tr>
          </w:tbl>
          <w:p w14:paraId="5046D0B9">
            <w:pPr>
              <w:pStyle w:val="29"/>
              <w:rPr>
                <w:rFonts w:hint="default" w:ascii="Times New Roman" w:hAnsi="Times New Roman" w:eastAsia="宋体" w:cs="Times New Roman"/>
                <w:color w:val="000000" w:themeColor="text1"/>
                <w:highlight w:val="none"/>
                <w14:textFill>
                  <w14:solidFill>
                    <w14:schemeClr w14:val="tx1"/>
                  </w14:solidFill>
                </w14:textFill>
              </w:rPr>
            </w:pPr>
          </w:p>
          <w:p w14:paraId="629F895C">
            <w:pPr>
              <w:rPr>
                <w:rFonts w:hint="default" w:ascii="Times New Roman" w:hAnsi="Times New Roman" w:eastAsia="宋体" w:cs="Times New Roman"/>
                <w:color w:val="000000" w:themeColor="text1"/>
                <w:highlight w:val="none"/>
                <w14:textFill>
                  <w14:solidFill>
                    <w14:schemeClr w14:val="tx1"/>
                  </w14:solidFill>
                </w14:textFill>
              </w:rPr>
            </w:pPr>
          </w:p>
          <w:p w14:paraId="24BB0230">
            <w:pPr>
              <w:rPr>
                <w:rFonts w:hint="default" w:ascii="Times New Roman" w:hAnsi="Times New Roman" w:eastAsia="宋体" w:cs="Times New Roman"/>
                <w:color w:val="000000" w:themeColor="text1"/>
                <w:highlight w:val="none"/>
                <w14:textFill>
                  <w14:solidFill>
                    <w14:schemeClr w14:val="tx1"/>
                  </w14:solidFill>
                </w14:textFill>
              </w:rPr>
            </w:pPr>
          </w:p>
          <w:p w14:paraId="11E1CC52">
            <w:pPr>
              <w:rPr>
                <w:rFonts w:hint="default" w:ascii="Times New Roman" w:hAnsi="Times New Roman" w:eastAsia="宋体" w:cs="Times New Roman"/>
                <w:color w:val="000000" w:themeColor="text1"/>
                <w:highlight w:val="none"/>
                <w14:textFill>
                  <w14:solidFill>
                    <w14:schemeClr w14:val="tx1"/>
                  </w14:solidFill>
                </w14:textFill>
              </w:rPr>
            </w:pPr>
          </w:p>
          <w:p w14:paraId="4B0B1DC0">
            <w:pPr>
              <w:rPr>
                <w:rFonts w:hint="default" w:ascii="Times New Roman" w:hAnsi="Times New Roman" w:eastAsia="宋体" w:cs="Times New Roman"/>
                <w:color w:val="000000" w:themeColor="text1"/>
                <w:highlight w:val="none"/>
                <w14:textFill>
                  <w14:solidFill>
                    <w14:schemeClr w14:val="tx1"/>
                  </w14:solidFill>
                </w14:textFill>
              </w:rPr>
            </w:pPr>
          </w:p>
          <w:p w14:paraId="51B987B4">
            <w:pPr>
              <w:rPr>
                <w:rFonts w:hint="default" w:ascii="Times New Roman" w:hAnsi="Times New Roman" w:eastAsia="宋体" w:cs="Times New Roman"/>
                <w:color w:val="000000" w:themeColor="text1"/>
                <w:highlight w:val="none"/>
                <w14:textFill>
                  <w14:solidFill>
                    <w14:schemeClr w14:val="tx1"/>
                  </w14:solidFill>
                </w14:textFill>
              </w:rPr>
            </w:pPr>
          </w:p>
          <w:p w14:paraId="4951CF42">
            <w:pPr>
              <w:rPr>
                <w:rFonts w:hint="default" w:ascii="Times New Roman" w:hAnsi="Times New Roman" w:eastAsia="宋体" w:cs="Times New Roman"/>
                <w:color w:val="000000" w:themeColor="text1"/>
                <w:highlight w:val="none"/>
                <w14:textFill>
                  <w14:solidFill>
                    <w14:schemeClr w14:val="tx1"/>
                  </w14:solidFill>
                </w14:textFill>
              </w:rPr>
            </w:pPr>
          </w:p>
          <w:p w14:paraId="2FF56FD7">
            <w:pPr>
              <w:rPr>
                <w:rFonts w:hint="default" w:ascii="Times New Roman" w:hAnsi="Times New Roman" w:eastAsia="宋体" w:cs="Times New Roman"/>
                <w:color w:val="000000" w:themeColor="text1"/>
                <w:highlight w:val="none"/>
                <w14:textFill>
                  <w14:solidFill>
                    <w14:schemeClr w14:val="tx1"/>
                  </w14:solidFill>
                </w14:textFill>
              </w:rPr>
            </w:pPr>
          </w:p>
          <w:p w14:paraId="44BD04FE">
            <w:pPr>
              <w:rPr>
                <w:rFonts w:hint="default" w:ascii="Times New Roman" w:hAnsi="Times New Roman" w:eastAsia="宋体" w:cs="Times New Roman"/>
                <w:color w:val="000000" w:themeColor="text1"/>
                <w:highlight w:val="none"/>
                <w14:textFill>
                  <w14:solidFill>
                    <w14:schemeClr w14:val="tx1"/>
                  </w14:solidFill>
                </w14:textFill>
              </w:rPr>
            </w:pPr>
          </w:p>
          <w:p w14:paraId="64211308">
            <w:pPr>
              <w:rPr>
                <w:rFonts w:hint="default" w:ascii="Times New Roman" w:hAnsi="Times New Roman" w:eastAsia="宋体" w:cs="Times New Roman"/>
                <w:color w:val="000000" w:themeColor="text1"/>
                <w:highlight w:val="none"/>
                <w14:textFill>
                  <w14:solidFill>
                    <w14:schemeClr w14:val="tx1"/>
                  </w14:solidFill>
                </w14:textFill>
              </w:rPr>
            </w:pPr>
          </w:p>
          <w:p w14:paraId="67AF0BC3">
            <w:pPr>
              <w:rPr>
                <w:rFonts w:hint="default" w:ascii="Times New Roman" w:hAnsi="Times New Roman" w:eastAsia="宋体" w:cs="Times New Roman"/>
                <w:color w:val="000000" w:themeColor="text1"/>
                <w:highlight w:val="none"/>
                <w14:textFill>
                  <w14:solidFill>
                    <w14:schemeClr w14:val="tx1"/>
                  </w14:solidFill>
                </w14:textFill>
              </w:rPr>
            </w:pPr>
          </w:p>
          <w:p w14:paraId="490D8061">
            <w:pPr>
              <w:rPr>
                <w:rFonts w:hint="default" w:ascii="Times New Roman" w:hAnsi="Times New Roman" w:eastAsia="宋体" w:cs="Times New Roman"/>
                <w:color w:val="000000" w:themeColor="text1"/>
                <w:highlight w:val="none"/>
                <w14:textFill>
                  <w14:solidFill>
                    <w14:schemeClr w14:val="tx1"/>
                  </w14:solidFill>
                </w14:textFill>
              </w:rPr>
            </w:pPr>
          </w:p>
          <w:p w14:paraId="149C1072">
            <w:pPr>
              <w:rPr>
                <w:rFonts w:hint="default" w:ascii="Times New Roman" w:hAnsi="Times New Roman" w:eastAsia="宋体" w:cs="Times New Roman"/>
                <w:color w:val="000000" w:themeColor="text1"/>
                <w:highlight w:val="none"/>
                <w14:textFill>
                  <w14:solidFill>
                    <w14:schemeClr w14:val="tx1"/>
                  </w14:solidFill>
                </w14:textFill>
              </w:rPr>
            </w:pPr>
          </w:p>
          <w:p w14:paraId="2ADF8DBF">
            <w:pPr>
              <w:rPr>
                <w:rFonts w:hint="default" w:ascii="Times New Roman" w:hAnsi="Times New Roman" w:eastAsia="宋体" w:cs="Times New Roman"/>
                <w:color w:val="000000" w:themeColor="text1"/>
                <w:highlight w:val="none"/>
                <w14:textFill>
                  <w14:solidFill>
                    <w14:schemeClr w14:val="tx1"/>
                  </w14:solidFill>
                </w14:textFill>
              </w:rPr>
            </w:pPr>
          </w:p>
          <w:p w14:paraId="6AE0F178">
            <w:pPr>
              <w:rPr>
                <w:rFonts w:hint="default" w:ascii="Times New Roman" w:hAnsi="Times New Roman" w:eastAsia="宋体" w:cs="Times New Roman"/>
                <w:color w:val="000000" w:themeColor="text1"/>
                <w:highlight w:val="none"/>
                <w14:textFill>
                  <w14:solidFill>
                    <w14:schemeClr w14:val="tx1"/>
                  </w14:solidFill>
                </w14:textFill>
              </w:rPr>
            </w:pPr>
          </w:p>
          <w:p w14:paraId="6C3A5968">
            <w:pPr>
              <w:rPr>
                <w:rFonts w:hint="default" w:ascii="Times New Roman" w:hAnsi="Times New Roman" w:eastAsia="宋体" w:cs="Times New Roman"/>
                <w:color w:val="000000" w:themeColor="text1"/>
                <w:highlight w:val="none"/>
                <w14:textFill>
                  <w14:solidFill>
                    <w14:schemeClr w14:val="tx1"/>
                  </w14:solidFill>
                </w14:textFill>
              </w:rPr>
            </w:pPr>
          </w:p>
        </w:tc>
      </w:tr>
    </w:tbl>
    <w:p w14:paraId="5FE76FE7">
      <w:pPr>
        <w:rPr>
          <w:rFonts w:hint="default" w:ascii="Times New Roman" w:hAnsi="Times New Roman" w:eastAsia="宋体" w:cs="Times New Roman"/>
          <w:color w:val="000000" w:themeColor="text1"/>
          <w:highlight w:val="none"/>
          <w14:textFill>
            <w14:solidFill>
              <w14:schemeClr w14:val="tx1"/>
            </w14:solidFill>
          </w14:textFill>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14:paraId="16FA5C7E">
      <w:pPr>
        <w:pStyle w:val="26"/>
        <w:spacing w:before="0" w:beforeAutospacing="0" w:after="0" w:afterAutospacing="0"/>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t>六、生态环境保护措施监督检查清单</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1856"/>
        <w:gridCol w:w="1276"/>
        <w:gridCol w:w="1483"/>
        <w:gridCol w:w="1686"/>
      </w:tblGrid>
      <w:tr w14:paraId="5BEF26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3" w:type="pct"/>
            <w:vMerge w:val="restart"/>
            <w:tcBorders>
              <w:tl2br w:val="single" w:color="auto" w:sz="4" w:space="0"/>
            </w:tcBorders>
            <w:vAlign w:val="center"/>
          </w:tcPr>
          <w:p w14:paraId="483F0019">
            <w:pPr>
              <w:pStyle w:val="26"/>
              <w:adjustRightInd w:val="0"/>
              <w:snapToGrid w:val="0"/>
              <w:spacing w:before="0" w:beforeAutospacing="0" w:after="0" w:afterAutospacing="0"/>
              <w:jc w:val="center"/>
              <w:outlineLvl w:val="0"/>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p>
          <w:p w14:paraId="72E7917A">
            <w:pPr>
              <w:pStyle w:val="26"/>
              <w:adjustRightInd w:val="0"/>
              <w:snapToGrid w:val="0"/>
              <w:spacing w:before="0" w:beforeAutospacing="0" w:after="0" w:afterAutospacing="0"/>
              <w:jc w:val="center"/>
              <w:outlineLvl w:val="0"/>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内容</w:t>
            </w:r>
          </w:p>
          <w:p w14:paraId="5F496724">
            <w:pPr>
              <w:pStyle w:val="26"/>
              <w:adjustRightInd w:val="0"/>
              <w:snapToGrid w:val="0"/>
              <w:spacing w:before="0" w:beforeAutospacing="0" w:after="0" w:afterAutospacing="0"/>
              <w:jc w:val="center"/>
              <w:outlineLvl w:val="0"/>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p>
          <w:p w14:paraId="3D81B82C">
            <w:pPr>
              <w:pStyle w:val="26"/>
              <w:adjustRightInd w:val="0"/>
              <w:snapToGrid w:val="0"/>
              <w:spacing w:before="0" w:beforeAutospacing="0" w:after="0" w:afterAutospacing="0"/>
              <w:jc w:val="center"/>
              <w:outlineLvl w:val="0"/>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要素</w:t>
            </w:r>
          </w:p>
        </w:tc>
        <w:tc>
          <w:tcPr>
            <w:tcW w:w="1838" w:type="pct"/>
            <w:gridSpan w:val="2"/>
            <w:vAlign w:val="center"/>
          </w:tcPr>
          <w:p w14:paraId="10A934F8">
            <w:pPr>
              <w:pStyle w:val="26"/>
              <w:adjustRightInd w:val="0"/>
              <w:snapToGrid w:val="0"/>
              <w:spacing w:before="0" w:beforeAutospacing="0" w:after="0" w:afterAutospacing="0"/>
              <w:jc w:val="center"/>
              <w:outlineLvl w:val="0"/>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施工期</w:t>
            </w:r>
          </w:p>
        </w:tc>
        <w:tc>
          <w:tcPr>
            <w:tcW w:w="1859" w:type="pct"/>
            <w:gridSpan w:val="2"/>
            <w:vAlign w:val="center"/>
          </w:tcPr>
          <w:p w14:paraId="7493A57E">
            <w:pPr>
              <w:pStyle w:val="26"/>
              <w:adjustRightInd w:val="0"/>
              <w:snapToGrid w:val="0"/>
              <w:spacing w:before="0" w:beforeAutospacing="0" w:after="0" w:afterAutospacing="0"/>
              <w:jc w:val="center"/>
              <w:outlineLvl w:val="0"/>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运营期</w:t>
            </w:r>
          </w:p>
        </w:tc>
      </w:tr>
      <w:tr w14:paraId="15E15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3" w:type="pct"/>
            <w:vMerge w:val="continue"/>
            <w:vAlign w:val="center"/>
          </w:tcPr>
          <w:p w14:paraId="7B20739D">
            <w:pPr>
              <w:pStyle w:val="26"/>
              <w:adjustRightInd w:val="0"/>
              <w:snapToGrid w:val="0"/>
              <w:spacing w:before="0" w:beforeAutospacing="0" w:after="0" w:afterAutospacing="0"/>
              <w:jc w:val="center"/>
              <w:outlineLvl w:val="0"/>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p>
        </w:tc>
        <w:tc>
          <w:tcPr>
            <w:tcW w:w="1089" w:type="pct"/>
            <w:vAlign w:val="center"/>
          </w:tcPr>
          <w:p w14:paraId="1020D956">
            <w:pPr>
              <w:pStyle w:val="26"/>
              <w:adjustRightInd w:val="0"/>
              <w:snapToGrid w:val="0"/>
              <w:spacing w:before="0" w:beforeAutospacing="0" w:after="0" w:afterAutospacing="0"/>
              <w:jc w:val="center"/>
              <w:outlineLvl w:val="0"/>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环境保护措施</w:t>
            </w:r>
          </w:p>
        </w:tc>
        <w:tc>
          <w:tcPr>
            <w:tcW w:w="749" w:type="pct"/>
            <w:vAlign w:val="center"/>
          </w:tcPr>
          <w:p w14:paraId="51B9476D">
            <w:pPr>
              <w:pStyle w:val="26"/>
              <w:adjustRightInd w:val="0"/>
              <w:snapToGrid w:val="0"/>
              <w:spacing w:before="0" w:beforeAutospacing="0" w:after="0" w:afterAutospacing="0"/>
              <w:jc w:val="center"/>
              <w:outlineLvl w:val="0"/>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验收要求</w:t>
            </w:r>
          </w:p>
        </w:tc>
        <w:tc>
          <w:tcPr>
            <w:tcW w:w="870" w:type="pct"/>
            <w:vAlign w:val="center"/>
          </w:tcPr>
          <w:p w14:paraId="698C2831">
            <w:pPr>
              <w:pStyle w:val="26"/>
              <w:adjustRightInd w:val="0"/>
              <w:snapToGrid w:val="0"/>
              <w:spacing w:before="0" w:beforeAutospacing="0" w:after="0" w:afterAutospacing="0"/>
              <w:jc w:val="center"/>
              <w:outlineLvl w:val="0"/>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环境保护措施</w:t>
            </w:r>
          </w:p>
        </w:tc>
        <w:tc>
          <w:tcPr>
            <w:tcW w:w="989" w:type="pct"/>
            <w:vAlign w:val="center"/>
          </w:tcPr>
          <w:p w14:paraId="5F527237">
            <w:pPr>
              <w:pStyle w:val="26"/>
              <w:adjustRightInd w:val="0"/>
              <w:snapToGrid w:val="0"/>
              <w:spacing w:before="0" w:beforeAutospacing="0" w:after="0" w:afterAutospacing="0"/>
              <w:jc w:val="center"/>
              <w:outlineLvl w:val="0"/>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验收要求</w:t>
            </w:r>
          </w:p>
        </w:tc>
      </w:tr>
      <w:tr w14:paraId="718EF0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3" w:type="pct"/>
            <w:vAlign w:val="center"/>
          </w:tcPr>
          <w:p w14:paraId="633D2C45">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陆生生态</w:t>
            </w:r>
          </w:p>
        </w:tc>
        <w:tc>
          <w:tcPr>
            <w:tcW w:w="1089" w:type="pct"/>
            <w:vAlign w:val="center"/>
          </w:tcPr>
          <w:p w14:paraId="4DB5B0FB">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 xml:space="preserve">施工前，对路基范围内可剥离表土路段实施表土剥离，集中堆放到表土堆放场并采 </w:t>
            </w:r>
          </w:p>
          <w:p w14:paraId="688A8868">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取密目网临时防护；施工结束后对路基两侧边坡、防护带等区域进行土地整治（含覆土）， 并实施种草恢复植被。</w:t>
            </w:r>
          </w:p>
          <w:p w14:paraId="637C5D17">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施工前对</w:t>
            </w:r>
            <w:r>
              <w:rPr>
                <w:rFonts w:hint="eastAsia" w:cs="Times New Roman"/>
                <w:color w:val="000000" w:themeColor="text1"/>
                <w:szCs w:val="21"/>
                <w:highlight w:val="none"/>
                <w:lang w:val="en-US" w:eastAsia="zh-CN"/>
                <w14:textFill>
                  <w14:solidFill>
                    <w14:schemeClr w14:val="tx1"/>
                  </w14:solidFill>
                </w14:textFill>
              </w:rPr>
              <w:t>施工营地、取土场、施工便道、表土堆场</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 xml:space="preserve">占地区域实施表土剥离，表土集中堆放于区内空地，并采取密目网临时防 </w:t>
            </w:r>
          </w:p>
          <w:p w14:paraId="3083C0B1">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护；施工结束后对场地实施土地整治（含覆土），并实施种草恢复植被。</w:t>
            </w:r>
          </w:p>
        </w:tc>
        <w:tc>
          <w:tcPr>
            <w:tcW w:w="749" w:type="pct"/>
            <w:vAlign w:val="center"/>
          </w:tcPr>
          <w:p w14:paraId="081AF67B">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落实各项保护措施。</w:t>
            </w:r>
          </w:p>
        </w:tc>
        <w:tc>
          <w:tcPr>
            <w:tcW w:w="1483" w:type="dxa"/>
            <w:vAlign w:val="center"/>
          </w:tcPr>
          <w:p w14:paraId="6B25D42F">
            <w:pPr>
              <w:adjustRightInd w:val="0"/>
              <w:snapToGri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686" w:type="dxa"/>
            <w:vAlign w:val="center"/>
          </w:tcPr>
          <w:p w14:paraId="5C13F82A">
            <w:pPr>
              <w:adjustRightInd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468D0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3" w:type="pct"/>
            <w:vAlign w:val="center"/>
          </w:tcPr>
          <w:p w14:paraId="00C8ED44">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水生生态</w:t>
            </w:r>
          </w:p>
        </w:tc>
        <w:tc>
          <w:tcPr>
            <w:tcW w:w="1089" w:type="pct"/>
            <w:vAlign w:val="center"/>
          </w:tcPr>
          <w:p w14:paraId="5E9B3926">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49" w:type="pct"/>
            <w:vAlign w:val="center"/>
          </w:tcPr>
          <w:p w14:paraId="0C5EF80E">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870" w:type="pct"/>
            <w:vAlign w:val="center"/>
          </w:tcPr>
          <w:p w14:paraId="5BABD7CE">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989" w:type="pct"/>
            <w:vAlign w:val="center"/>
          </w:tcPr>
          <w:p w14:paraId="29FE989E">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16633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3" w:type="pct"/>
            <w:vAlign w:val="center"/>
          </w:tcPr>
          <w:p w14:paraId="0C022BF0">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地表水环境</w:t>
            </w:r>
          </w:p>
        </w:tc>
        <w:tc>
          <w:tcPr>
            <w:tcW w:w="1856" w:type="dxa"/>
            <w:vAlign w:val="center"/>
          </w:tcPr>
          <w:p w14:paraId="402B66B3">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施工营地设移动旱厕，定期清掏，</w:t>
            </w:r>
            <w:r>
              <w:rPr>
                <w:rFonts w:hint="default" w:ascii="Times New Roman" w:hAnsi="Times New Roman" w:eastAsia="宋体" w:cs="Times New Roman"/>
                <w:color w:val="000000" w:themeColor="text1"/>
                <w:kern w:val="0"/>
                <w:szCs w:val="21"/>
                <w:highlight w:val="none"/>
                <w14:textFill>
                  <w14:solidFill>
                    <w14:schemeClr w14:val="tx1"/>
                  </w14:solidFill>
                </w14:textFill>
              </w:rPr>
              <w:t>拉运至城镇污水处理厂进行处理</w:t>
            </w:r>
          </w:p>
        </w:tc>
        <w:tc>
          <w:tcPr>
            <w:tcW w:w="1276" w:type="dxa"/>
            <w:vAlign w:val="center"/>
          </w:tcPr>
          <w:p w14:paraId="213EDB6C">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483" w:type="dxa"/>
            <w:vAlign w:val="center"/>
          </w:tcPr>
          <w:p w14:paraId="2DBA15B5">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686" w:type="dxa"/>
            <w:vAlign w:val="center"/>
          </w:tcPr>
          <w:p w14:paraId="4FA4BA0B">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0DBA38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3" w:type="pct"/>
            <w:vAlign w:val="center"/>
          </w:tcPr>
          <w:p w14:paraId="5AEED6DF">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地下水及土壤环境</w:t>
            </w:r>
          </w:p>
        </w:tc>
        <w:tc>
          <w:tcPr>
            <w:tcW w:w="1089" w:type="pct"/>
            <w:vAlign w:val="center"/>
          </w:tcPr>
          <w:p w14:paraId="2B529FC2">
            <w:pPr>
              <w:widowControl/>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w:t>
            </w:r>
          </w:p>
        </w:tc>
        <w:tc>
          <w:tcPr>
            <w:tcW w:w="749" w:type="pct"/>
            <w:vAlign w:val="center"/>
          </w:tcPr>
          <w:p w14:paraId="45E74BE5">
            <w:pPr>
              <w:widowControl/>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落实各项保护措施</w:t>
            </w:r>
          </w:p>
        </w:tc>
        <w:tc>
          <w:tcPr>
            <w:tcW w:w="870" w:type="pct"/>
            <w:vAlign w:val="center"/>
          </w:tcPr>
          <w:p w14:paraId="7478B2BF">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989" w:type="pct"/>
            <w:vAlign w:val="center"/>
          </w:tcPr>
          <w:p w14:paraId="06C01DEA">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1B013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3" w:type="pct"/>
            <w:vAlign w:val="center"/>
          </w:tcPr>
          <w:p w14:paraId="74529A45">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声环境</w:t>
            </w:r>
          </w:p>
        </w:tc>
        <w:tc>
          <w:tcPr>
            <w:tcW w:w="1089" w:type="pct"/>
            <w:vAlign w:val="center"/>
          </w:tcPr>
          <w:p w14:paraId="60612CFE">
            <w:pPr>
              <w:widowControl/>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采用低噪声设备，采取有效的隔声、吸声措施，设置隔声墙等；车辆运输通过敏感点时减少鸣笛次数。</w:t>
            </w:r>
          </w:p>
        </w:tc>
        <w:tc>
          <w:tcPr>
            <w:tcW w:w="749" w:type="pct"/>
            <w:vAlign w:val="center"/>
          </w:tcPr>
          <w:p w14:paraId="6D05FD4C">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落实各项保护措施，噪声满足《建筑施工场界环境噪声排放标准》（GB12523-201</w:t>
            </w:r>
          </w:p>
          <w:p w14:paraId="540108E8">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1）标准</w:t>
            </w:r>
          </w:p>
        </w:tc>
        <w:tc>
          <w:tcPr>
            <w:tcW w:w="870" w:type="pct"/>
            <w:vAlign w:val="center"/>
          </w:tcPr>
          <w:p w14:paraId="2B2996F0">
            <w:pPr>
              <w:widowControl/>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敏感点处设置禁止鸣笛及限速标志</w:t>
            </w:r>
          </w:p>
        </w:tc>
        <w:tc>
          <w:tcPr>
            <w:tcW w:w="989" w:type="pct"/>
            <w:vAlign w:val="center"/>
          </w:tcPr>
          <w:p w14:paraId="663A914F">
            <w:pPr>
              <w:widowControl/>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落实各项保护措施，噪声满足《声环境质量标准》(GB3096-2008)1类</w:t>
            </w:r>
          </w:p>
        </w:tc>
      </w:tr>
      <w:tr w14:paraId="258778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3" w:type="pct"/>
            <w:vAlign w:val="center"/>
          </w:tcPr>
          <w:p w14:paraId="3F85E17F">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振动</w:t>
            </w:r>
          </w:p>
        </w:tc>
        <w:tc>
          <w:tcPr>
            <w:tcW w:w="1089" w:type="pct"/>
            <w:vAlign w:val="center"/>
          </w:tcPr>
          <w:p w14:paraId="20C385C5">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49" w:type="pct"/>
            <w:vAlign w:val="center"/>
          </w:tcPr>
          <w:p w14:paraId="2FAE518C">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870" w:type="pct"/>
            <w:vAlign w:val="center"/>
          </w:tcPr>
          <w:p w14:paraId="667D91C3">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989" w:type="pct"/>
            <w:vAlign w:val="center"/>
          </w:tcPr>
          <w:p w14:paraId="12294E95">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63CBB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3" w:type="pct"/>
            <w:vAlign w:val="center"/>
          </w:tcPr>
          <w:p w14:paraId="4772F475">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环境空气</w:t>
            </w:r>
          </w:p>
        </w:tc>
        <w:tc>
          <w:tcPr>
            <w:tcW w:w="1089" w:type="pct"/>
            <w:vAlign w:val="center"/>
          </w:tcPr>
          <w:p w14:paraId="3000E971">
            <w:pPr>
              <w:widowControl/>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施工场地定期洒水抑尘，运输车辆减速慢行，加盖苫布，施工区域设置防尘围栏及防护，取土场及道路两侧临时表土堆存</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洒水抑尘</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拌合站水泥筒仓自带布袋除尘器，搅拌楼自带布袋收尘器。物料装卸采取洒水降尘</w:t>
            </w:r>
          </w:p>
        </w:tc>
        <w:tc>
          <w:tcPr>
            <w:tcW w:w="749" w:type="pct"/>
            <w:vAlign w:val="center"/>
          </w:tcPr>
          <w:p w14:paraId="3F7E24F8">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落实各项保护措施，污染物浓度满足《大气污染物综合排放标准》（GB16297-199</w:t>
            </w:r>
          </w:p>
          <w:p w14:paraId="2C40A363">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6）表2无组织</w:t>
            </w:r>
          </w:p>
          <w:p w14:paraId="6A8656EA">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排放限值标准</w:t>
            </w:r>
          </w:p>
        </w:tc>
        <w:tc>
          <w:tcPr>
            <w:tcW w:w="1483" w:type="dxa"/>
            <w:vAlign w:val="center"/>
          </w:tcPr>
          <w:p w14:paraId="074007E9">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686" w:type="dxa"/>
            <w:vAlign w:val="center"/>
          </w:tcPr>
          <w:p w14:paraId="125B7170">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6C9A48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3" w:type="pct"/>
            <w:vAlign w:val="center"/>
          </w:tcPr>
          <w:p w14:paraId="64C1128E">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固体废物</w:t>
            </w:r>
          </w:p>
        </w:tc>
        <w:tc>
          <w:tcPr>
            <w:tcW w:w="1089" w:type="pct"/>
            <w:vAlign w:val="center"/>
          </w:tcPr>
          <w:p w14:paraId="1E554A6E">
            <w:pPr>
              <w:widowControl/>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建筑垃圾运至当地建筑垃圾填埋场；生活垃圾由环卫部门统一处理</w:t>
            </w:r>
          </w:p>
        </w:tc>
        <w:tc>
          <w:tcPr>
            <w:tcW w:w="749" w:type="pct"/>
            <w:vAlign w:val="center"/>
          </w:tcPr>
          <w:p w14:paraId="7A2816A9">
            <w:pPr>
              <w:widowControl/>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落实各项保护措施</w:t>
            </w:r>
          </w:p>
        </w:tc>
        <w:tc>
          <w:tcPr>
            <w:tcW w:w="1483" w:type="dxa"/>
            <w:vAlign w:val="center"/>
          </w:tcPr>
          <w:p w14:paraId="2AF29651">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686" w:type="dxa"/>
            <w:vAlign w:val="center"/>
          </w:tcPr>
          <w:p w14:paraId="531A2D9F">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11ED38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3" w:type="pct"/>
            <w:vAlign w:val="center"/>
          </w:tcPr>
          <w:p w14:paraId="5F3064AE">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电磁环境</w:t>
            </w:r>
          </w:p>
        </w:tc>
        <w:tc>
          <w:tcPr>
            <w:tcW w:w="1089" w:type="pct"/>
            <w:vAlign w:val="center"/>
          </w:tcPr>
          <w:p w14:paraId="4AA751BC">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49" w:type="pct"/>
            <w:vAlign w:val="center"/>
          </w:tcPr>
          <w:p w14:paraId="5E4805A5">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870" w:type="pct"/>
            <w:vAlign w:val="center"/>
          </w:tcPr>
          <w:p w14:paraId="464DC5D2">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989" w:type="pct"/>
            <w:vAlign w:val="center"/>
          </w:tcPr>
          <w:p w14:paraId="6BE8C13F">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591601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3" w:type="pct"/>
            <w:vAlign w:val="center"/>
          </w:tcPr>
          <w:p w14:paraId="6669726D">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环境风险</w:t>
            </w:r>
          </w:p>
        </w:tc>
        <w:tc>
          <w:tcPr>
            <w:tcW w:w="1089" w:type="pct"/>
            <w:vAlign w:val="center"/>
          </w:tcPr>
          <w:p w14:paraId="22EB5EAC">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49" w:type="pct"/>
            <w:vAlign w:val="center"/>
          </w:tcPr>
          <w:p w14:paraId="548AC14C">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483" w:type="dxa"/>
            <w:vAlign w:val="center"/>
          </w:tcPr>
          <w:p w14:paraId="1479C873">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686" w:type="dxa"/>
            <w:vAlign w:val="center"/>
          </w:tcPr>
          <w:p w14:paraId="46CEF035">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42DF07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3" w:type="pct"/>
            <w:vAlign w:val="center"/>
          </w:tcPr>
          <w:p w14:paraId="1E9DEEC6">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环境监测</w:t>
            </w:r>
          </w:p>
        </w:tc>
        <w:tc>
          <w:tcPr>
            <w:tcW w:w="1856" w:type="dxa"/>
            <w:vAlign w:val="center"/>
          </w:tcPr>
          <w:p w14:paraId="0BB6A051">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276" w:type="dxa"/>
            <w:vAlign w:val="center"/>
          </w:tcPr>
          <w:p w14:paraId="755732F5">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483" w:type="dxa"/>
            <w:vAlign w:val="center"/>
          </w:tcPr>
          <w:p w14:paraId="73D6F914">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686" w:type="dxa"/>
            <w:vAlign w:val="center"/>
          </w:tcPr>
          <w:p w14:paraId="2BBD9299">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7194EC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303" w:type="pct"/>
            <w:vAlign w:val="center"/>
          </w:tcPr>
          <w:p w14:paraId="107AFB61">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其他</w:t>
            </w:r>
          </w:p>
        </w:tc>
        <w:tc>
          <w:tcPr>
            <w:tcW w:w="1089" w:type="pct"/>
            <w:vAlign w:val="center"/>
          </w:tcPr>
          <w:p w14:paraId="2268207D">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49" w:type="pct"/>
            <w:vAlign w:val="center"/>
          </w:tcPr>
          <w:p w14:paraId="47B89528">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870" w:type="pct"/>
            <w:vAlign w:val="center"/>
          </w:tcPr>
          <w:p w14:paraId="6DCA2BFB">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989" w:type="pct"/>
            <w:vAlign w:val="center"/>
          </w:tcPr>
          <w:p w14:paraId="56E2215D">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bl>
    <w:p w14:paraId="092A3CE0">
      <w:pPr>
        <w:pStyle w:val="26"/>
        <w:spacing w:before="120" w:beforeLines="50" w:beforeAutospacing="0" w:after="120" w:afterLines="50" w:afterAutospacing="0"/>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br w:type="page"/>
      </w:r>
      <w:r>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t>七、结论</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FBDE9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5000" w:type="pct"/>
          </w:tcPr>
          <w:p w14:paraId="536B9C8E">
            <w:pPr>
              <w:pStyle w:val="17"/>
              <w:spacing w:before="0" w:after="0" w:line="360" w:lineRule="auto"/>
              <w:ind w:right="0" w:firstLine="480" w:firstLineChars="200"/>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工程位于内蒙古锡林郭勒盟西乌珠穆沁旗浩勒图高勒镇境内，线路总体呈西—东走向，起点坐标：东经 117°47′13.81″，北纬 44°8′25.90″，桩号 K0+000；终点坐标：东经 117°50′53.81″，北纬 44°8′43.47″，桩 号 K5+652.557；路线全长 5.653 公里，路基宽度 7.5m，路线全长 5.653 公里，设计速度 20 公里/小时。全线设过水路面 1 处、平面交叉 2 处。</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道路等级</w:t>
            </w:r>
            <w:r>
              <w:rPr>
                <w:rFonts w:hint="eastAsia" w:cs="Times New Roman"/>
                <w:color w:val="000000" w:themeColor="text1"/>
                <w:sz w:val="24"/>
                <w:szCs w:val="24"/>
                <w:highlight w:val="none"/>
                <w:lang w:val="en-US" w:eastAsia="zh-CN" w:bidi="ar"/>
                <w14:textFill>
                  <w14:solidFill>
                    <w14:schemeClr w14:val="tx1"/>
                  </w14:solidFill>
                </w14:textFill>
              </w:rPr>
              <w:t>为</w:t>
            </w: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四级公路</w:t>
            </w:r>
            <w:r>
              <w:rPr>
                <w:rFonts w:hint="eastAsia" w:cs="Times New Roman"/>
                <w:color w:val="000000" w:themeColor="text1"/>
                <w:sz w:val="24"/>
                <w:szCs w:val="24"/>
                <w:highlight w:val="none"/>
                <w:lang w:val="en-US" w:eastAsia="zh-CN" w:bidi="ar"/>
                <w14:textFill>
                  <w14:solidFill>
                    <w14:schemeClr w14:val="tx1"/>
                  </w14:solidFill>
                </w14:textFill>
              </w:rPr>
              <w:t>。</w:t>
            </w:r>
          </w:p>
          <w:p w14:paraId="388F0EB6">
            <w:pPr>
              <w:widowControl/>
              <w:spacing w:line="360" w:lineRule="auto"/>
              <w:ind w:firstLine="480"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主要控制点为项目起终点。</w:t>
            </w:r>
          </w:p>
          <w:p w14:paraId="1B7040E9">
            <w:pPr>
              <w:widowControl/>
              <w:spacing w:line="360" w:lineRule="auto"/>
              <w:ind w:firstLine="48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通过本次影响评价分析，项目建设符合国家的产业政策，选址合理。在设计中采取了各项环保措施，项目实施后经济效益、社会效益和环境效益明显，项目建设对周围环境敏感目标的影响不大。项目建设满足当地环境质量底线、资源利用上线、生态保护红线及环境准入负面清单。因此，项目在落实本环境影响报告表提出的环境保护措施后，项目的建设具有环境可行性。</w:t>
            </w:r>
          </w:p>
        </w:tc>
      </w:tr>
    </w:tbl>
    <w:p w14:paraId="2CC5010E">
      <w:pPr>
        <w:rPr>
          <w:rFonts w:hint="default" w:ascii="Times New Roman" w:hAnsi="Times New Roman" w:eastAsia="宋体" w:cs="Times New Roman"/>
          <w:color w:val="000000" w:themeColor="text1"/>
          <w:highlight w:val="none"/>
          <w14:textFill>
            <w14:solidFill>
              <w14:schemeClr w14:val="tx1"/>
            </w14:solidFill>
          </w14:textFill>
        </w:rPr>
      </w:pPr>
    </w:p>
    <w:p w14:paraId="31174731">
      <w:pPr>
        <w:jc w:val="center"/>
        <w:rPr>
          <w:rFonts w:hint="default" w:ascii="Times New Roman" w:hAnsi="Times New Roman" w:eastAsia="宋体" w:cs="Times New Roman"/>
          <w:snapToGrid w:val="0"/>
          <w:color w:val="000000" w:themeColor="text1"/>
          <w:sz w:val="32"/>
          <w:szCs w:val="32"/>
          <w:highlight w:val="none"/>
          <w14:textFill>
            <w14:solidFill>
              <w14:schemeClr w14:val="tx1"/>
            </w14:solidFill>
          </w14:textFill>
        </w:rPr>
        <w:sectPr>
          <w:footerReference r:id="rId7" w:type="default"/>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14894EB6">
      <w:pPr>
        <w:jc w:val="center"/>
        <w:rPr>
          <w:rFonts w:hint="default" w:ascii="Times New Roman" w:hAnsi="Times New Roman" w:eastAsia="宋体" w:cs="Times New Roman"/>
          <w:color w:val="000000" w:themeColor="text1"/>
          <w:highlight w:val="none"/>
          <w14:textFill>
            <w14:solidFill>
              <w14:schemeClr w14:val="tx1"/>
            </w14:solidFill>
          </w14:textFill>
        </w:rPr>
      </w:pPr>
      <w:r>
        <w:drawing>
          <wp:anchor distT="0" distB="0" distL="114300" distR="114300" simplePos="0" relativeHeight="251668480" behindDoc="0" locked="0" layoutInCell="1" allowOverlap="1">
            <wp:simplePos x="0" y="0"/>
            <wp:positionH relativeFrom="column">
              <wp:posOffset>6577330</wp:posOffset>
            </wp:positionH>
            <wp:positionV relativeFrom="paragraph">
              <wp:posOffset>65405</wp:posOffset>
            </wp:positionV>
            <wp:extent cx="723900" cy="666750"/>
            <wp:effectExtent l="0" t="0" r="0" b="635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9"/>
                    <a:stretch>
                      <a:fillRect/>
                    </a:stretch>
                  </pic:blipFill>
                  <pic:spPr>
                    <a:xfrm>
                      <a:off x="0" y="0"/>
                      <a:ext cx="723900" cy="666750"/>
                    </a:xfrm>
                    <a:prstGeom prst="rect">
                      <a:avLst/>
                    </a:prstGeom>
                    <a:noFill/>
                    <a:ln>
                      <a:noFill/>
                    </a:ln>
                  </pic:spPr>
                </pic:pic>
              </a:graphicData>
            </a:graphic>
          </wp:anchor>
        </w:drawing>
      </w:r>
      <w:r>
        <w:rPr>
          <w:rFonts w:hint="default" w:ascii="Times New Roman" w:hAnsi="Times New Roman" w:eastAsia="宋体" w:cs="Times New Roman"/>
          <w:color w:val="000000" w:themeColor="text1"/>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4085590</wp:posOffset>
                </wp:positionH>
                <wp:positionV relativeFrom="paragraph">
                  <wp:posOffset>3251835</wp:posOffset>
                </wp:positionV>
                <wp:extent cx="817245" cy="246380"/>
                <wp:effectExtent l="12700" t="12700" r="27305" b="255270"/>
                <wp:wrapNone/>
                <wp:docPr id="40" name="矩形标注 40"/>
                <wp:cNvGraphicFramePr/>
                <a:graphic xmlns:a="http://schemas.openxmlformats.org/drawingml/2006/main">
                  <a:graphicData uri="http://schemas.microsoft.com/office/word/2010/wordprocessingShape">
                    <wps:wsp>
                      <wps:cNvSpPr/>
                      <wps:spPr>
                        <a:xfrm>
                          <a:off x="0" y="0"/>
                          <a:ext cx="817245" cy="246380"/>
                        </a:xfrm>
                        <a:prstGeom prst="wedgeRectCallout">
                          <a:avLst>
                            <a:gd name="adj1" fmla="val -41821"/>
                            <a:gd name="adj2" fmla="val 145470"/>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414626E4">
                            <w:pPr>
                              <w:rPr>
                                <w:sz w:val="18"/>
                                <w:szCs w:val="18"/>
                              </w:rPr>
                            </w:pPr>
                            <w:r>
                              <w:rPr>
                                <w:rFonts w:hint="eastAsia"/>
                                <w:sz w:val="18"/>
                                <w:szCs w:val="18"/>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1.7pt;margin-top:256.05pt;height:19.4pt;width:64.35pt;z-index:251666432;v-text-anchor:middle;mso-width-relative:page;mso-height-relative:page;" fillcolor="#4F81BD [3204]" filled="t" stroked="t" coordsize="21600,21600" o:gfxdata="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i5bcsdkAAAALAQAADwAAAAAAAAABACAA&#10;AAAiAAAAZHJzL2Rvd25yZXYueG1sUEsBAhQAFAAAAAgAh07iQFv0GcG3AgAAcAUAAA4AAAAAAAAA&#10;AQAgAAAAKAEAAGRycy9lMm9Eb2MueG1sUEsFBgAAAAAGAAYAWQEAAFEGAAAAAA==&#10;" adj="1767,42222">
                <v:fill on="t" focussize="0,0"/>
                <v:stroke weight="2pt" color="#376092 [2404]" joinstyle="round"/>
                <v:imagedata o:title=""/>
                <o:lock v:ext="edit" aspectratio="f"/>
                <v:textbox>
                  <w:txbxContent>
                    <w:p w14:paraId="414626E4">
                      <w:pPr>
                        <w:rPr>
                          <w:sz w:val="18"/>
                          <w:szCs w:val="18"/>
                        </w:rPr>
                      </w:pPr>
                      <w:r>
                        <w:rPr>
                          <w:rFonts w:hint="eastAsia"/>
                          <w:sz w:val="18"/>
                          <w:szCs w:val="18"/>
                        </w:rPr>
                        <w:t>项目位置</w:t>
                      </w:r>
                    </w:p>
                  </w:txbxContent>
                </v:textbox>
              </v:shape>
            </w:pict>
          </mc:Fallback>
        </mc:AlternateContent>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5871210" cy="4670425"/>
            <wp:effectExtent l="0" t="0" r="15240" b="15875"/>
            <wp:docPr id="171" name="图片 171" descr="西乌珠穆沁地图_2024111915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西乌珠穆沁地图_20241119152319"/>
                    <pic:cNvPicPr>
                      <a:picLocks noChangeAspect="1"/>
                    </pic:cNvPicPr>
                  </pic:nvPicPr>
                  <pic:blipFill>
                    <a:blip r:embed="rId30"/>
                    <a:stretch>
                      <a:fillRect/>
                    </a:stretch>
                  </pic:blipFill>
                  <pic:spPr>
                    <a:xfrm>
                      <a:off x="0" y="0"/>
                      <a:ext cx="5871210" cy="4670425"/>
                    </a:xfrm>
                    <a:prstGeom prst="rect">
                      <a:avLst/>
                    </a:prstGeom>
                  </pic:spPr>
                </pic:pic>
              </a:graphicData>
            </a:graphic>
          </wp:inline>
        </w:drawing>
      </w:r>
    </w:p>
    <w:p w14:paraId="6FBEEDDD">
      <w:pPr>
        <w:pStyle w:val="2"/>
        <w:spacing w:before="0" w:after="0" w:line="240" w:lineRule="auto"/>
        <w:ind w:left="0" w:firstLine="0"/>
        <w:jc w:val="center"/>
        <w:rPr>
          <w:rFonts w:hint="default" w:ascii="Times New Roman" w:hAnsi="Times New Roman" w:eastAsia="宋体" w:cs="Times New Roman"/>
          <w:snapToGrid w:val="0"/>
          <w:color w:val="000000" w:themeColor="text1"/>
          <w:sz w:val="32"/>
          <w:szCs w:val="32"/>
          <w:highlight w:val="none"/>
          <w14:textFill>
            <w14:solidFill>
              <w14:schemeClr w14:val="tx1"/>
            </w14:solidFill>
          </w14:textFill>
        </w:rPr>
      </w:pPr>
      <w:r>
        <w:rPr>
          <w:rFonts w:hint="default" w:ascii="Times New Roman" w:hAnsi="Times New Roman" w:eastAsia="宋体" w:cs="Times New Roman"/>
          <w:snapToGrid w:val="0"/>
          <w:color w:val="000000" w:themeColor="text1"/>
          <w:sz w:val="32"/>
          <w:szCs w:val="32"/>
          <w:highlight w:val="none"/>
          <w14:textFill>
            <w14:solidFill>
              <w14:schemeClr w14:val="tx1"/>
            </w14:solidFill>
          </w14:textFill>
        </w:rPr>
        <w:t>附图1</w:t>
      </w:r>
      <w:r>
        <w:rPr>
          <w:rFonts w:hint="eastAsia" w:ascii="Times New Roman" w:hAnsi="Times New Roman" w:eastAsia="宋体" w:cs="Times New Roman"/>
          <w:snapToGrid w:val="0"/>
          <w:color w:val="000000" w:themeColor="text1"/>
          <w:sz w:val="32"/>
          <w:szCs w:val="32"/>
          <w:highlight w:val="none"/>
          <w:lang w:val="en-US" w:eastAsia="zh-CN"/>
          <w14:textFill>
            <w14:solidFill>
              <w14:schemeClr w14:val="tx1"/>
            </w14:solidFill>
          </w14:textFill>
        </w:rPr>
        <w:t>建设项目</w:t>
      </w:r>
      <w:r>
        <w:rPr>
          <w:rFonts w:hint="default" w:ascii="Times New Roman" w:hAnsi="Times New Roman" w:eastAsia="宋体" w:cs="Times New Roman"/>
          <w:snapToGrid w:val="0"/>
          <w:color w:val="000000" w:themeColor="text1"/>
          <w:sz w:val="32"/>
          <w:szCs w:val="32"/>
          <w:highlight w:val="none"/>
          <w14:textFill>
            <w14:solidFill>
              <w14:schemeClr w14:val="tx1"/>
            </w14:solidFill>
          </w14:textFill>
        </w:rPr>
        <w:t>地理位置图</w:t>
      </w:r>
    </w:p>
    <w:p w14:paraId="131278FB">
      <w:pPr>
        <w:jc w:val="both"/>
        <w:rPr>
          <w:rFonts w:hint="default" w:ascii="Times New Roman" w:hAnsi="Times New Roman" w:eastAsia="宋体" w:cs="Times New Roman"/>
          <w:color w:val="000000" w:themeColor="text1"/>
          <w:highlight w:val="none"/>
          <w14:textFill>
            <w14:solidFill>
              <w14:schemeClr w14:val="tx1"/>
            </w14:solidFill>
          </w14:textFill>
        </w:rPr>
      </w:pPr>
    </w:p>
    <w:p w14:paraId="7BA8151F">
      <w:pPr>
        <w:rPr>
          <w:rFonts w:hint="default" w:ascii="Times New Roman" w:hAnsi="Times New Roman" w:eastAsia="宋体" w:cs="Times New Roman"/>
          <w:color w:val="000000" w:themeColor="text1"/>
          <w:highlight w:val="none"/>
          <w14:textFill>
            <w14:solidFill>
              <w14:schemeClr w14:val="tx1"/>
            </w14:solidFill>
          </w14:textFill>
        </w:rPr>
        <w:sectPr>
          <w:footerReference r:id="rId8" w:type="default"/>
          <w:pgSz w:w="16838" w:h="11906" w:orient="landscape"/>
          <w:pgMar w:top="1800" w:right="1440" w:bottom="1800" w:left="1440" w:header="851" w:footer="1077" w:gutter="0"/>
          <w:pgBorders>
            <w:top w:val="none" w:sz="0" w:space="0"/>
            <w:left w:val="none" w:sz="0" w:space="0"/>
            <w:bottom w:val="none" w:sz="0" w:space="0"/>
            <w:right w:val="none" w:sz="0" w:space="0"/>
          </w:pgBorders>
          <w:cols w:space="720" w:num="1"/>
          <w:docGrid w:linePitch="312" w:charSpace="0"/>
        </w:sectPr>
      </w:pPr>
    </w:p>
    <w:p w14:paraId="7AE6FFAC">
      <w:pPr>
        <w:pStyle w:val="29"/>
        <w:ind w:left="0" w:leftChars="0" w:firstLine="0"/>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6729730" cy="4759325"/>
            <wp:effectExtent l="0" t="0" r="1270" b="3175"/>
            <wp:docPr id="1" name="图片 1" descr="ef2f8717b40f309ff703d31e5361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f2f8717b40f309ff703d31e5361d18"/>
                    <pic:cNvPicPr>
                      <a:picLocks noChangeAspect="1"/>
                    </pic:cNvPicPr>
                  </pic:nvPicPr>
                  <pic:blipFill>
                    <a:blip r:embed="rId31"/>
                    <a:stretch>
                      <a:fillRect/>
                    </a:stretch>
                  </pic:blipFill>
                  <pic:spPr>
                    <a:xfrm>
                      <a:off x="0" y="0"/>
                      <a:ext cx="6729730" cy="4759325"/>
                    </a:xfrm>
                    <a:prstGeom prst="rect">
                      <a:avLst/>
                    </a:prstGeom>
                  </pic:spPr>
                </pic:pic>
              </a:graphicData>
            </a:graphic>
          </wp:inline>
        </w:drawing>
      </w:r>
    </w:p>
    <w:p w14:paraId="1D9F10E8">
      <w:pPr>
        <w:pStyle w:val="2"/>
        <w:spacing w:before="0" w:after="0" w:line="240" w:lineRule="auto"/>
        <w:ind w:left="0" w:firstLine="0"/>
        <w:jc w:val="center"/>
        <w:rPr>
          <w:rFonts w:hint="default"/>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sz w:val="32"/>
          <w:szCs w:val="32"/>
          <w:highlight w:val="none"/>
          <w14:textFill>
            <w14:solidFill>
              <w14:schemeClr w14:val="tx1"/>
            </w14:solidFill>
          </w14:textFill>
        </w:rPr>
        <w:t>附图2</w:t>
      </w:r>
      <w:r>
        <w:rPr>
          <w:rFonts w:hint="eastAsia" w:eastAsia="宋体" w:cs="Times New Roman"/>
          <w:snapToGrid w:val="0"/>
          <w:color w:val="000000" w:themeColor="text1"/>
          <w:sz w:val="32"/>
          <w:szCs w:val="32"/>
          <w:highlight w:val="none"/>
          <w:lang w:val="en-US" w:eastAsia="zh-CN"/>
          <w14:textFill>
            <w14:solidFill>
              <w14:schemeClr w14:val="tx1"/>
            </w14:solidFill>
          </w14:textFill>
        </w:rPr>
        <w:t>环境</w:t>
      </w:r>
      <w:r>
        <w:rPr>
          <w:rFonts w:hint="default" w:ascii="Times New Roman" w:hAnsi="Times New Roman" w:eastAsia="宋体" w:cs="Times New Roman"/>
          <w:snapToGrid w:val="0"/>
          <w:color w:val="000000" w:themeColor="text1"/>
          <w:sz w:val="32"/>
          <w:szCs w:val="32"/>
          <w:highlight w:val="none"/>
          <w14:textFill>
            <w14:solidFill>
              <w14:schemeClr w14:val="tx1"/>
            </w14:solidFill>
          </w14:textFill>
        </w:rPr>
        <w:t>保护目标图</w:t>
      </w:r>
    </w:p>
    <w:p w14:paraId="1BB7B653">
      <w:pPr>
        <w:bidi w:val="0"/>
        <w:rPr>
          <w:rFonts w:hint="default"/>
          <w:color w:val="000000" w:themeColor="text1"/>
          <w:highlight w:val="none"/>
          <w14:textFill>
            <w14:solidFill>
              <w14:schemeClr w14:val="tx1"/>
            </w14:solidFill>
          </w14:textFill>
        </w:rPr>
      </w:pPr>
    </w:p>
    <w:p w14:paraId="100569AC">
      <w:pPr>
        <w:bidi w:val="0"/>
        <w:jc w:val="center"/>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drawing>
          <wp:inline distT="0" distB="0" distL="114300" distR="114300">
            <wp:extent cx="6806565" cy="4813935"/>
            <wp:effectExtent l="0" t="0" r="635" b="12065"/>
            <wp:docPr id="97" name="图片 97" descr="2fb369a938686fb28a51a7369718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2fb369a938686fb28a51a73697186e2"/>
                    <pic:cNvPicPr>
                      <a:picLocks noChangeAspect="1"/>
                    </pic:cNvPicPr>
                  </pic:nvPicPr>
                  <pic:blipFill>
                    <a:blip r:embed="rId32"/>
                    <a:stretch>
                      <a:fillRect/>
                    </a:stretch>
                  </pic:blipFill>
                  <pic:spPr>
                    <a:xfrm>
                      <a:off x="0" y="0"/>
                      <a:ext cx="6806565" cy="4813935"/>
                    </a:xfrm>
                    <a:prstGeom prst="rect">
                      <a:avLst/>
                    </a:prstGeom>
                  </pic:spPr>
                </pic:pic>
              </a:graphicData>
            </a:graphic>
          </wp:inline>
        </w:drawing>
      </w:r>
    </w:p>
    <w:p w14:paraId="54DCBB02">
      <w:pPr>
        <w:pStyle w:val="2"/>
        <w:spacing w:before="0" w:after="0" w:line="240" w:lineRule="auto"/>
        <w:ind w:left="0" w:firstLine="0"/>
        <w:jc w:val="center"/>
        <w:rPr>
          <w:rFonts w:hint="default" w:ascii="Times New Roman" w:hAnsi="Times New Roman" w:eastAsia="宋体" w:cs="Times New Roman"/>
          <w:snapToGrid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32"/>
          <w:szCs w:val="32"/>
          <w:highlight w:val="none"/>
          <w14:textFill>
            <w14:solidFill>
              <w14:schemeClr w14:val="tx1"/>
            </w14:solidFill>
          </w14:textFill>
        </w:rPr>
        <w:t>附图</w:t>
      </w:r>
      <w:r>
        <w:rPr>
          <w:rFonts w:hint="eastAsia" w:ascii="Times New Roman" w:hAnsi="Times New Roman" w:eastAsia="宋体" w:cs="Times New Roman"/>
          <w:snapToGrid w:val="0"/>
          <w:color w:val="000000" w:themeColor="text1"/>
          <w:sz w:val="32"/>
          <w:szCs w:val="32"/>
          <w:highlight w:val="none"/>
          <w:lang w:val="en-US" w:eastAsia="zh-CN"/>
          <w14:textFill>
            <w14:solidFill>
              <w14:schemeClr w14:val="tx1"/>
            </w14:solidFill>
          </w14:textFill>
        </w:rPr>
        <w:t>3声环境现状监测点位图</w:t>
      </w:r>
    </w:p>
    <w:p w14:paraId="519BEAD4">
      <w:pPr>
        <w:tabs>
          <w:tab w:val="left" w:pos="4241"/>
        </w:tabs>
        <w:bidi w:val="0"/>
        <w:jc w:val="center"/>
        <w:rPr>
          <w:rFonts w:hint="eastAsia"/>
          <w:color w:val="000000" w:themeColor="text1"/>
          <w:highlight w:val="none"/>
          <w:lang w:eastAsia="zh-CN"/>
          <w14:textFill>
            <w14:solidFill>
              <w14:schemeClr w14:val="tx1"/>
            </w14:solidFill>
          </w14:textFill>
        </w:rPr>
      </w:pPr>
    </w:p>
    <w:p w14:paraId="0676DCDD">
      <w:pPr>
        <w:tabs>
          <w:tab w:val="left" w:pos="4241"/>
        </w:tabs>
        <w:bidi w:val="0"/>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drawing>
          <wp:inline distT="0" distB="0" distL="114300" distR="114300">
            <wp:extent cx="6776085" cy="4792345"/>
            <wp:effectExtent l="0" t="0" r="5715" b="8255"/>
            <wp:docPr id="98" name="图片 98" descr="bda63791f009a7172d0d8e3e9b0a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bda63791f009a7172d0d8e3e9b0a00e"/>
                    <pic:cNvPicPr>
                      <a:picLocks noChangeAspect="1"/>
                    </pic:cNvPicPr>
                  </pic:nvPicPr>
                  <pic:blipFill>
                    <a:blip r:embed="rId33"/>
                    <a:stretch>
                      <a:fillRect/>
                    </a:stretch>
                  </pic:blipFill>
                  <pic:spPr>
                    <a:xfrm>
                      <a:off x="0" y="0"/>
                      <a:ext cx="6776085" cy="4792345"/>
                    </a:xfrm>
                    <a:prstGeom prst="rect">
                      <a:avLst/>
                    </a:prstGeom>
                  </pic:spPr>
                </pic:pic>
              </a:graphicData>
            </a:graphic>
          </wp:inline>
        </w:drawing>
      </w:r>
    </w:p>
    <w:p w14:paraId="28F88C3B">
      <w:pPr>
        <w:pStyle w:val="2"/>
        <w:spacing w:before="0" w:after="0" w:line="240" w:lineRule="auto"/>
        <w:ind w:left="0" w:firstLine="0"/>
        <w:jc w:val="center"/>
        <w:rPr>
          <w:rFonts w:hint="eastAsia" w:ascii="Times New Roman" w:hAnsi="Times New Roman" w:eastAsia="宋体" w:cs="Times New Roman"/>
          <w:snapToGrid w:val="0"/>
          <w:color w:val="000000" w:themeColor="text1"/>
          <w:sz w:val="32"/>
          <w:szCs w:val="32"/>
          <w:highlight w:val="none"/>
          <w:lang w:eastAsia="zh-CN"/>
          <w14:textFill>
            <w14:solidFill>
              <w14:schemeClr w14:val="tx1"/>
            </w14:solidFill>
          </w14:textFill>
        </w:rPr>
        <w:sectPr>
          <w:pgSz w:w="16838" w:h="11906" w:orient="landscape"/>
          <w:pgMar w:top="1800" w:right="1440" w:bottom="1800" w:left="1440" w:header="851" w:footer="1077"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snapToGrid w:val="0"/>
          <w:color w:val="000000" w:themeColor="text1"/>
          <w:sz w:val="32"/>
          <w:szCs w:val="32"/>
          <w:highlight w:val="none"/>
          <w14:textFill>
            <w14:solidFill>
              <w14:schemeClr w14:val="tx1"/>
            </w14:solidFill>
          </w14:textFill>
        </w:rPr>
        <w:t>附图</w:t>
      </w:r>
      <w:r>
        <w:rPr>
          <w:rFonts w:hint="eastAsia" w:ascii="Times New Roman" w:hAnsi="Times New Roman" w:eastAsia="宋体" w:cs="Times New Roman"/>
          <w:snapToGrid w:val="0"/>
          <w:color w:val="000000" w:themeColor="text1"/>
          <w:sz w:val="32"/>
          <w:szCs w:val="32"/>
          <w:highlight w:val="none"/>
          <w:lang w:val="en-US" w:eastAsia="zh-CN"/>
          <w14:textFill>
            <w14:solidFill>
              <w14:schemeClr w14:val="tx1"/>
            </w14:solidFill>
          </w14:textFill>
        </w:rPr>
        <w:t>4临时工程布局</w:t>
      </w:r>
    </w:p>
    <w:p w14:paraId="774BAF48">
      <w:pPr>
        <w:pStyle w:val="29"/>
        <w:ind w:left="0" w:leftChars="0" w:firstLine="0"/>
        <w:jc w:val="both"/>
        <w:rPr>
          <w:rFonts w:hint="default" w:ascii="Times New Roman" w:hAnsi="Times New Roman" w:eastAsia="宋体" w:cs="Times New Roman"/>
          <w:snapToGrid w:val="0"/>
          <w:color w:val="000000" w:themeColor="text1"/>
          <w:sz w:val="32"/>
          <w:szCs w:val="32"/>
          <w:highlight w:val="none"/>
          <w:lang w:eastAsia="zh-CN"/>
          <w14:textFill>
            <w14:solidFill>
              <w14:schemeClr w14:val="tx1"/>
            </w14:solidFill>
          </w14:textFill>
        </w:rPr>
      </w:pPr>
    </w:p>
    <w:sectPr>
      <w:headerReference r:id="rId9" w:type="default"/>
      <w:footerReference r:id="rId10" w:type="default"/>
      <w:pgSz w:w="11906" w:h="16838"/>
      <w:pgMar w:top="1440" w:right="1797" w:bottom="1440" w:left="1797" w:header="850" w:footer="992" w:gutter="0"/>
      <w:pgBorders>
        <w:top w:val="none" w:sz="0" w:space="0"/>
        <w:left w:val="none" w:sz="0" w:space="0"/>
        <w:bottom w:val="none" w:sz="0" w:space="0"/>
        <w:right w:val="none" w:sz="0" w:space="0"/>
      </w:pgBorders>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CA552">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130C5">
    <w:pPr>
      <w:pStyle w:val="22"/>
      <w:framePr w:wrap="around" w:vAnchor="text" w:hAnchor="margin" w:xAlign="center" w:y="1"/>
      <w:rPr>
        <w:rStyle w:val="33"/>
      </w:rPr>
    </w:pPr>
    <w:r>
      <w:fldChar w:fldCharType="begin"/>
    </w:r>
    <w:r>
      <w:rPr>
        <w:rStyle w:val="33"/>
      </w:rPr>
      <w:instrText xml:space="preserve">PAGE  </w:instrText>
    </w:r>
    <w:r>
      <w:fldChar w:fldCharType="end"/>
    </w:r>
  </w:p>
  <w:p w14:paraId="463CA12F">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E43A7">
    <w:pPr>
      <w:pStyle w:val="22"/>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92BAF">
    <w:pPr>
      <w:pStyle w:val="22"/>
      <w:ind w:right="360" w:firstLine="36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D7F44">
                          <w:pPr>
                            <w:pStyle w:val="22"/>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48BD7F44">
                    <w:pPr>
                      <w:pStyle w:val="22"/>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3920F">
    <w:pPr>
      <w:spacing w:line="14" w:lineRule="auto"/>
      <w:rPr>
        <w:rFonts w:ascii="Arial"/>
        <w:sz w:val="2"/>
      </w:rPr>
    </w:pPr>
    <w:r>
      <w:rPr>
        <w:sz w:val="2"/>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14EE4A">
                          <w:pPr>
                            <w:pStyle w:val="2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0F14EE4A">
                    <w:pPr>
                      <w:pStyle w:val="22"/>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2D48B">
    <w:pPr>
      <w:pStyle w:val="22"/>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6FBBC">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366ED">
    <w:pPr>
      <w:pStyle w:val="23"/>
      <w:rPr>
        <w:rFonts w:ascii="宋体" w:hAnsi="宋体" w:eastAsia="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5C765C"/>
    <w:multiLevelType w:val="singleLevel"/>
    <w:tmpl w:val="CC5C765C"/>
    <w:lvl w:ilvl="0" w:tentative="0">
      <w:start w:val="1"/>
      <w:numFmt w:val="bullet"/>
      <w:pStyle w:val="11"/>
      <w:lvlText w:val=""/>
      <w:lvlJc w:val="left"/>
      <w:pPr>
        <w:tabs>
          <w:tab w:val="left" w:pos="780"/>
        </w:tabs>
        <w:ind w:left="780" w:hanging="360"/>
      </w:pPr>
      <w:rPr>
        <w:rFonts w:hint="default" w:ascii="Wingdings" w:hAnsi="Wingdings"/>
      </w:rPr>
    </w:lvl>
  </w:abstractNum>
  <w:abstractNum w:abstractNumId="1">
    <w:nsid w:val="DA4D2AC1"/>
    <w:multiLevelType w:val="multilevel"/>
    <w:tmpl w:val="DA4D2AC1"/>
    <w:lvl w:ilvl="0" w:tentative="0">
      <w:start w:val="2"/>
      <w:numFmt w:val="decimal"/>
      <w:suff w:val="nothing"/>
      <w:lvlText w:val="（%1）"/>
      <w:lvlJc w:val="left"/>
      <w:pPr>
        <w:ind w:left="0" w:firstLine="480"/>
      </w:pPr>
    </w:lvl>
    <w:lvl w:ilvl="1" w:tentative="0">
      <w:start w:val="1"/>
      <w:numFmt w:val="decimalEnclosedCircleChinese"/>
      <w:suff w:val="nothing"/>
      <w:lvlText w:val="%2"/>
      <w:lvlJc w:val="left"/>
      <w:pPr>
        <w:ind w:left="0" w:firstLine="482"/>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lowerLetter"/>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
    <w:nsid w:val="330FB1E7"/>
    <w:multiLevelType w:val="singleLevel"/>
    <w:tmpl w:val="330FB1E7"/>
    <w:lvl w:ilvl="0" w:tentative="0">
      <w:start w:val="7"/>
      <w:numFmt w:val="decimal"/>
      <w:suff w:val="nothing"/>
      <w:lvlText w:val="%1、"/>
      <w:lvlJc w:val="left"/>
    </w:lvl>
  </w:abstractNum>
  <w:abstractNum w:abstractNumId="3">
    <w:nsid w:val="33674125"/>
    <w:multiLevelType w:val="singleLevel"/>
    <w:tmpl w:val="33674125"/>
    <w:lvl w:ilvl="0" w:tentative="0">
      <w:start w:val="4"/>
      <w:numFmt w:val="decimal"/>
      <w:suff w:val="nothing"/>
      <w:lvlText w:val="%1、"/>
      <w:lvlJc w:val="left"/>
    </w:lvl>
  </w:abstractNum>
  <w:abstractNum w:abstractNumId="4">
    <w:nsid w:val="411C6406"/>
    <w:multiLevelType w:val="multilevel"/>
    <w:tmpl w:val="411C6406"/>
    <w:lvl w:ilvl="0" w:tentative="0">
      <w:start w:val="2"/>
      <w:numFmt w:val="decimal"/>
      <w:suff w:val="nothing"/>
      <w:lvlText w:val="（%1）"/>
      <w:lvlJc w:val="left"/>
      <w:pPr>
        <w:ind w:left="0" w:firstLine="480"/>
      </w:pPr>
    </w:lvl>
    <w:lvl w:ilvl="1" w:tentative="0">
      <w:start w:val="1"/>
      <w:numFmt w:val="decimalEnclosedCircleChinese"/>
      <w:suff w:val="nothing"/>
      <w:lvlText w:val="%2"/>
      <w:lvlJc w:val="left"/>
      <w:pPr>
        <w:ind w:left="0" w:firstLine="482"/>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lowerLetter"/>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RmYmEyZmVkZGViOWY0N2E4NTVkZDY5OTRkZmQwNDUifQ=="/>
  </w:docVars>
  <w:rsids>
    <w:rsidRoot w:val="00A14947"/>
    <w:rsid w:val="00001CED"/>
    <w:rsid w:val="00001E67"/>
    <w:rsid w:val="00002BA0"/>
    <w:rsid w:val="00003CD8"/>
    <w:rsid w:val="00014965"/>
    <w:rsid w:val="0001523A"/>
    <w:rsid w:val="00016ECB"/>
    <w:rsid w:val="00023175"/>
    <w:rsid w:val="00024229"/>
    <w:rsid w:val="000269F6"/>
    <w:rsid w:val="00031939"/>
    <w:rsid w:val="00032D25"/>
    <w:rsid w:val="00041770"/>
    <w:rsid w:val="00045CAA"/>
    <w:rsid w:val="0005219D"/>
    <w:rsid w:val="0005568F"/>
    <w:rsid w:val="00060F53"/>
    <w:rsid w:val="0006153D"/>
    <w:rsid w:val="00061B1F"/>
    <w:rsid w:val="0006394A"/>
    <w:rsid w:val="000664DB"/>
    <w:rsid w:val="0007127D"/>
    <w:rsid w:val="00071AE5"/>
    <w:rsid w:val="00074579"/>
    <w:rsid w:val="00074783"/>
    <w:rsid w:val="000760BF"/>
    <w:rsid w:val="000801E0"/>
    <w:rsid w:val="00082A29"/>
    <w:rsid w:val="0008331D"/>
    <w:rsid w:val="00083C18"/>
    <w:rsid w:val="00092899"/>
    <w:rsid w:val="00093FFA"/>
    <w:rsid w:val="000A178E"/>
    <w:rsid w:val="000A557E"/>
    <w:rsid w:val="000B058F"/>
    <w:rsid w:val="000B693F"/>
    <w:rsid w:val="000C09AC"/>
    <w:rsid w:val="000C0A63"/>
    <w:rsid w:val="000C437E"/>
    <w:rsid w:val="000E5F16"/>
    <w:rsid w:val="000F4452"/>
    <w:rsid w:val="000F6DA1"/>
    <w:rsid w:val="000F701B"/>
    <w:rsid w:val="00102E0D"/>
    <w:rsid w:val="00105599"/>
    <w:rsid w:val="001056A0"/>
    <w:rsid w:val="00115279"/>
    <w:rsid w:val="00117459"/>
    <w:rsid w:val="0011749A"/>
    <w:rsid w:val="00125161"/>
    <w:rsid w:val="00127A68"/>
    <w:rsid w:val="0013188E"/>
    <w:rsid w:val="00135447"/>
    <w:rsid w:val="00140B13"/>
    <w:rsid w:val="00141B68"/>
    <w:rsid w:val="00143653"/>
    <w:rsid w:val="001466DA"/>
    <w:rsid w:val="00146A54"/>
    <w:rsid w:val="001478B1"/>
    <w:rsid w:val="00150528"/>
    <w:rsid w:val="00154DE1"/>
    <w:rsid w:val="00155B40"/>
    <w:rsid w:val="00157435"/>
    <w:rsid w:val="00157FFE"/>
    <w:rsid w:val="00163EEA"/>
    <w:rsid w:val="00167A07"/>
    <w:rsid w:val="0017046A"/>
    <w:rsid w:val="001704A3"/>
    <w:rsid w:val="0017504D"/>
    <w:rsid w:val="00177422"/>
    <w:rsid w:val="00182690"/>
    <w:rsid w:val="00184F10"/>
    <w:rsid w:val="00185546"/>
    <w:rsid w:val="0019146B"/>
    <w:rsid w:val="001914E9"/>
    <w:rsid w:val="00194398"/>
    <w:rsid w:val="001A366F"/>
    <w:rsid w:val="001A7D2A"/>
    <w:rsid w:val="001B574C"/>
    <w:rsid w:val="001C0AF9"/>
    <w:rsid w:val="001C155A"/>
    <w:rsid w:val="001C48C0"/>
    <w:rsid w:val="001D6726"/>
    <w:rsid w:val="001E0DF2"/>
    <w:rsid w:val="001F0E44"/>
    <w:rsid w:val="001F3347"/>
    <w:rsid w:val="001F4440"/>
    <w:rsid w:val="001F69E4"/>
    <w:rsid w:val="001F7E8F"/>
    <w:rsid w:val="0020559B"/>
    <w:rsid w:val="00206A65"/>
    <w:rsid w:val="00212D31"/>
    <w:rsid w:val="002130C7"/>
    <w:rsid w:val="002218A8"/>
    <w:rsid w:val="00221EFC"/>
    <w:rsid w:val="0022306D"/>
    <w:rsid w:val="00223B33"/>
    <w:rsid w:val="00226574"/>
    <w:rsid w:val="002278EC"/>
    <w:rsid w:val="002357C7"/>
    <w:rsid w:val="002367C4"/>
    <w:rsid w:val="002379A6"/>
    <w:rsid w:val="00243898"/>
    <w:rsid w:val="00253C51"/>
    <w:rsid w:val="0025679E"/>
    <w:rsid w:val="00260C68"/>
    <w:rsid w:val="002648B0"/>
    <w:rsid w:val="002702C2"/>
    <w:rsid w:val="00275271"/>
    <w:rsid w:val="0027535E"/>
    <w:rsid w:val="00275AA6"/>
    <w:rsid w:val="002807D5"/>
    <w:rsid w:val="00282CCD"/>
    <w:rsid w:val="0028553A"/>
    <w:rsid w:val="002A168C"/>
    <w:rsid w:val="002A2C48"/>
    <w:rsid w:val="002A3EED"/>
    <w:rsid w:val="002A4A39"/>
    <w:rsid w:val="002A5A17"/>
    <w:rsid w:val="002A6425"/>
    <w:rsid w:val="002B49E2"/>
    <w:rsid w:val="002B5A03"/>
    <w:rsid w:val="002B7B00"/>
    <w:rsid w:val="002B7C44"/>
    <w:rsid w:val="002C1388"/>
    <w:rsid w:val="002C3C6A"/>
    <w:rsid w:val="002D0FB7"/>
    <w:rsid w:val="002D1873"/>
    <w:rsid w:val="002D42DB"/>
    <w:rsid w:val="002D7306"/>
    <w:rsid w:val="002E1F3A"/>
    <w:rsid w:val="002E298A"/>
    <w:rsid w:val="002F02A4"/>
    <w:rsid w:val="002F272B"/>
    <w:rsid w:val="002F27EC"/>
    <w:rsid w:val="002F5D8B"/>
    <w:rsid w:val="002F7C6D"/>
    <w:rsid w:val="002F7EED"/>
    <w:rsid w:val="003027E4"/>
    <w:rsid w:val="0030332C"/>
    <w:rsid w:val="00306392"/>
    <w:rsid w:val="00312296"/>
    <w:rsid w:val="0031340E"/>
    <w:rsid w:val="00316464"/>
    <w:rsid w:val="0032073A"/>
    <w:rsid w:val="00321D8E"/>
    <w:rsid w:val="00334996"/>
    <w:rsid w:val="00336969"/>
    <w:rsid w:val="00336C52"/>
    <w:rsid w:val="00341B3E"/>
    <w:rsid w:val="00341B42"/>
    <w:rsid w:val="00345154"/>
    <w:rsid w:val="003454C8"/>
    <w:rsid w:val="0034560E"/>
    <w:rsid w:val="00350523"/>
    <w:rsid w:val="00352975"/>
    <w:rsid w:val="00356868"/>
    <w:rsid w:val="0036485B"/>
    <w:rsid w:val="00373B0D"/>
    <w:rsid w:val="00376988"/>
    <w:rsid w:val="00381A72"/>
    <w:rsid w:val="00382292"/>
    <w:rsid w:val="003A1948"/>
    <w:rsid w:val="003B152A"/>
    <w:rsid w:val="003B545B"/>
    <w:rsid w:val="003B582B"/>
    <w:rsid w:val="003C6754"/>
    <w:rsid w:val="003C7775"/>
    <w:rsid w:val="003D122E"/>
    <w:rsid w:val="003D3EE9"/>
    <w:rsid w:val="003E4CC1"/>
    <w:rsid w:val="003E7681"/>
    <w:rsid w:val="003F0809"/>
    <w:rsid w:val="003F34C0"/>
    <w:rsid w:val="003F611C"/>
    <w:rsid w:val="003F755C"/>
    <w:rsid w:val="003F78F8"/>
    <w:rsid w:val="0040522D"/>
    <w:rsid w:val="00406F01"/>
    <w:rsid w:val="00411B36"/>
    <w:rsid w:val="004121D7"/>
    <w:rsid w:val="00416D50"/>
    <w:rsid w:val="00417772"/>
    <w:rsid w:val="00420CB2"/>
    <w:rsid w:val="00420E6A"/>
    <w:rsid w:val="004249CD"/>
    <w:rsid w:val="00433CA9"/>
    <w:rsid w:val="0043521D"/>
    <w:rsid w:val="00442024"/>
    <w:rsid w:val="0044254C"/>
    <w:rsid w:val="00443F6A"/>
    <w:rsid w:val="00450A17"/>
    <w:rsid w:val="004615C7"/>
    <w:rsid w:val="00466321"/>
    <w:rsid w:val="004672AF"/>
    <w:rsid w:val="004727B0"/>
    <w:rsid w:val="00480247"/>
    <w:rsid w:val="0048081D"/>
    <w:rsid w:val="0048117E"/>
    <w:rsid w:val="004814C0"/>
    <w:rsid w:val="00482F73"/>
    <w:rsid w:val="004855F6"/>
    <w:rsid w:val="00486F0C"/>
    <w:rsid w:val="00494670"/>
    <w:rsid w:val="004A0EB4"/>
    <w:rsid w:val="004A3823"/>
    <w:rsid w:val="004A59BB"/>
    <w:rsid w:val="004B43A3"/>
    <w:rsid w:val="004B492F"/>
    <w:rsid w:val="004B4C49"/>
    <w:rsid w:val="004B58A5"/>
    <w:rsid w:val="004B63D9"/>
    <w:rsid w:val="004B71B1"/>
    <w:rsid w:val="004C0882"/>
    <w:rsid w:val="004C47D9"/>
    <w:rsid w:val="004C55BE"/>
    <w:rsid w:val="004C5ACA"/>
    <w:rsid w:val="004E3143"/>
    <w:rsid w:val="004E5B30"/>
    <w:rsid w:val="004F0779"/>
    <w:rsid w:val="004F1230"/>
    <w:rsid w:val="004F173F"/>
    <w:rsid w:val="004F177C"/>
    <w:rsid w:val="004F2DCE"/>
    <w:rsid w:val="005007FA"/>
    <w:rsid w:val="005039CB"/>
    <w:rsid w:val="0050558F"/>
    <w:rsid w:val="005057E0"/>
    <w:rsid w:val="00506286"/>
    <w:rsid w:val="00510813"/>
    <w:rsid w:val="00511DE0"/>
    <w:rsid w:val="0051231D"/>
    <w:rsid w:val="00512E6C"/>
    <w:rsid w:val="00517F02"/>
    <w:rsid w:val="005218C4"/>
    <w:rsid w:val="00523F49"/>
    <w:rsid w:val="00524547"/>
    <w:rsid w:val="005258A2"/>
    <w:rsid w:val="00530F7C"/>
    <w:rsid w:val="00534567"/>
    <w:rsid w:val="00534F43"/>
    <w:rsid w:val="00535A84"/>
    <w:rsid w:val="00536889"/>
    <w:rsid w:val="00536DB0"/>
    <w:rsid w:val="00542E07"/>
    <w:rsid w:val="00544191"/>
    <w:rsid w:val="00550CB2"/>
    <w:rsid w:val="00554A7B"/>
    <w:rsid w:val="0055572C"/>
    <w:rsid w:val="0056064F"/>
    <w:rsid w:val="00561B84"/>
    <w:rsid w:val="00571D98"/>
    <w:rsid w:val="005720AE"/>
    <w:rsid w:val="0058030D"/>
    <w:rsid w:val="00582045"/>
    <w:rsid w:val="00590AE3"/>
    <w:rsid w:val="005918F1"/>
    <w:rsid w:val="00592F76"/>
    <w:rsid w:val="00597589"/>
    <w:rsid w:val="005A06B7"/>
    <w:rsid w:val="005A1759"/>
    <w:rsid w:val="005B7BD1"/>
    <w:rsid w:val="005D0369"/>
    <w:rsid w:val="005D53FE"/>
    <w:rsid w:val="005D7A0F"/>
    <w:rsid w:val="005E0438"/>
    <w:rsid w:val="005E1791"/>
    <w:rsid w:val="005E2CE6"/>
    <w:rsid w:val="005E6324"/>
    <w:rsid w:val="005F228B"/>
    <w:rsid w:val="005F29CD"/>
    <w:rsid w:val="005F4DFB"/>
    <w:rsid w:val="005F6CC0"/>
    <w:rsid w:val="005F7546"/>
    <w:rsid w:val="00603E5B"/>
    <w:rsid w:val="00604BC8"/>
    <w:rsid w:val="00613FAC"/>
    <w:rsid w:val="00615B4C"/>
    <w:rsid w:val="00615B5D"/>
    <w:rsid w:val="0062146F"/>
    <w:rsid w:val="006343AF"/>
    <w:rsid w:val="0063634A"/>
    <w:rsid w:val="0064250D"/>
    <w:rsid w:val="00643A1C"/>
    <w:rsid w:val="006535EB"/>
    <w:rsid w:val="00653E06"/>
    <w:rsid w:val="00663016"/>
    <w:rsid w:val="00674605"/>
    <w:rsid w:val="006748B8"/>
    <w:rsid w:val="0068044F"/>
    <w:rsid w:val="0068535B"/>
    <w:rsid w:val="0068736E"/>
    <w:rsid w:val="0069004B"/>
    <w:rsid w:val="0069290A"/>
    <w:rsid w:val="00697032"/>
    <w:rsid w:val="006975AC"/>
    <w:rsid w:val="006A15FB"/>
    <w:rsid w:val="006A225B"/>
    <w:rsid w:val="006A72BF"/>
    <w:rsid w:val="006B332A"/>
    <w:rsid w:val="006B33BD"/>
    <w:rsid w:val="006C3F75"/>
    <w:rsid w:val="006D0BCF"/>
    <w:rsid w:val="006D170E"/>
    <w:rsid w:val="006E06AF"/>
    <w:rsid w:val="006E5115"/>
    <w:rsid w:val="006F1789"/>
    <w:rsid w:val="006F768D"/>
    <w:rsid w:val="0070675A"/>
    <w:rsid w:val="00706C5D"/>
    <w:rsid w:val="007118E6"/>
    <w:rsid w:val="007225C9"/>
    <w:rsid w:val="00724233"/>
    <w:rsid w:val="00735CD7"/>
    <w:rsid w:val="00754034"/>
    <w:rsid w:val="00754BF1"/>
    <w:rsid w:val="00755A30"/>
    <w:rsid w:val="00755E1C"/>
    <w:rsid w:val="00756556"/>
    <w:rsid w:val="007602AA"/>
    <w:rsid w:val="0076132B"/>
    <w:rsid w:val="007623AE"/>
    <w:rsid w:val="00765E13"/>
    <w:rsid w:val="00770B19"/>
    <w:rsid w:val="00774FA0"/>
    <w:rsid w:val="00776620"/>
    <w:rsid w:val="00777B6D"/>
    <w:rsid w:val="00784855"/>
    <w:rsid w:val="007849F7"/>
    <w:rsid w:val="00784F39"/>
    <w:rsid w:val="0078545C"/>
    <w:rsid w:val="007906C4"/>
    <w:rsid w:val="00793C91"/>
    <w:rsid w:val="007940EA"/>
    <w:rsid w:val="007967E8"/>
    <w:rsid w:val="007A63F2"/>
    <w:rsid w:val="007A66CB"/>
    <w:rsid w:val="007B68DE"/>
    <w:rsid w:val="007C1857"/>
    <w:rsid w:val="007C44EF"/>
    <w:rsid w:val="007C514F"/>
    <w:rsid w:val="007D0F95"/>
    <w:rsid w:val="007D1E2E"/>
    <w:rsid w:val="007D64C4"/>
    <w:rsid w:val="007D7ECB"/>
    <w:rsid w:val="007E1F03"/>
    <w:rsid w:val="007E25A1"/>
    <w:rsid w:val="007E4BD2"/>
    <w:rsid w:val="007E7145"/>
    <w:rsid w:val="007F3916"/>
    <w:rsid w:val="00800681"/>
    <w:rsid w:val="00801179"/>
    <w:rsid w:val="00802479"/>
    <w:rsid w:val="00805372"/>
    <w:rsid w:val="00805B7B"/>
    <w:rsid w:val="00811741"/>
    <w:rsid w:val="0081293E"/>
    <w:rsid w:val="00813A79"/>
    <w:rsid w:val="00814FFB"/>
    <w:rsid w:val="00816C13"/>
    <w:rsid w:val="00817FAD"/>
    <w:rsid w:val="00820568"/>
    <w:rsid w:val="00831A80"/>
    <w:rsid w:val="008332C8"/>
    <w:rsid w:val="008333BE"/>
    <w:rsid w:val="00833743"/>
    <w:rsid w:val="008340A4"/>
    <w:rsid w:val="00836799"/>
    <w:rsid w:val="00837028"/>
    <w:rsid w:val="00837131"/>
    <w:rsid w:val="00840CBB"/>
    <w:rsid w:val="0084274F"/>
    <w:rsid w:val="00845F57"/>
    <w:rsid w:val="008521E0"/>
    <w:rsid w:val="008525B0"/>
    <w:rsid w:val="008617E2"/>
    <w:rsid w:val="008640DF"/>
    <w:rsid w:val="00867CBC"/>
    <w:rsid w:val="008734ED"/>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B59A0"/>
    <w:rsid w:val="008C2C92"/>
    <w:rsid w:val="008C30AD"/>
    <w:rsid w:val="008D068E"/>
    <w:rsid w:val="008D0F7A"/>
    <w:rsid w:val="008D1C14"/>
    <w:rsid w:val="008D63BE"/>
    <w:rsid w:val="008E0CFF"/>
    <w:rsid w:val="008E5D6B"/>
    <w:rsid w:val="008E689B"/>
    <w:rsid w:val="008E76F0"/>
    <w:rsid w:val="008E7DA2"/>
    <w:rsid w:val="008F15FE"/>
    <w:rsid w:val="008F273C"/>
    <w:rsid w:val="008F2A94"/>
    <w:rsid w:val="008F5187"/>
    <w:rsid w:val="008F709C"/>
    <w:rsid w:val="0090312B"/>
    <w:rsid w:val="00904961"/>
    <w:rsid w:val="009065F2"/>
    <w:rsid w:val="0091736D"/>
    <w:rsid w:val="0093044D"/>
    <w:rsid w:val="00931001"/>
    <w:rsid w:val="00931863"/>
    <w:rsid w:val="00933524"/>
    <w:rsid w:val="00935A7F"/>
    <w:rsid w:val="009370F6"/>
    <w:rsid w:val="0094278D"/>
    <w:rsid w:val="009435A7"/>
    <w:rsid w:val="00952596"/>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5865"/>
    <w:rsid w:val="00987322"/>
    <w:rsid w:val="009920F8"/>
    <w:rsid w:val="009A0F3B"/>
    <w:rsid w:val="009A1FB6"/>
    <w:rsid w:val="009A3D11"/>
    <w:rsid w:val="009A72C7"/>
    <w:rsid w:val="009B0897"/>
    <w:rsid w:val="009D0852"/>
    <w:rsid w:val="009D1FBF"/>
    <w:rsid w:val="009D66E7"/>
    <w:rsid w:val="009D7429"/>
    <w:rsid w:val="009E2503"/>
    <w:rsid w:val="009E399C"/>
    <w:rsid w:val="009E43C1"/>
    <w:rsid w:val="009E7E95"/>
    <w:rsid w:val="009F116F"/>
    <w:rsid w:val="009F329E"/>
    <w:rsid w:val="009F7ED3"/>
    <w:rsid w:val="00A02EE9"/>
    <w:rsid w:val="00A03607"/>
    <w:rsid w:val="00A047FF"/>
    <w:rsid w:val="00A04FEF"/>
    <w:rsid w:val="00A1004F"/>
    <w:rsid w:val="00A11249"/>
    <w:rsid w:val="00A122CD"/>
    <w:rsid w:val="00A12A32"/>
    <w:rsid w:val="00A13E7B"/>
    <w:rsid w:val="00A14248"/>
    <w:rsid w:val="00A14947"/>
    <w:rsid w:val="00A23DC5"/>
    <w:rsid w:val="00A254DA"/>
    <w:rsid w:val="00A34028"/>
    <w:rsid w:val="00A35568"/>
    <w:rsid w:val="00A37056"/>
    <w:rsid w:val="00A4358F"/>
    <w:rsid w:val="00A46F67"/>
    <w:rsid w:val="00A54AA1"/>
    <w:rsid w:val="00A568FF"/>
    <w:rsid w:val="00A61496"/>
    <w:rsid w:val="00A61833"/>
    <w:rsid w:val="00A624C6"/>
    <w:rsid w:val="00A62A5D"/>
    <w:rsid w:val="00A63CEC"/>
    <w:rsid w:val="00A7031E"/>
    <w:rsid w:val="00A728B1"/>
    <w:rsid w:val="00A75977"/>
    <w:rsid w:val="00A763DE"/>
    <w:rsid w:val="00A803D6"/>
    <w:rsid w:val="00A81282"/>
    <w:rsid w:val="00A855AA"/>
    <w:rsid w:val="00A8713F"/>
    <w:rsid w:val="00A87CB2"/>
    <w:rsid w:val="00A90564"/>
    <w:rsid w:val="00A91167"/>
    <w:rsid w:val="00A9171C"/>
    <w:rsid w:val="00A92FFD"/>
    <w:rsid w:val="00A95975"/>
    <w:rsid w:val="00A9708D"/>
    <w:rsid w:val="00AA2C17"/>
    <w:rsid w:val="00AA4172"/>
    <w:rsid w:val="00AB1914"/>
    <w:rsid w:val="00AB5330"/>
    <w:rsid w:val="00AB7747"/>
    <w:rsid w:val="00AC2532"/>
    <w:rsid w:val="00AD06D6"/>
    <w:rsid w:val="00AD1507"/>
    <w:rsid w:val="00AD5A70"/>
    <w:rsid w:val="00AD738B"/>
    <w:rsid w:val="00AE1BF4"/>
    <w:rsid w:val="00AE5D97"/>
    <w:rsid w:val="00AE6794"/>
    <w:rsid w:val="00B01110"/>
    <w:rsid w:val="00B02262"/>
    <w:rsid w:val="00B03CEC"/>
    <w:rsid w:val="00B1209F"/>
    <w:rsid w:val="00B12AD0"/>
    <w:rsid w:val="00B16876"/>
    <w:rsid w:val="00B24F30"/>
    <w:rsid w:val="00B27246"/>
    <w:rsid w:val="00B31ABF"/>
    <w:rsid w:val="00B335AE"/>
    <w:rsid w:val="00B37CE1"/>
    <w:rsid w:val="00B40ACF"/>
    <w:rsid w:val="00B46BAA"/>
    <w:rsid w:val="00B50906"/>
    <w:rsid w:val="00B50B5F"/>
    <w:rsid w:val="00B51757"/>
    <w:rsid w:val="00B54128"/>
    <w:rsid w:val="00B55826"/>
    <w:rsid w:val="00B574E2"/>
    <w:rsid w:val="00B60426"/>
    <w:rsid w:val="00B622DD"/>
    <w:rsid w:val="00B63522"/>
    <w:rsid w:val="00B76F1D"/>
    <w:rsid w:val="00B927DD"/>
    <w:rsid w:val="00B92A19"/>
    <w:rsid w:val="00B9544C"/>
    <w:rsid w:val="00BA29E9"/>
    <w:rsid w:val="00BB3618"/>
    <w:rsid w:val="00BC0C9E"/>
    <w:rsid w:val="00BC32DC"/>
    <w:rsid w:val="00BC57CD"/>
    <w:rsid w:val="00BD1B51"/>
    <w:rsid w:val="00BD47F6"/>
    <w:rsid w:val="00BE312D"/>
    <w:rsid w:val="00BE3FCA"/>
    <w:rsid w:val="00BE5709"/>
    <w:rsid w:val="00C05719"/>
    <w:rsid w:val="00C10578"/>
    <w:rsid w:val="00C17D62"/>
    <w:rsid w:val="00C21C09"/>
    <w:rsid w:val="00C21FDC"/>
    <w:rsid w:val="00C24EE7"/>
    <w:rsid w:val="00C2596A"/>
    <w:rsid w:val="00C271BE"/>
    <w:rsid w:val="00C27425"/>
    <w:rsid w:val="00C328FE"/>
    <w:rsid w:val="00C33A05"/>
    <w:rsid w:val="00C40671"/>
    <w:rsid w:val="00C42500"/>
    <w:rsid w:val="00C4409D"/>
    <w:rsid w:val="00C44112"/>
    <w:rsid w:val="00C455BE"/>
    <w:rsid w:val="00C5034D"/>
    <w:rsid w:val="00C51E5F"/>
    <w:rsid w:val="00C54C28"/>
    <w:rsid w:val="00C61E4B"/>
    <w:rsid w:val="00C62E3A"/>
    <w:rsid w:val="00C64503"/>
    <w:rsid w:val="00C64A1F"/>
    <w:rsid w:val="00C64BFF"/>
    <w:rsid w:val="00C712EF"/>
    <w:rsid w:val="00C763C9"/>
    <w:rsid w:val="00C80057"/>
    <w:rsid w:val="00C81A99"/>
    <w:rsid w:val="00C82947"/>
    <w:rsid w:val="00C82C79"/>
    <w:rsid w:val="00C84753"/>
    <w:rsid w:val="00C91611"/>
    <w:rsid w:val="00C94550"/>
    <w:rsid w:val="00C9512C"/>
    <w:rsid w:val="00C96184"/>
    <w:rsid w:val="00C972AA"/>
    <w:rsid w:val="00CA3585"/>
    <w:rsid w:val="00CA3D5A"/>
    <w:rsid w:val="00CA4C7C"/>
    <w:rsid w:val="00CB0183"/>
    <w:rsid w:val="00CB1EA3"/>
    <w:rsid w:val="00CB3F5F"/>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41102"/>
    <w:rsid w:val="00D42C2D"/>
    <w:rsid w:val="00D54F75"/>
    <w:rsid w:val="00D56178"/>
    <w:rsid w:val="00D56CF0"/>
    <w:rsid w:val="00D56F5C"/>
    <w:rsid w:val="00D62495"/>
    <w:rsid w:val="00D66DA3"/>
    <w:rsid w:val="00D67AAC"/>
    <w:rsid w:val="00D704B1"/>
    <w:rsid w:val="00D70B63"/>
    <w:rsid w:val="00D72B92"/>
    <w:rsid w:val="00D72ED4"/>
    <w:rsid w:val="00D73F61"/>
    <w:rsid w:val="00D754C0"/>
    <w:rsid w:val="00D776A2"/>
    <w:rsid w:val="00D801C4"/>
    <w:rsid w:val="00D90836"/>
    <w:rsid w:val="00D95896"/>
    <w:rsid w:val="00D95CC6"/>
    <w:rsid w:val="00D9692B"/>
    <w:rsid w:val="00D9703A"/>
    <w:rsid w:val="00DA2DA3"/>
    <w:rsid w:val="00DA6615"/>
    <w:rsid w:val="00DA745D"/>
    <w:rsid w:val="00DA76AE"/>
    <w:rsid w:val="00DB181E"/>
    <w:rsid w:val="00DB1C7A"/>
    <w:rsid w:val="00DB2983"/>
    <w:rsid w:val="00DB343D"/>
    <w:rsid w:val="00DB5579"/>
    <w:rsid w:val="00DB5CFE"/>
    <w:rsid w:val="00DC0793"/>
    <w:rsid w:val="00DC4D0C"/>
    <w:rsid w:val="00DC72A6"/>
    <w:rsid w:val="00DD2113"/>
    <w:rsid w:val="00DD265E"/>
    <w:rsid w:val="00DD7107"/>
    <w:rsid w:val="00DE5BB4"/>
    <w:rsid w:val="00DF1930"/>
    <w:rsid w:val="00DF514A"/>
    <w:rsid w:val="00DF641B"/>
    <w:rsid w:val="00DF6CF5"/>
    <w:rsid w:val="00E0358D"/>
    <w:rsid w:val="00E06327"/>
    <w:rsid w:val="00E2064B"/>
    <w:rsid w:val="00E25239"/>
    <w:rsid w:val="00E265B1"/>
    <w:rsid w:val="00E275B0"/>
    <w:rsid w:val="00E33362"/>
    <w:rsid w:val="00E412D0"/>
    <w:rsid w:val="00E41594"/>
    <w:rsid w:val="00E442E6"/>
    <w:rsid w:val="00E47CDB"/>
    <w:rsid w:val="00E566BC"/>
    <w:rsid w:val="00E60982"/>
    <w:rsid w:val="00E60C8D"/>
    <w:rsid w:val="00E6162F"/>
    <w:rsid w:val="00E6311B"/>
    <w:rsid w:val="00E65D97"/>
    <w:rsid w:val="00E67EFD"/>
    <w:rsid w:val="00E702DC"/>
    <w:rsid w:val="00E71FFB"/>
    <w:rsid w:val="00E76D1D"/>
    <w:rsid w:val="00E806F8"/>
    <w:rsid w:val="00E844BA"/>
    <w:rsid w:val="00E84979"/>
    <w:rsid w:val="00E87752"/>
    <w:rsid w:val="00E8793B"/>
    <w:rsid w:val="00E90F81"/>
    <w:rsid w:val="00E91A6D"/>
    <w:rsid w:val="00E9242D"/>
    <w:rsid w:val="00E92DB0"/>
    <w:rsid w:val="00EA5E2B"/>
    <w:rsid w:val="00EB041C"/>
    <w:rsid w:val="00EB2431"/>
    <w:rsid w:val="00EC06FC"/>
    <w:rsid w:val="00EC2A21"/>
    <w:rsid w:val="00EC5874"/>
    <w:rsid w:val="00ED192D"/>
    <w:rsid w:val="00ED30B4"/>
    <w:rsid w:val="00ED31F5"/>
    <w:rsid w:val="00EF2759"/>
    <w:rsid w:val="00EF45EB"/>
    <w:rsid w:val="00EF5099"/>
    <w:rsid w:val="00EF5E33"/>
    <w:rsid w:val="00EF76EE"/>
    <w:rsid w:val="00F00075"/>
    <w:rsid w:val="00F013A0"/>
    <w:rsid w:val="00F07822"/>
    <w:rsid w:val="00F15C95"/>
    <w:rsid w:val="00F22985"/>
    <w:rsid w:val="00F241AB"/>
    <w:rsid w:val="00F25F27"/>
    <w:rsid w:val="00F309B0"/>
    <w:rsid w:val="00F31382"/>
    <w:rsid w:val="00F34639"/>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94B6B"/>
    <w:rsid w:val="00FA301A"/>
    <w:rsid w:val="00FA406A"/>
    <w:rsid w:val="00FA5CB6"/>
    <w:rsid w:val="00FB6197"/>
    <w:rsid w:val="00FC2B3A"/>
    <w:rsid w:val="00FC571E"/>
    <w:rsid w:val="00FC66AC"/>
    <w:rsid w:val="00FD18F4"/>
    <w:rsid w:val="00FD638D"/>
    <w:rsid w:val="00FD74B4"/>
    <w:rsid w:val="00FF09FE"/>
    <w:rsid w:val="00FF1906"/>
    <w:rsid w:val="00FF6FCE"/>
    <w:rsid w:val="00FF7518"/>
    <w:rsid w:val="00FF7FD8"/>
    <w:rsid w:val="010148BA"/>
    <w:rsid w:val="017F5A80"/>
    <w:rsid w:val="01826A17"/>
    <w:rsid w:val="01D74476"/>
    <w:rsid w:val="01FB40D3"/>
    <w:rsid w:val="022E7839"/>
    <w:rsid w:val="027A5DCC"/>
    <w:rsid w:val="02963DFC"/>
    <w:rsid w:val="036D7252"/>
    <w:rsid w:val="03F11C32"/>
    <w:rsid w:val="04177352"/>
    <w:rsid w:val="04A06B9C"/>
    <w:rsid w:val="04A824B6"/>
    <w:rsid w:val="04AD0065"/>
    <w:rsid w:val="04B8274F"/>
    <w:rsid w:val="04E73676"/>
    <w:rsid w:val="04F55751"/>
    <w:rsid w:val="05742AC8"/>
    <w:rsid w:val="05A766D5"/>
    <w:rsid w:val="05EF4AFD"/>
    <w:rsid w:val="05F51748"/>
    <w:rsid w:val="061439B5"/>
    <w:rsid w:val="062177BA"/>
    <w:rsid w:val="06352F05"/>
    <w:rsid w:val="063E7D85"/>
    <w:rsid w:val="068154EF"/>
    <w:rsid w:val="068E5516"/>
    <w:rsid w:val="06BF7693"/>
    <w:rsid w:val="070875E0"/>
    <w:rsid w:val="071E2EF6"/>
    <w:rsid w:val="07293586"/>
    <w:rsid w:val="07295285"/>
    <w:rsid w:val="0733292A"/>
    <w:rsid w:val="074D020D"/>
    <w:rsid w:val="07770C56"/>
    <w:rsid w:val="077E1E05"/>
    <w:rsid w:val="080956F8"/>
    <w:rsid w:val="08A75760"/>
    <w:rsid w:val="08C90D80"/>
    <w:rsid w:val="092217DD"/>
    <w:rsid w:val="093A7294"/>
    <w:rsid w:val="097430E9"/>
    <w:rsid w:val="09D910D8"/>
    <w:rsid w:val="09DD4CD4"/>
    <w:rsid w:val="0A047FD7"/>
    <w:rsid w:val="0A382873"/>
    <w:rsid w:val="0A59268B"/>
    <w:rsid w:val="0A7F1F4F"/>
    <w:rsid w:val="0A9F2B76"/>
    <w:rsid w:val="0AAF3695"/>
    <w:rsid w:val="0B4A014B"/>
    <w:rsid w:val="0BAA7E22"/>
    <w:rsid w:val="0BD27BF6"/>
    <w:rsid w:val="0BE71EE1"/>
    <w:rsid w:val="0C9320DF"/>
    <w:rsid w:val="0CEA36C2"/>
    <w:rsid w:val="0D4112FE"/>
    <w:rsid w:val="0D7F4E98"/>
    <w:rsid w:val="0D935B07"/>
    <w:rsid w:val="0D98311E"/>
    <w:rsid w:val="0E0D7180"/>
    <w:rsid w:val="0E110D06"/>
    <w:rsid w:val="0E47197E"/>
    <w:rsid w:val="0E4B0521"/>
    <w:rsid w:val="0EA21DA1"/>
    <w:rsid w:val="0EA60570"/>
    <w:rsid w:val="0EC80FAD"/>
    <w:rsid w:val="0F13775A"/>
    <w:rsid w:val="0F9A112B"/>
    <w:rsid w:val="0FA8524B"/>
    <w:rsid w:val="10045348"/>
    <w:rsid w:val="10172A20"/>
    <w:rsid w:val="1060486A"/>
    <w:rsid w:val="106D2F64"/>
    <w:rsid w:val="106F6239"/>
    <w:rsid w:val="108A1307"/>
    <w:rsid w:val="10A14631"/>
    <w:rsid w:val="10B63710"/>
    <w:rsid w:val="10BB16AA"/>
    <w:rsid w:val="10D254D4"/>
    <w:rsid w:val="111C2F7A"/>
    <w:rsid w:val="113013DE"/>
    <w:rsid w:val="115F398D"/>
    <w:rsid w:val="12275AFF"/>
    <w:rsid w:val="122B06C2"/>
    <w:rsid w:val="12AC1431"/>
    <w:rsid w:val="130059ED"/>
    <w:rsid w:val="13491142"/>
    <w:rsid w:val="134A40DB"/>
    <w:rsid w:val="1373581D"/>
    <w:rsid w:val="138D68EC"/>
    <w:rsid w:val="13951726"/>
    <w:rsid w:val="13BB6F57"/>
    <w:rsid w:val="13EC5F71"/>
    <w:rsid w:val="14396509"/>
    <w:rsid w:val="1447165C"/>
    <w:rsid w:val="14515DD5"/>
    <w:rsid w:val="148A7DDC"/>
    <w:rsid w:val="150B6CB2"/>
    <w:rsid w:val="15374C7E"/>
    <w:rsid w:val="153B1F58"/>
    <w:rsid w:val="15760802"/>
    <w:rsid w:val="157D052D"/>
    <w:rsid w:val="160F4456"/>
    <w:rsid w:val="1647748F"/>
    <w:rsid w:val="166F37E9"/>
    <w:rsid w:val="16B37528"/>
    <w:rsid w:val="16F621E5"/>
    <w:rsid w:val="172B7C90"/>
    <w:rsid w:val="173A5883"/>
    <w:rsid w:val="17431E94"/>
    <w:rsid w:val="1772317E"/>
    <w:rsid w:val="17735226"/>
    <w:rsid w:val="177473D1"/>
    <w:rsid w:val="179A71B4"/>
    <w:rsid w:val="17EB04F5"/>
    <w:rsid w:val="185A794E"/>
    <w:rsid w:val="1876405C"/>
    <w:rsid w:val="189A0A44"/>
    <w:rsid w:val="18B51073"/>
    <w:rsid w:val="19112B8E"/>
    <w:rsid w:val="194C3497"/>
    <w:rsid w:val="1958595E"/>
    <w:rsid w:val="19643C5F"/>
    <w:rsid w:val="19CC6172"/>
    <w:rsid w:val="19DF74D2"/>
    <w:rsid w:val="1A1C66C0"/>
    <w:rsid w:val="1A360EF6"/>
    <w:rsid w:val="1A42393B"/>
    <w:rsid w:val="1A6F76A6"/>
    <w:rsid w:val="1A785992"/>
    <w:rsid w:val="1A9A72ED"/>
    <w:rsid w:val="1B046F80"/>
    <w:rsid w:val="1B074818"/>
    <w:rsid w:val="1B3267B5"/>
    <w:rsid w:val="1B861D81"/>
    <w:rsid w:val="1BC25DC8"/>
    <w:rsid w:val="1BC926F7"/>
    <w:rsid w:val="1BE1444C"/>
    <w:rsid w:val="1BEC0262"/>
    <w:rsid w:val="1C5E7925"/>
    <w:rsid w:val="1C683D33"/>
    <w:rsid w:val="1C73758F"/>
    <w:rsid w:val="1C7F5BD5"/>
    <w:rsid w:val="1C887FC8"/>
    <w:rsid w:val="1CB0730E"/>
    <w:rsid w:val="1CF73B37"/>
    <w:rsid w:val="1D0C4F8F"/>
    <w:rsid w:val="1D502DB4"/>
    <w:rsid w:val="1D5F6196"/>
    <w:rsid w:val="1D6132A5"/>
    <w:rsid w:val="1D8E56D5"/>
    <w:rsid w:val="1D9B56EE"/>
    <w:rsid w:val="1DDF1B3A"/>
    <w:rsid w:val="1DE1641B"/>
    <w:rsid w:val="1E426370"/>
    <w:rsid w:val="1E522444"/>
    <w:rsid w:val="1E7A43DA"/>
    <w:rsid w:val="1E875215"/>
    <w:rsid w:val="1EB11053"/>
    <w:rsid w:val="1EB277FE"/>
    <w:rsid w:val="1EC96E17"/>
    <w:rsid w:val="1EE04FE4"/>
    <w:rsid w:val="1EEF0E17"/>
    <w:rsid w:val="1F106FB8"/>
    <w:rsid w:val="1F1A76B0"/>
    <w:rsid w:val="1F9A2D26"/>
    <w:rsid w:val="1FE7539E"/>
    <w:rsid w:val="1FE84511"/>
    <w:rsid w:val="20426918"/>
    <w:rsid w:val="20963CB8"/>
    <w:rsid w:val="20B07FB6"/>
    <w:rsid w:val="20C261DB"/>
    <w:rsid w:val="20DD4FF7"/>
    <w:rsid w:val="213B74B1"/>
    <w:rsid w:val="215A2310"/>
    <w:rsid w:val="21710889"/>
    <w:rsid w:val="2178675E"/>
    <w:rsid w:val="218726D6"/>
    <w:rsid w:val="218F3D3D"/>
    <w:rsid w:val="219E4DC7"/>
    <w:rsid w:val="21B0691B"/>
    <w:rsid w:val="21DE318A"/>
    <w:rsid w:val="21EF5B80"/>
    <w:rsid w:val="221901C6"/>
    <w:rsid w:val="22576990"/>
    <w:rsid w:val="227923A3"/>
    <w:rsid w:val="227D367D"/>
    <w:rsid w:val="229C4EAB"/>
    <w:rsid w:val="22A04AF7"/>
    <w:rsid w:val="239012F5"/>
    <w:rsid w:val="23D81AA0"/>
    <w:rsid w:val="240115C5"/>
    <w:rsid w:val="25185B50"/>
    <w:rsid w:val="252D53FE"/>
    <w:rsid w:val="254A071E"/>
    <w:rsid w:val="25EC2D81"/>
    <w:rsid w:val="264528BD"/>
    <w:rsid w:val="26521602"/>
    <w:rsid w:val="26600825"/>
    <w:rsid w:val="26802C75"/>
    <w:rsid w:val="2680332A"/>
    <w:rsid w:val="26846132"/>
    <w:rsid w:val="26C8536B"/>
    <w:rsid w:val="27276ACA"/>
    <w:rsid w:val="277D7501"/>
    <w:rsid w:val="27A26C1B"/>
    <w:rsid w:val="27B75C48"/>
    <w:rsid w:val="27BA71F9"/>
    <w:rsid w:val="27BB0A3D"/>
    <w:rsid w:val="27D15DD1"/>
    <w:rsid w:val="27DB5F60"/>
    <w:rsid w:val="27FC2F0D"/>
    <w:rsid w:val="2807481C"/>
    <w:rsid w:val="283C0782"/>
    <w:rsid w:val="28697739"/>
    <w:rsid w:val="289E2BC5"/>
    <w:rsid w:val="28A16482"/>
    <w:rsid w:val="28A76295"/>
    <w:rsid w:val="29206EB8"/>
    <w:rsid w:val="292F5DAD"/>
    <w:rsid w:val="296C0024"/>
    <w:rsid w:val="29AA2EED"/>
    <w:rsid w:val="29DF7CB3"/>
    <w:rsid w:val="29E325E0"/>
    <w:rsid w:val="2A452503"/>
    <w:rsid w:val="2A482AAB"/>
    <w:rsid w:val="2A587AE6"/>
    <w:rsid w:val="2AA6024C"/>
    <w:rsid w:val="2AF176A3"/>
    <w:rsid w:val="2B17660D"/>
    <w:rsid w:val="2BA936A8"/>
    <w:rsid w:val="2C315A5A"/>
    <w:rsid w:val="2C5250BA"/>
    <w:rsid w:val="2CD625E7"/>
    <w:rsid w:val="2CD72C21"/>
    <w:rsid w:val="2CDB4B6F"/>
    <w:rsid w:val="2D790B1C"/>
    <w:rsid w:val="2D8C3815"/>
    <w:rsid w:val="2D9E56F5"/>
    <w:rsid w:val="2DC31D14"/>
    <w:rsid w:val="2DFF30EC"/>
    <w:rsid w:val="2E285745"/>
    <w:rsid w:val="2E667F96"/>
    <w:rsid w:val="2E7201B8"/>
    <w:rsid w:val="2E8226AB"/>
    <w:rsid w:val="2E9A23CB"/>
    <w:rsid w:val="2EA42359"/>
    <w:rsid w:val="2EA9088F"/>
    <w:rsid w:val="2EB21E3A"/>
    <w:rsid w:val="2EDA6C9B"/>
    <w:rsid w:val="2F2C2DF5"/>
    <w:rsid w:val="2F5702EB"/>
    <w:rsid w:val="2F603644"/>
    <w:rsid w:val="2F832C79"/>
    <w:rsid w:val="2F9432ED"/>
    <w:rsid w:val="2FC52CA9"/>
    <w:rsid w:val="2FEF2D58"/>
    <w:rsid w:val="2FF7387C"/>
    <w:rsid w:val="2FFF6721"/>
    <w:rsid w:val="30580BC9"/>
    <w:rsid w:val="30C15D8F"/>
    <w:rsid w:val="311E2ED7"/>
    <w:rsid w:val="313C5B35"/>
    <w:rsid w:val="315C449C"/>
    <w:rsid w:val="317F687D"/>
    <w:rsid w:val="31817949"/>
    <w:rsid w:val="31A03B1E"/>
    <w:rsid w:val="31B74046"/>
    <w:rsid w:val="31B82709"/>
    <w:rsid w:val="31DD6022"/>
    <w:rsid w:val="321D3A6E"/>
    <w:rsid w:val="32400B34"/>
    <w:rsid w:val="32586854"/>
    <w:rsid w:val="325E6EBA"/>
    <w:rsid w:val="3268280F"/>
    <w:rsid w:val="3293390D"/>
    <w:rsid w:val="329E6876"/>
    <w:rsid w:val="32C229E5"/>
    <w:rsid w:val="32E15982"/>
    <w:rsid w:val="32F347CF"/>
    <w:rsid w:val="33153DF8"/>
    <w:rsid w:val="33B43F5E"/>
    <w:rsid w:val="33C913EC"/>
    <w:rsid w:val="33D934D4"/>
    <w:rsid w:val="33FE2F6A"/>
    <w:rsid w:val="35076310"/>
    <w:rsid w:val="35496928"/>
    <w:rsid w:val="35712A5E"/>
    <w:rsid w:val="357240D1"/>
    <w:rsid w:val="35A70E1F"/>
    <w:rsid w:val="35AD335B"/>
    <w:rsid w:val="35BF6BEA"/>
    <w:rsid w:val="36074A7F"/>
    <w:rsid w:val="36923549"/>
    <w:rsid w:val="36B75FBF"/>
    <w:rsid w:val="36F2026F"/>
    <w:rsid w:val="36F627CD"/>
    <w:rsid w:val="36FB4891"/>
    <w:rsid w:val="37044CBC"/>
    <w:rsid w:val="37B00EE0"/>
    <w:rsid w:val="381A5472"/>
    <w:rsid w:val="38201B23"/>
    <w:rsid w:val="382E48D7"/>
    <w:rsid w:val="38F12CD3"/>
    <w:rsid w:val="38F94775"/>
    <w:rsid w:val="38FC653F"/>
    <w:rsid w:val="392971ED"/>
    <w:rsid w:val="39444501"/>
    <w:rsid w:val="395A5904"/>
    <w:rsid w:val="39A15DE2"/>
    <w:rsid w:val="39BD1693"/>
    <w:rsid w:val="39E14009"/>
    <w:rsid w:val="3AF85302"/>
    <w:rsid w:val="3B1D42F5"/>
    <w:rsid w:val="3B3763D1"/>
    <w:rsid w:val="3C060031"/>
    <w:rsid w:val="3C1110A5"/>
    <w:rsid w:val="3C2E5791"/>
    <w:rsid w:val="3C3663D5"/>
    <w:rsid w:val="3C4D75C6"/>
    <w:rsid w:val="3C76577A"/>
    <w:rsid w:val="3CDA245A"/>
    <w:rsid w:val="3CEE0A37"/>
    <w:rsid w:val="3D207181"/>
    <w:rsid w:val="3D376AD3"/>
    <w:rsid w:val="3D715F5C"/>
    <w:rsid w:val="3D874491"/>
    <w:rsid w:val="3D8B2497"/>
    <w:rsid w:val="3D9B618F"/>
    <w:rsid w:val="3DFF40EC"/>
    <w:rsid w:val="3E0D6B52"/>
    <w:rsid w:val="3E6818BC"/>
    <w:rsid w:val="3EBA43F3"/>
    <w:rsid w:val="3EDF6F5A"/>
    <w:rsid w:val="3F1A035E"/>
    <w:rsid w:val="3F660E74"/>
    <w:rsid w:val="3FAC706D"/>
    <w:rsid w:val="3FF55403"/>
    <w:rsid w:val="407A6407"/>
    <w:rsid w:val="40A525DB"/>
    <w:rsid w:val="40D70587"/>
    <w:rsid w:val="40F260C6"/>
    <w:rsid w:val="412A3AB2"/>
    <w:rsid w:val="4170169D"/>
    <w:rsid w:val="419374D7"/>
    <w:rsid w:val="41A5138A"/>
    <w:rsid w:val="41C11C79"/>
    <w:rsid w:val="41FB7030"/>
    <w:rsid w:val="423A3BCC"/>
    <w:rsid w:val="423E39B5"/>
    <w:rsid w:val="425F3270"/>
    <w:rsid w:val="428A7A2E"/>
    <w:rsid w:val="432C2AB8"/>
    <w:rsid w:val="433A6FE6"/>
    <w:rsid w:val="4350713C"/>
    <w:rsid w:val="436653E0"/>
    <w:rsid w:val="43D90482"/>
    <w:rsid w:val="4456696C"/>
    <w:rsid w:val="44775260"/>
    <w:rsid w:val="449328CD"/>
    <w:rsid w:val="44BF787B"/>
    <w:rsid w:val="44CD14E0"/>
    <w:rsid w:val="44EB2575"/>
    <w:rsid w:val="453D1FC4"/>
    <w:rsid w:val="453F22C4"/>
    <w:rsid w:val="458946E9"/>
    <w:rsid w:val="4614508A"/>
    <w:rsid w:val="462C3E28"/>
    <w:rsid w:val="46497FE9"/>
    <w:rsid w:val="46626485"/>
    <w:rsid w:val="46D955A7"/>
    <w:rsid w:val="47133957"/>
    <w:rsid w:val="47571378"/>
    <w:rsid w:val="4779329E"/>
    <w:rsid w:val="47A07E0C"/>
    <w:rsid w:val="47BE7CC8"/>
    <w:rsid w:val="4870272E"/>
    <w:rsid w:val="48710218"/>
    <w:rsid w:val="487B278C"/>
    <w:rsid w:val="48853EDB"/>
    <w:rsid w:val="4893018E"/>
    <w:rsid w:val="48AE2FE4"/>
    <w:rsid w:val="48DD3AFF"/>
    <w:rsid w:val="48F54553"/>
    <w:rsid w:val="49564709"/>
    <w:rsid w:val="49B3380C"/>
    <w:rsid w:val="49DC7715"/>
    <w:rsid w:val="49F627D4"/>
    <w:rsid w:val="4A023139"/>
    <w:rsid w:val="4A201157"/>
    <w:rsid w:val="4A5F23F3"/>
    <w:rsid w:val="4A7B576F"/>
    <w:rsid w:val="4ABE2B7F"/>
    <w:rsid w:val="4AC72D14"/>
    <w:rsid w:val="4AD133AE"/>
    <w:rsid w:val="4B180E1F"/>
    <w:rsid w:val="4B48451F"/>
    <w:rsid w:val="4B773D97"/>
    <w:rsid w:val="4B9F1C20"/>
    <w:rsid w:val="4BDA60D4"/>
    <w:rsid w:val="4BFF4E26"/>
    <w:rsid w:val="4C436D77"/>
    <w:rsid w:val="4C4A0649"/>
    <w:rsid w:val="4C672F11"/>
    <w:rsid w:val="4C8C1898"/>
    <w:rsid w:val="4CE470D3"/>
    <w:rsid w:val="4D064B50"/>
    <w:rsid w:val="4D3017F6"/>
    <w:rsid w:val="4D553C64"/>
    <w:rsid w:val="4D926C66"/>
    <w:rsid w:val="4DBC4A00"/>
    <w:rsid w:val="4DEC4FB0"/>
    <w:rsid w:val="4DF70283"/>
    <w:rsid w:val="4E075D8A"/>
    <w:rsid w:val="4E306E72"/>
    <w:rsid w:val="4E7E71EB"/>
    <w:rsid w:val="4EAE3291"/>
    <w:rsid w:val="4F0A5FD9"/>
    <w:rsid w:val="4F2D4452"/>
    <w:rsid w:val="4F496196"/>
    <w:rsid w:val="4F4E4E0F"/>
    <w:rsid w:val="4F84774B"/>
    <w:rsid w:val="4F87189E"/>
    <w:rsid w:val="4FC62A8C"/>
    <w:rsid w:val="4FD277EE"/>
    <w:rsid w:val="4FE20F0D"/>
    <w:rsid w:val="50113048"/>
    <w:rsid w:val="502913D8"/>
    <w:rsid w:val="504B134F"/>
    <w:rsid w:val="50504C4B"/>
    <w:rsid w:val="507C3BFE"/>
    <w:rsid w:val="509C6E7C"/>
    <w:rsid w:val="50F07163"/>
    <w:rsid w:val="510F2360"/>
    <w:rsid w:val="5162104E"/>
    <w:rsid w:val="51693DBC"/>
    <w:rsid w:val="51C70EA9"/>
    <w:rsid w:val="51F1598A"/>
    <w:rsid w:val="52184692"/>
    <w:rsid w:val="5278478B"/>
    <w:rsid w:val="530B28F6"/>
    <w:rsid w:val="534A5F6F"/>
    <w:rsid w:val="53A039CC"/>
    <w:rsid w:val="53A1505A"/>
    <w:rsid w:val="53F25CC6"/>
    <w:rsid w:val="54063E08"/>
    <w:rsid w:val="543437E8"/>
    <w:rsid w:val="54671C9D"/>
    <w:rsid w:val="54DC4C6B"/>
    <w:rsid w:val="559B174B"/>
    <w:rsid w:val="55C776C9"/>
    <w:rsid w:val="55CE0CF4"/>
    <w:rsid w:val="56111A35"/>
    <w:rsid w:val="56AA398C"/>
    <w:rsid w:val="56B22A9C"/>
    <w:rsid w:val="570E1EB7"/>
    <w:rsid w:val="57B72A76"/>
    <w:rsid w:val="57C031C6"/>
    <w:rsid w:val="58816255"/>
    <w:rsid w:val="58970E69"/>
    <w:rsid w:val="58F9403E"/>
    <w:rsid w:val="59D81EA5"/>
    <w:rsid w:val="5A1F5D26"/>
    <w:rsid w:val="5A3C747D"/>
    <w:rsid w:val="5A5875AA"/>
    <w:rsid w:val="5A881E40"/>
    <w:rsid w:val="5AA24261"/>
    <w:rsid w:val="5ABE2233"/>
    <w:rsid w:val="5B276D18"/>
    <w:rsid w:val="5B3E21DC"/>
    <w:rsid w:val="5BC63165"/>
    <w:rsid w:val="5BDF5D95"/>
    <w:rsid w:val="5C613D7C"/>
    <w:rsid w:val="5C9D5FC9"/>
    <w:rsid w:val="5CAF131C"/>
    <w:rsid w:val="5CB14C2F"/>
    <w:rsid w:val="5D1551BE"/>
    <w:rsid w:val="5D163F19"/>
    <w:rsid w:val="5D643C45"/>
    <w:rsid w:val="5D6E4FA7"/>
    <w:rsid w:val="5D9C143B"/>
    <w:rsid w:val="5D9D4FC1"/>
    <w:rsid w:val="5DF87A0F"/>
    <w:rsid w:val="5E027AA1"/>
    <w:rsid w:val="5E1540A7"/>
    <w:rsid w:val="5E190CDE"/>
    <w:rsid w:val="5EA979BB"/>
    <w:rsid w:val="5EC92704"/>
    <w:rsid w:val="5F17346F"/>
    <w:rsid w:val="5F1A276E"/>
    <w:rsid w:val="5F1A2B43"/>
    <w:rsid w:val="5F42712D"/>
    <w:rsid w:val="5F4932A1"/>
    <w:rsid w:val="5FAB12DF"/>
    <w:rsid w:val="5FB837BB"/>
    <w:rsid w:val="600D03CE"/>
    <w:rsid w:val="601F1234"/>
    <w:rsid w:val="602D0CDD"/>
    <w:rsid w:val="604A71E1"/>
    <w:rsid w:val="605F15F0"/>
    <w:rsid w:val="60631340"/>
    <w:rsid w:val="60B77FA4"/>
    <w:rsid w:val="61510976"/>
    <w:rsid w:val="615979AE"/>
    <w:rsid w:val="6160706F"/>
    <w:rsid w:val="6176035B"/>
    <w:rsid w:val="61781D5C"/>
    <w:rsid w:val="61A046AA"/>
    <w:rsid w:val="61C80A51"/>
    <w:rsid w:val="61DE479E"/>
    <w:rsid w:val="62364782"/>
    <w:rsid w:val="6288686E"/>
    <w:rsid w:val="62BF3237"/>
    <w:rsid w:val="62C16D24"/>
    <w:rsid w:val="631B2E02"/>
    <w:rsid w:val="632845D1"/>
    <w:rsid w:val="63360671"/>
    <w:rsid w:val="63632C62"/>
    <w:rsid w:val="63D40BE9"/>
    <w:rsid w:val="63E0211F"/>
    <w:rsid w:val="64145C3D"/>
    <w:rsid w:val="64640DD4"/>
    <w:rsid w:val="64D43B23"/>
    <w:rsid w:val="650F495B"/>
    <w:rsid w:val="65312DB1"/>
    <w:rsid w:val="65373578"/>
    <w:rsid w:val="654D76AF"/>
    <w:rsid w:val="65FF58D0"/>
    <w:rsid w:val="660839B2"/>
    <w:rsid w:val="6680594D"/>
    <w:rsid w:val="66CC2D91"/>
    <w:rsid w:val="67193AFD"/>
    <w:rsid w:val="67381295"/>
    <w:rsid w:val="673F2C7A"/>
    <w:rsid w:val="67541249"/>
    <w:rsid w:val="680A4CF9"/>
    <w:rsid w:val="681E0E8E"/>
    <w:rsid w:val="681F6961"/>
    <w:rsid w:val="68610A2F"/>
    <w:rsid w:val="68805514"/>
    <w:rsid w:val="68A62A3A"/>
    <w:rsid w:val="68E6326C"/>
    <w:rsid w:val="68EE287C"/>
    <w:rsid w:val="68F105D6"/>
    <w:rsid w:val="692C7B17"/>
    <w:rsid w:val="693E784B"/>
    <w:rsid w:val="694A2606"/>
    <w:rsid w:val="694E2071"/>
    <w:rsid w:val="697A3B33"/>
    <w:rsid w:val="699E2456"/>
    <w:rsid w:val="69B22C27"/>
    <w:rsid w:val="6A0B4B97"/>
    <w:rsid w:val="6A2048FC"/>
    <w:rsid w:val="6A4B66C3"/>
    <w:rsid w:val="6A8E5D0D"/>
    <w:rsid w:val="6AD466B8"/>
    <w:rsid w:val="6B0B3B1B"/>
    <w:rsid w:val="6B322639"/>
    <w:rsid w:val="6BEC1A3D"/>
    <w:rsid w:val="6C636C38"/>
    <w:rsid w:val="6C6A0AC0"/>
    <w:rsid w:val="6CC63F02"/>
    <w:rsid w:val="6CD56718"/>
    <w:rsid w:val="6D1B63EE"/>
    <w:rsid w:val="6D2D0302"/>
    <w:rsid w:val="6D4C57DE"/>
    <w:rsid w:val="6DB1199E"/>
    <w:rsid w:val="6DB34098"/>
    <w:rsid w:val="6DB545B6"/>
    <w:rsid w:val="6E1D0376"/>
    <w:rsid w:val="6E4375A0"/>
    <w:rsid w:val="6E514CED"/>
    <w:rsid w:val="6E79491A"/>
    <w:rsid w:val="6E867CCA"/>
    <w:rsid w:val="6EB563D5"/>
    <w:rsid w:val="6EFB7725"/>
    <w:rsid w:val="6EFF7A7C"/>
    <w:rsid w:val="6F225983"/>
    <w:rsid w:val="6F451933"/>
    <w:rsid w:val="6F56369A"/>
    <w:rsid w:val="6F966CA2"/>
    <w:rsid w:val="6FAF2815"/>
    <w:rsid w:val="6FD911D2"/>
    <w:rsid w:val="6FFC5590"/>
    <w:rsid w:val="70301DA3"/>
    <w:rsid w:val="706D1DD0"/>
    <w:rsid w:val="70856B87"/>
    <w:rsid w:val="70AA7BBA"/>
    <w:rsid w:val="70D527EE"/>
    <w:rsid w:val="70E56EA9"/>
    <w:rsid w:val="71074B3D"/>
    <w:rsid w:val="71247EC9"/>
    <w:rsid w:val="713E17B8"/>
    <w:rsid w:val="715B5300"/>
    <w:rsid w:val="715F4BD7"/>
    <w:rsid w:val="71985851"/>
    <w:rsid w:val="71B431E5"/>
    <w:rsid w:val="71CC2825"/>
    <w:rsid w:val="71D27F8A"/>
    <w:rsid w:val="71F744C6"/>
    <w:rsid w:val="71F960CF"/>
    <w:rsid w:val="721A0347"/>
    <w:rsid w:val="72323CC5"/>
    <w:rsid w:val="727644F9"/>
    <w:rsid w:val="72AE4897"/>
    <w:rsid w:val="72DF3E4C"/>
    <w:rsid w:val="72EA66DF"/>
    <w:rsid w:val="73155743"/>
    <w:rsid w:val="731F5D5E"/>
    <w:rsid w:val="73A76E7D"/>
    <w:rsid w:val="73A80E1A"/>
    <w:rsid w:val="73D5511B"/>
    <w:rsid w:val="740823FA"/>
    <w:rsid w:val="741E793C"/>
    <w:rsid w:val="743401C8"/>
    <w:rsid w:val="753036BF"/>
    <w:rsid w:val="758D75E2"/>
    <w:rsid w:val="766473FB"/>
    <w:rsid w:val="7672554F"/>
    <w:rsid w:val="76BF7B13"/>
    <w:rsid w:val="76F837EC"/>
    <w:rsid w:val="77133CA5"/>
    <w:rsid w:val="77435747"/>
    <w:rsid w:val="77762421"/>
    <w:rsid w:val="77787812"/>
    <w:rsid w:val="780F09F4"/>
    <w:rsid w:val="7819395D"/>
    <w:rsid w:val="785D5F3F"/>
    <w:rsid w:val="789C4F47"/>
    <w:rsid w:val="78A90480"/>
    <w:rsid w:val="78C966FA"/>
    <w:rsid w:val="78D64D7F"/>
    <w:rsid w:val="796C425B"/>
    <w:rsid w:val="79811327"/>
    <w:rsid w:val="79A466C4"/>
    <w:rsid w:val="79DA27D4"/>
    <w:rsid w:val="7A364017"/>
    <w:rsid w:val="7A8265E1"/>
    <w:rsid w:val="7ACD5C98"/>
    <w:rsid w:val="7ADA34B9"/>
    <w:rsid w:val="7B0D52CF"/>
    <w:rsid w:val="7B686D42"/>
    <w:rsid w:val="7B841746"/>
    <w:rsid w:val="7B877537"/>
    <w:rsid w:val="7BAC6C79"/>
    <w:rsid w:val="7C44454C"/>
    <w:rsid w:val="7C695805"/>
    <w:rsid w:val="7C765821"/>
    <w:rsid w:val="7C903877"/>
    <w:rsid w:val="7CED53B8"/>
    <w:rsid w:val="7CF12341"/>
    <w:rsid w:val="7D0239FF"/>
    <w:rsid w:val="7D5E40CD"/>
    <w:rsid w:val="7D693BED"/>
    <w:rsid w:val="7D833F43"/>
    <w:rsid w:val="7DC636D8"/>
    <w:rsid w:val="7E3B2029"/>
    <w:rsid w:val="7F0E5E67"/>
    <w:rsid w:val="7F63353B"/>
    <w:rsid w:val="7FE37A45"/>
    <w:rsid w:val="7FE47E50"/>
    <w:rsid w:val="7FF44B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ocked="1"/>
    <w:lsdException w:qFormat="1" w:unhideWhenUsed="0" w:uiPriority="0"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99"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80"/>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qFormat/>
    <w:locked/>
    <w:uiPriority w:val="0"/>
    <w:pPr>
      <w:spacing w:before="100" w:beforeAutospacing="1" w:after="100" w:afterAutospacing="1"/>
      <w:jc w:val="left"/>
      <w:outlineLvl w:val="2"/>
    </w:pPr>
    <w:rPr>
      <w:rFonts w:hint="eastAsia" w:ascii="宋体" w:hAnsi="宋体"/>
      <w:b/>
      <w:bCs/>
      <w:kern w:val="0"/>
      <w:sz w:val="27"/>
      <w:szCs w:val="27"/>
    </w:rPr>
  </w:style>
  <w:style w:type="paragraph" w:styleId="5">
    <w:name w:val="heading 4"/>
    <w:basedOn w:val="1"/>
    <w:next w:val="1"/>
    <w:link w:val="89"/>
    <w:qFormat/>
    <w:locked/>
    <w:uiPriority w:val="9"/>
    <w:pPr>
      <w:keepNext/>
      <w:keepLines/>
      <w:jc w:val="center"/>
      <w:outlineLvl w:val="3"/>
    </w:pPr>
    <w:rPr>
      <w:b/>
      <w:bCs/>
      <w:kern w:val="0"/>
      <w:szCs w:val="28"/>
    </w:rPr>
  </w:style>
  <w:style w:type="paragraph" w:styleId="6">
    <w:name w:val="heading 5"/>
    <w:basedOn w:val="1"/>
    <w:next w:val="1"/>
    <w:link w:val="8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next w:val="8"/>
    <w:qFormat/>
    <w:uiPriority w:val="0"/>
    <w:pPr>
      <w:spacing w:line="460" w:lineRule="exact"/>
      <w:ind w:firstLine="200"/>
    </w:pPr>
    <w:rPr>
      <w:sz w:val="24"/>
    </w:rPr>
  </w:style>
  <w:style w:type="paragraph" w:customStyle="1" w:styleId="8">
    <w:name w:val="文章"/>
    <w:basedOn w:val="9"/>
    <w:next w:val="10"/>
    <w:autoRedefine/>
    <w:qFormat/>
    <w:uiPriority w:val="0"/>
    <w:pPr>
      <w:widowControl/>
      <w:jc w:val="center"/>
    </w:pPr>
    <w:rPr>
      <w:sz w:val="26"/>
    </w:rPr>
  </w:style>
  <w:style w:type="paragraph" w:styleId="9">
    <w:name w:val="Body Text Indent"/>
    <w:basedOn w:val="1"/>
    <w:link w:val="41"/>
    <w:semiHidden/>
    <w:qFormat/>
    <w:uiPriority w:val="0"/>
    <w:pPr>
      <w:spacing w:after="120"/>
      <w:ind w:left="420" w:leftChars="200"/>
    </w:pPr>
  </w:style>
  <w:style w:type="paragraph" w:styleId="10">
    <w:name w:val="List"/>
    <w:basedOn w:val="1"/>
    <w:next w:val="11"/>
    <w:qFormat/>
    <w:uiPriority w:val="0"/>
    <w:pPr>
      <w:jc w:val="center"/>
    </w:pPr>
  </w:style>
  <w:style w:type="paragraph" w:styleId="11">
    <w:name w:val="List Bullet 2"/>
    <w:basedOn w:val="1"/>
    <w:next w:val="12"/>
    <w:qFormat/>
    <w:uiPriority w:val="0"/>
    <w:pPr>
      <w:numPr>
        <w:ilvl w:val="0"/>
        <w:numId w:val="1"/>
      </w:numPr>
    </w:pPr>
  </w:style>
  <w:style w:type="paragraph" w:customStyle="1" w:styleId="12">
    <w:name w:val="xl70"/>
    <w:basedOn w:val="1"/>
    <w:next w:val="13"/>
    <w:autoRedefine/>
    <w:qFormat/>
    <w:uiPriority w:val="0"/>
    <w:pPr>
      <w:widowControl/>
      <w:spacing w:before="280" w:after="280"/>
    </w:pPr>
    <w:rPr>
      <w:rFonts w:ascii="宋体"/>
    </w:rPr>
  </w:style>
  <w:style w:type="paragraph" w:customStyle="1" w:styleId="13">
    <w:name w:val="正文缩进1"/>
    <w:basedOn w:val="1"/>
    <w:next w:val="14"/>
    <w:autoRedefine/>
    <w:qFormat/>
    <w:uiPriority w:val="0"/>
    <w:pPr>
      <w:ind w:firstLine="420"/>
    </w:pPr>
    <w:rPr>
      <w:szCs w:val="20"/>
    </w:rPr>
  </w:style>
  <w:style w:type="paragraph" w:customStyle="1" w:styleId="14">
    <w:name w:val="td1"/>
    <w:basedOn w:val="1"/>
    <w:next w:val="1"/>
    <w:autoRedefine/>
    <w:qFormat/>
    <w:uiPriority w:val="0"/>
    <w:pPr>
      <w:widowControl/>
      <w:spacing w:before="280" w:after="280" w:line="300" w:lineRule="atLeast"/>
      <w:ind w:firstLine="200"/>
    </w:pPr>
    <w:rPr>
      <w:color w:val="000000"/>
      <w:sz w:val="18"/>
    </w:rPr>
  </w:style>
  <w:style w:type="paragraph" w:styleId="15">
    <w:name w:val="Normal Indent"/>
    <w:basedOn w:val="1"/>
    <w:qFormat/>
    <w:uiPriority w:val="0"/>
    <w:pPr>
      <w:ind w:firstLine="420" w:firstLineChars="200"/>
    </w:pPr>
  </w:style>
  <w:style w:type="paragraph" w:styleId="16">
    <w:name w:val="annotation text"/>
    <w:basedOn w:val="1"/>
    <w:link w:val="39"/>
    <w:semiHidden/>
    <w:qFormat/>
    <w:uiPriority w:val="0"/>
    <w:pPr>
      <w:jc w:val="left"/>
    </w:pPr>
    <w:rPr>
      <w:kern w:val="0"/>
      <w:sz w:val="20"/>
    </w:rPr>
  </w:style>
  <w:style w:type="paragraph" w:styleId="17">
    <w:name w:val="Body Text"/>
    <w:basedOn w:val="1"/>
    <w:next w:val="18"/>
    <w:link w:val="40"/>
    <w:qFormat/>
    <w:uiPriority w:val="0"/>
    <w:pPr>
      <w:widowControl/>
      <w:snapToGrid w:val="0"/>
      <w:spacing w:before="60" w:after="160" w:line="259" w:lineRule="auto"/>
      <w:ind w:right="113"/>
    </w:pPr>
    <w:rPr>
      <w:kern w:val="0"/>
      <w:sz w:val="18"/>
      <w:szCs w:val="18"/>
    </w:rPr>
  </w:style>
  <w:style w:type="paragraph" w:customStyle="1" w:styleId="18">
    <w:name w:val="xl27"/>
    <w:basedOn w:val="1"/>
    <w:autoRedefine/>
    <w:qFormat/>
    <w:uiPriority w:val="0"/>
    <w:pPr>
      <w:widowControl/>
      <w:spacing w:before="100" w:beforeAutospacing="1" w:after="100" w:afterAutospacing="1"/>
      <w:jc w:val="center"/>
      <w:textAlignment w:val="center"/>
    </w:pPr>
    <w:rPr>
      <w:rFonts w:ascii="Arial Unicode MS" w:hAnsi="Arial Unicode MS" w:eastAsia="Arial Unicode MS"/>
      <w:bCs/>
      <w:kern w:val="0"/>
      <w:sz w:val="20"/>
      <w:szCs w:val="32"/>
    </w:rPr>
  </w:style>
  <w:style w:type="paragraph" w:styleId="19">
    <w:name w:val="Plain Text"/>
    <w:basedOn w:val="1"/>
    <w:qFormat/>
    <w:uiPriority w:val="0"/>
    <w:pPr>
      <w:ind w:firstLine="664" w:firstLineChars="200"/>
    </w:pPr>
    <w:rPr>
      <w:rFonts w:ascii="宋体" w:hAnsi="Courier New" w:eastAsia="宋体" w:cs="Times New Roman"/>
      <w:spacing w:val="5"/>
      <w:sz w:val="25"/>
      <w:szCs w:val="25"/>
    </w:rPr>
  </w:style>
  <w:style w:type="paragraph" w:styleId="20">
    <w:name w:val="Date"/>
    <w:basedOn w:val="1"/>
    <w:next w:val="1"/>
    <w:link w:val="42"/>
    <w:qFormat/>
    <w:uiPriority w:val="0"/>
    <w:pPr>
      <w:ind w:left="100" w:leftChars="2500"/>
    </w:pPr>
    <w:rPr>
      <w:kern w:val="0"/>
      <w:sz w:val="20"/>
    </w:rPr>
  </w:style>
  <w:style w:type="paragraph" w:styleId="21">
    <w:name w:val="Balloon Text"/>
    <w:basedOn w:val="1"/>
    <w:link w:val="43"/>
    <w:semiHidden/>
    <w:qFormat/>
    <w:uiPriority w:val="0"/>
    <w:rPr>
      <w:sz w:val="18"/>
      <w:szCs w:val="18"/>
    </w:rPr>
  </w:style>
  <w:style w:type="paragraph" w:styleId="22">
    <w:name w:val="footer"/>
    <w:basedOn w:val="1"/>
    <w:link w:val="44"/>
    <w:qFormat/>
    <w:uiPriority w:val="0"/>
    <w:pPr>
      <w:tabs>
        <w:tab w:val="center" w:pos="4153"/>
        <w:tab w:val="right" w:pos="8306"/>
      </w:tabs>
      <w:snapToGrid w:val="0"/>
      <w:jc w:val="left"/>
    </w:pPr>
    <w:rPr>
      <w:sz w:val="18"/>
      <w:szCs w:val="18"/>
    </w:rPr>
  </w:style>
  <w:style w:type="paragraph" w:styleId="23">
    <w:name w:val="header"/>
    <w:basedOn w:val="1"/>
    <w:link w:val="45"/>
    <w:qFormat/>
    <w:uiPriority w:val="0"/>
    <w:pPr>
      <w:pBdr>
        <w:bottom w:val="single" w:color="auto" w:sz="6" w:space="1"/>
      </w:pBdr>
      <w:tabs>
        <w:tab w:val="center" w:pos="4153"/>
        <w:tab w:val="right" w:pos="8306"/>
      </w:tabs>
      <w:snapToGrid w:val="0"/>
      <w:jc w:val="center"/>
    </w:pPr>
    <w:rPr>
      <w:sz w:val="18"/>
      <w:szCs w:val="18"/>
    </w:rPr>
  </w:style>
  <w:style w:type="paragraph" w:styleId="24">
    <w:name w:val="Body Text Indent 3"/>
    <w:basedOn w:val="1"/>
    <w:semiHidden/>
    <w:unhideWhenUsed/>
    <w:qFormat/>
    <w:uiPriority w:val="99"/>
    <w:pPr>
      <w:spacing w:after="120"/>
      <w:ind w:left="420" w:leftChars="200"/>
    </w:pPr>
    <w:rPr>
      <w:sz w:val="16"/>
      <w:szCs w:val="16"/>
    </w:rPr>
  </w:style>
  <w:style w:type="paragraph" w:styleId="25">
    <w:name w:val="toc 2"/>
    <w:basedOn w:val="1"/>
    <w:next w:val="7"/>
    <w:qFormat/>
    <w:locked/>
    <w:uiPriority w:val="0"/>
    <w:pPr>
      <w:ind w:left="420" w:leftChars="200"/>
    </w:pPr>
  </w:style>
  <w:style w:type="paragraph" w:styleId="26">
    <w:name w:val="Normal (Web)"/>
    <w:basedOn w:val="1"/>
    <w:link w:val="46"/>
    <w:qFormat/>
    <w:uiPriority w:val="0"/>
    <w:pPr>
      <w:widowControl/>
      <w:spacing w:before="100" w:beforeAutospacing="1" w:after="100" w:afterAutospacing="1"/>
      <w:jc w:val="left"/>
    </w:pPr>
    <w:rPr>
      <w:rFonts w:ascii="宋体" w:hAnsi="宋体"/>
      <w:kern w:val="0"/>
      <w:sz w:val="24"/>
    </w:rPr>
  </w:style>
  <w:style w:type="paragraph" w:styleId="27">
    <w:name w:val="annotation subject"/>
    <w:basedOn w:val="16"/>
    <w:next w:val="16"/>
    <w:link w:val="47"/>
    <w:semiHidden/>
    <w:qFormat/>
    <w:uiPriority w:val="0"/>
    <w:rPr>
      <w:b/>
      <w:bCs/>
    </w:rPr>
  </w:style>
  <w:style w:type="paragraph" w:styleId="28">
    <w:name w:val="Body Text First Indent"/>
    <w:basedOn w:val="17"/>
    <w:next w:val="1"/>
    <w:qFormat/>
    <w:uiPriority w:val="0"/>
    <w:pPr>
      <w:spacing w:line="240" w:lineRule="auto"/>
      <w:ind w:firstLine="420" w:firstLineChars="100"/>
    </w:pPr>
    <w:rPr>
      <w:kern w:val="2"/>
      <w:sz w:val="21"/>
      <w:szCs w:val="24"/>
    </w:rPr>
  </w:style>
  <w:style w:type="paragraph" w:styleId="29">
    <w:name w:val="Body Text First Indent 2"/>
    <w:basedOn w:val="9"/>
    <w:qFormat/>
    <w:uiPriority w:val="0"/>
    <w:pPr>
      <w:ind w:firstLine="420"/>
    </w:p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qFormat/>
    <w:uiPriority w:val="0"/>
  </w:style>
  <w:style w:type="character" w:styleId="34">
    <w:name w:val="annotation reference"/>
    <w:semiHidden/>
    <w:qFormat/>
    <w:uiPriority w:val="0"/>
    <w:rPr>
      <w:sz w:val="21"/>
    </w:rPr>
  </w:style>
  <w:style w:type="paragraph" w:customStyle="1" w:styleId="35">
    <w:name w:val="第一部分"/>
    <w:basedOn w:val="1"/>
    <w:qFormat/>
    <w:uiPriority w:val="0"/>
    <w:pPr>
      <w:autoSpaceDE w:val="0"/>
      <w:autoSpaceDN w:val="0"/>
      <w:adjustRightInd w:val="0"/>
      <w:snapToGrid w:val="0"/>
      <w:spacing w:line="360" w:lineRule="auto"/>
      <w:ind w:firstLine="720" w:firstLineChars="200"/>
    </w:pPr>
    <w:rPr>
      <w:kern w:val="0"/>
      <w:szCs w:val="21"/>
    </w:rPr>
  </w:style>
  <w:style w:type="paragraph" w:customStyle="1" w:styleId="36">
    <w:name w:val="图表1"/>
    <w:basedOn w:val="1"/>
    <w:next w:val="35"/>
    <w:qFormat/>
    <w:uiPriority w:val="0"/>
    <w:pPr>
      <w:jc w:val="center"/>
    </w:pPr>
    <w:rPr>
      <w:rFonts w:cs="宋体"/>
      <w:b/>
      <w:sz w:val="18"/>
      <w:szCs w:val="20"/>
    </w:rPr>
  </w:style>
  <w:style w:type="paragraph" w:customStyle="1" w:styleId="37">
    <w:name w:val="正文图表"/>
    <w:basedOn w:val="1"/>
    <w:next w:val="1"/>
    <w:qFormat/>
    <w:uiPriority w:val="0"/>
    <w:pPr>
      <w:jc w:val="center"/>
    </w:pPr>
    <w:rPr>
      <w:b/>
    </w:rPr>
  </w:style>
  <w:style w:type="paragraph" w:customStyle="1" w:styleId="38">
    <w:name w:val="正文图表内容"/>
    <w:basedOn w:val="1"/>
    <w:qFormat/>
    <w:uiPriority w:val="0"/>
    <w:pPr>
      <w:autoSpaceDE w:val="0"/>
      <w:autoSpaceDN w:val="0"/>
      <w:adjustRightInd w:val="0"/>
      <w:snapToGrid w:val="0"/>
      <w:jc w:val="center"/>
    </w:pPr>
    <w:rPr>
      <w:bCs/>
      <w:color w:val="000000" w:themeColor="text1"/>
      <w:kern w:val="0"/>
      <w:szCs w:val="21"/>
      <w14:textFill>
        <w14:solidFill>
          <w14:schemeClr w14:val="tx1"/>
        </w14:solidFill>
      </w14:textFill>
    </w:rPr>
  </w:style>
  <w:style w:type="character" w:customStyle="1" w:styleId="39">
    <w:name w:val="批注文字 Char"/>
    <w:link w:val="16"/>
    <w:qFormat/>
    <w:locked/>
    <w:uiPriority w:val="0"/>
    <w:rPr>
      <w:rFonts w:ascii="Times New Roman" w:hAnsi="Times New Roman" w:eastAsia="宋体"/>
      <w:sz w:val="24"/>
    </w:rPr>
  </w:style>
  <w:style w:type="character" w:customStyle="1" w:styleId="40">
    <w:name w:val="正文文本 Char"/>
    <w:link w:val="17"/>
    <w:qFormat/>
    <w:locked/>
    <w:uiPriority w:val="0"/>
    <w:rPr>
      <w:sz w:val="18"/>
    </w:rPr>
  </w:style>
  <w:style w:type="character" w:customStyle="1" w:styleId="41">
    <w:name w:val="正文文本缩进 Char"/>
    <w:link w:val="9"/>
    <w:semiHidden/>
    <w:qFormat/>
    <w:locked/>
    <w:uiPriority w:val="0"/>
    <w:rPr>
      <w:rFonts w:ascii="Times New Roman" w:hAnsi="Times New Roman" w:eastAsia="宋体" w:cs="Times New Roman"/>
      <w:sz w:val="24"/>
      <w:szCs w:val="24"/>
    </w:rPr>
  </w:style>
  <w:style w:type="character" w:customStyle="1" w:styleId="42">
    <w:name w:val="日期 Char"/>
    <w:link w:val="20"/>
    <w:qFormat/>
    <w:locked/>
    <w:uiPriority w:val="0"/>
    <w:rPr>
      <w:rFonts w:ascii="Times New Roman" w:hAnsi="Times New Roman" w:eastAsia="宋体"/>
      <w:sz w:val="24"/>
    </w:rPr>
  </w:style>
  <w:style w:type="character" w:customStyle="1" w:styleId="43">
    <w:name w:val="批注框文本 Char"/>
    <w:link w:val="21"/>
    <w:semiHidden/>
    <w:qFormat/>
    <w:locked/>
    <w:uiPriority w:val="0"/>
    <w:rPr>
      <w:rFonts w:ascii="Times New Roman" w:hAnsi="Times New Roman" w:eastAsia="宋体" w:cs="Times New Roman"/>
      <w:sz w:val="18"/>
      <w:szCs w:val="18"/>
    </w:rPr>
  </w:style>
  <w:style w:type="character" w:customStyle="1" w:styleId="44">
    <w:name w:val="页脚 Char"/>
    <w:link w:val="22"/>
    <w:qFormat/>
    <w:locked/>
    <w:uiPriority w:val="0"/>
    <w:rPr>
      <w:rFonts w:cs="Times New Roman"/>
      <w:sz w:val="18"/>
      <w:szCs w:val="18"/>
    </w:rPr>
  </w:style>
  <w:style w:type="character" w:customStyle="1" w:styleId="45">
    <w:name w:val="页眉 Char"/>
    <w:link w:val="23"/>
    <w:qFormat/>
    <w:locked/>
    <w:uiPriority w:val="0"/>
    <w:rPr>
      <w:rFonts w:cs="Times New Roman"/>
      <w:sz w:val="18"/>
      <w:szCs w:val="18"/>
    </w:rPr>
  </w:style>
  <w:style w:type="character" w:customStyle="1" w:styleId="46">
    <w:name w:val="普通(网站) Char1"/>
    <w:link w:val="26"/>
    <w:qFormat/>
    <w:locked/>
    <w:uiPriority w:val="0"/>
    <w:rPr>
      <w:rFonts w:ascii="宋体" w:hAnsi="宋体" w:eastAsia="宋体"/>
      <w:sz w:val="24"/>
    </w:rPr>
  </w:style>
  <w:style w:type="character" w:customStyle="1" w:styleId="47">
    <w:name w:val="批注主题 Char"/>
    <w:link w:val="27"/>
    <w:semiHidden/>
    <w:qFormat/>
    <w:locked/>
    <w:uiPriority w:val="0"/>
    <w:rPr>
      <w:rFonts w:cs="Times New Roman"/>
      <w:b/>
      <w:bCs/>
      <w:kern w:val="2"/>
      <w:szCs w:val="24"/>
    </w:rPr>
  </w:style>
  <w:style w:type="character" w:customStyle="1" w:styleId="48">
    <w:name w:val="日期 字符"/>
    <w:semiHidden/>
    <w:qFormat/>
    <w:uiPriority w:val="0"/>
    <w:rPr>
      <w:rFonts w:ascii="Times New Roman" w:hAnsi="Times New Roman" w:eastAsia="宋体" w:cs="Times New Roman"/>
      <w:sz w:val="24"/>
      <w:szCs w:val="24"/>
    </w:rPr>
  </w:style>
  <w:style w:type="character" w:customStyle="1" w:styleId="49">
    <w:name w:val="正文文本 字符1"/>
    <w:semiHidden/>
    <w:qFormat/>
    <w:uiPriority w:val="0"/>
    <w:rPr>
      <w:rFonts w:ascii="Times New Roman" w:hAnsi="Times New Roman" w:eastAsia="宋体" w:cs="Times New Roman"/>
      <w:sz w:val="24"/>
      <w:szCs w:val="24"/>
    </w:rPr>
  </w:style>
  <w:style w:type="paragraph" w:customStyle="1" w:styleId="50">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1">
    <w:name w:val="表格 Char"/>
    <w:link w:val="52"/>
    <w:qFormat/>
    <w:locked/>
    <w:uiPriority w:val="0"/>
    <w:rPr>
      <w:rFonts w:ascii="宋体"/>
      <w:sz w:val="21"/>
    </w:rPr>
  </w:style>
  <w:style w:type="paragraph" w:customStyle="1" w:styleId="52">
    <w:name w:val="表格"/>
    <w:basedOn w:val="1"/>
    <w:link w:val="51"/>
    <w:qFormat/>
    <w:uiPriority w:val="0"/>
    <w:pPr>
      <w:adjustRightInd w:val="0"/>
      <w:snapToGrid w:val="0"/>
      <w:spacing w:beforeLines="10" w:afterLines="10" w:line="259" w:lineRule="auto"/>
      <w:jc w:val="center"/>
    </w:pPr>
    <w:rPr>
      <w:rFonts w:ascii="宋体"/>
      <w:kern w:val="0"/>
      <w:sz w:val="20"/>
      <w:szCs w:val="21"/>
    </w:rPr>
  </w:style>
  <w:style w:type="character" w:customStyle="1" w:styleId="53">
    <w:name w:val="批注文字 字符1"/>
    <w:semiHidden/>
    <w:qFormat/>
    <w:uiPriority w:val="0"/>
    <w:rPr>
      <w:rFonts w:ascii="Times New Roman" w:hAnsi="Times New Roman" w:eastAsia="宋体" w:cs="Times New Roman"/>
      <w:sz w:val="24"/>
      <w:szCs w:val="24"/>
    </w:rPr>
  </w:style>
  <w:style w:type="character" w:customStyle="1" w:styleId="54">
    <w:name w:val="普通(网站) Char"/>
    <w:qFormat/>
    <w:locked/>
    <w:uiPriority w:val="0"/>
    <w:rPr>
      <w:rFonts w:ascii="宋体" w:hAnsi="宋体" w:eastAsia="宋体"/>
      <w:sz w:val="24"/>
    </w:rPr>
  </w:style>
  <w:style w:type="paragraph" w:customStyle="1" w:styleId="55">
    <w:name w:val="Table Text"/>
    <w:basedOn w:val="1"/>
    <w:semiHidden/>
    <w:qFormat/>
    <w:uiPriority w:val="0"/>
    <w:rPr>
      <w:rFonts w:ascii="宋体" w:hAnsi="宋体" w:cs="宋体"/>
      <w:sz w:val="24"/>
      <w:lang w:eastAsia="en-US"/>
    </w:rPr>
  </w:style>
  <w:style w:type="table" w:customStyle="1" w:styleId="56">
    <w:name w:val="Table Normal"/>
    <w:unhideWhenUsed/>
    <w:qFormat/>
    <w:uiPriority w:val="0"/>
    <w:tblPr>
      <w:tblCellMar>
        <w:top w:w="0" w:type="dxa"/>
        <w:left w:w="0" w:type="dxa"/>
        <w:bottom w:w="0" w:type="dxa"/>
        <w:right w:w="0" w:type="dxa"/>
      </w:tblCellMar>
    </w:tblPr>
  </w:style>
  <w:style w:type="character" w:customStyle="1" w:styleId="57">
    <w:name w:val="font01"/>
    <w:qFormat/>
    <w:uiPriority w:val="0"/>
    <w:rPr>
      <w:rFonts w:hint="default" w:ascii="Arial" w:hAnsi="Arial" w:cs="Arial"/>
      <w:color w:val="000000"/>
      <w:sz w:val="22"/>
      <w:szCs w:val="22"/>
      <w:u w:val="none"/>
    </w:rPr>
  </w:style>
  <w:style w:type="character" w:customStyle="1" w:styleId="58">
    <w:name w:val="font21"/>
    <w:qFormat/>
    <w:uiPriority w:val="0"/>
    <w:rPr>
      <w:rFonts w:hint="eastAsia" w:ascii="宋体" w:hAnsi="宋体" w:eastAsia="宋体"/>
      <w:color w:val="000000"/>
      <w:sz w:val="22"/>
      <w:szCs w:val="22"/>
      <w:u w:val="none"/>
    </w:rPr>
  </w:style>
  <w:style w:type="character" w:customStyle="1" w:styleId="59">
    <w:name w:val="font81"/>
    <w:qFormat/>
    <w:uiPriority w:val="0"/>
    <w:rPr>
      <w:rFonts w:hint="eastAsia" w:ascii="宋体" w:hAnsi="宋体" w:eastAsia="宋体"/>
      <w:b/>
      <w:bCs/>
      <w:color w:val="000000"/>
      <w:sz w:val="32"/>
      <w:szCs w:val="32"/>
      <w:u w:val="none"/>
    </w:rPr>
  </w:style>
  <w:style w:type="character" w:customStyle="1" w:styleId="60">
    <w:name w:val="font91"/>
    <w:qFormat/>
    <w:uiPriority w:val="0"/>
    <w:rPr>
      <w:rFonts w:hint="eastAsia" w:ascii="宋体" w:hAnsi="宋体" w:eastAsia="宋体"/>
      <w:color w:val="000000"/>
      <w:sz w:val="32"/>
      <w:szCs w:val="32"/>
      <w:u w:val="none"/>
    </w:rPr>
  </w:style>
  <w:style w:type="character" w:customStyle="1" w:styleId="61">
    <w:name w:val="font101"/>
    <w:qFormat/>
    <w:uiPriority w:val="0"/>
    <w:rPr>
      <w:rFonts w:hint="eastAsia" w:ascii="宋体" w:hAnsi="宋体" w:eastAsia="宋体"/>
      <w:b/>
      <w:bCs/>
      <w:color w:val="000000"/>
      <w:sz w:val="28"/>
      <w:szCs w:val="28"/>
      <w:u w:val="none"/>
    </w:rPr>
  </w:style>
  <w:style w:type="character" w:customStyle="1" w:styleId="62">
    <w:name w:val="font71"/>
    <w:qFormat/>
    <w:uiPriority w:val="0"/>
    <w:rPr>
      <w:rFonts w:hint="eastAsia" w:ascii="宋体" w:hAnsi="宋体" w:eastAsia="宋体"/>
      <w:color w:val="000000"/>
      <w:sz w:val="28"/>
      <w:szCs w:val="28"/>
      <w:u w:val="none"/>
    </w:rPr>
  </w:style>
  <w:style w:type="character" w:customStyle="1" w:styleId="63">
    <w:name w:val="font111"/>
    <w:qFormat/>
    <w:uiPriority w:val="0"/>
    <w:rPr>
      <w:rFonts w:hint="default" w:ascii="Calibri" w:hAnsi="Calibri" w:cs="Calibri"/>
      <w:color w:val="000000"/>
      <w:sz w:val="28"/>
      <w:szCs w:val="28"/>
      <w:u w:val="none"/>
    </w:rPr>
  </w:style>
  <w:style w:type="character" w:customStyle="1" w:styleId="64">
    <w:name w:val="font13"/>
    <w:qFormat/>
    <w:uiPriority w:val="0"/>
    <w:rPr>
      <w:rFonts w:hint="default" w:ascii="Times New Roman" w:hAnsi="Times New Roman" w:cs="Times New Roman"/>
      <w:color w:val="000000"/>
      <w:sz w:val="26"/>
      <w:szCs w:val="26"/>
      <w:u w:val="none"/>
    </w:rPr>
  </w:style>
  <w:style w:type="character" w:customStyle="1" w:styleId="65">
    <w:name w:val="font121"/>
    <w:qFormat/>
    <w:uiPriority w:val="0"/>
    <w:rPr>
      <w:rFonts w:hint="eastAsia" w:ascii="宋体" w:hAnsi="宋体" w:eastAsia="宋体"/>
      <w:color w:val="000000"/>
      <w:sz w:val="28"/>
      <w:szCs w:val="28"/>
      <w:u w:val="none"/>
    </w:rPr>
  </w:style>
  <w:style w:type="character" w:customStyle="1" w:styleId="66">
    <w:name w:val="font31"/>
    <w:qFormat/>
    <w:uiPriority w:val="0"/>
    <w:rPr>
      <w:rFonts w:hint="eastAsia" w:ascii="宋体" w:hAnsi="宋体" w:eastAsia="宋体"/>
      <w:color w:val="000000"/>
      <w:sz w:val="28"/>
      <w:szCs w:val="28"/>
      <w:u w:val="none"/>
    </w:rPr>
  </w:style>
  <w:style w:type="paragraph" w:customStyle="1" w:styleId="67">
    <w:name w:val="O.J 表格内"/>
    <w:basedOn w:val="1"/>
    <w:qFormat/>
    <w:uiPriority w:val="0"/>
    <w:pPr>
      <w:jc w:val="center"/>
    </w:pPr>
    <w:rPr>
      <w:kern w:val="0"/>
      <w:sz w:val="20"/>
      <w:szCs w:val="20"/>
    </w:rPr>
  </w:style>
  <w:style w:type="paragraph" w:customStyle="1" w:styleId="68">
    <w:name w:val="Table Paragraph"/>
    <w:basedOn w:val="1"/>
    <w:qFormat/>
    <w:uiPriority w:val="1"/>
    <w:pPr>
      <w:widowControl/>
      <w:autoSpaceDE w:val="0"/>
      <w:autoSpaceDN w:val="0"/>
      <w:jc w:val="center"/>
    </w:pPr>
    <w:rPr>
      <w:rFonts w:ascii="宋体" w:hAnsi="宋体" w:cs="宋体"/>
      <w:kern w:val="0"/>
      <w:sz w:val="22"/>
      <w:lang w:val="zh-CN" w:bidi="zh-CN"/>
    </w:rPr>
  </w:style>
  <w:style w:type="paragraph" w:customStyle="1" w:styleId="69">
    <w:name w:val="专题1级及2级"/>
    <w:basedOn w:val="1"/>
    <w:qFormat/>
    <w:uiPriority w:val="0"/>
    <w:pPr>
      <w:adjustRightInd w:val="0"/>
    </w:pPr>
    <w:rPr>
      <w:b/>
      <w:bCs/>
    </w:rPr>
  </w:style>
  <w:style w:type="paragraph" w:customStyle="1" w:styleId="70">
    <w:name w:val="生态1级及二级"/>
    <w:basedOn w:val="1"/>
    <w:qFormat/>
    <w:uiPriority w:val="0"/>
    <w:pPr>
      <w:adjustRightInd w:val="0"/>
    </w:pPr>
    <w:rPr>
      <w:b/>
      <w:bCs/>
    </w:rPr>
  </w:style>
  <w:style w:type="paragraph" w:customStyle="1" w:styleId="71">
    <w:name w:val="表头"/>
    <w:basedOn w:val="1"/>
    <w:qFormat/>
    <w:uiPriority w:val="0"/>
    <w:pPr>
      <w:adjustRightInd w:val="0"/>
      <w:spacing w:line="400" w:lineRule="exact"/>
      <w:ind w:firstLine="422"/>
      <w:jc w:val="center"/>
    </w:pPr>
    <w:rPr>
      <w:b/>
      <w:bCs/>
      <w:szCs w:val="21"/>
    </w:rPr>
  </w:style>
  <w:style w:type="paragraph" w:customStyle="1" w:styleId="72">
    <w:name w:val="标题样式4"/>
    <w:basedOn w:val="1"/>
    <w:qFormat/>
    <w:uiPriority w:val="0"/>
    <w:pPr>
      <w:spacing w:line="480" w:lineRule="exact"/>
      <w:ind w:firstLine="538" w:firstLineChars="224"/>
      <w:jc w:val="left"/>
    </w:pPr>
    <w:rPr>
      <w:rFonts w:ascii="宋体" w:hAnsi="宋体"/>
      <w:b/>
      <w:bCs/>
      <w:kern w:val="0"/>
    </w:rPr>
  </w:style>
  <w:style w:type="paragraph" w:customStyle="1" w:styleId="73">
    <w:name w:val="S正文S"/>
    <w:basedOn w:val="1"/>
    <w:qFormat/>
    <w:uiPriority w:val="0"/>
    <w:pPr>
      <w:adjustRightInd w:val="0"/>
      <w:ind w:firstLine="480"/>
    </w:pPr>
    <w:rPr>
      <w:kern w:val="0"/>
      <w:lang w:val="zh-CN"/>
    </w:rPr>
  </w:style>
  <w:style w:type="paragraph" w:customStyle="1" w:styleId="74">
    <w:name w:val="高-正文"/>
    <w:basedOn w:val="1"/>
    <w:qFormat/>
    <w:uiPriority w:val="0"/>
    <w:pPr>
      <w:widowControl/>
      <w:topLinePunct/>
      <w:adjustRightInd w:val="0"/>
      <w:spacing w:line="480" w:lineRule="exact"/>
      <w:ind w:firstLine="600"/>
      <w:jc w:val="left"/>
    </w:pPr>
    <w:rPr>
      <w:rFonts w:ascii="宋体" w:hAnsi="宋体" w:cs="宋体"/>
      <w:kern w:val="0"/>
      <w:lang w:val="zh-CN"/>
    </w:rPr>
  </w:style>
  <w:style w:type="paragraph" w:customStyle="1" w:styleId="75">
    <w:name w:val="样式 宋体 小四 黑色 行距: 1.5 倍行距"/>
    <w:basedOn w:val="1"/>
    <w:qFormat/>
    <w:uiPriority w:val="0"/>
    <w:pPr>
      <w:spacing w:line="360" w:lineRule="auto"/>
      <w:ind w:firstLine="480" w:firstLineChars="200"/>
    </w:pPr>
    <w:rPr>
      <w:rFonts w:ascii="宋体" w:hAnsi="宋体" w:cs="宋体"/>
      <w:color w:val="000000"/>
    </w:rPr>
  </w:style>
  <w:style w:type="character" w:customStyle="1" w:styleId="76">
    <w:name w:val="样式 样式 宋体 小四 黑色 行距: 1.5 倍行距 + Times New Roman Char"/>
    <w:link w:val="77"/>
    <w:qFormat/>
    <w:uiPriority w:val="0"/>
    <w:rPr>
      <w:rFonts w:eastAsia="宋体" w:cs="宋体"/>
      <w:color w:val="000000"/>
    </w:rPr>
  </w:style>
  <w:style w:type="paragraph" w:customStyle="1" w:styleId="77">
    <w:name w:val="样式 样式 宋体 小四 黑色 行距: 1.5 倍行距 + Times New Roman"/>
    <w:basedOn w:val="1"/>
    <w:link w:val="76"/>
    <w:qFormat/>
    <w:uiPriority w:val="0"/>
    <w:pPr>
      <w:keepNext/>
      <w:spacing w:line="360" w:lineRule="auto"/>
      <w:ind w:firstLine="200" w:firstLineChars="200"/>
    </w:pPr>
    <w:rPr>
      <w:rFonts w:cs="宋体"/>
      <w:color w:val="000000"/>
    </w:rPr>
  </w:style>
  <w:style w:type="paragraph" w:customStyle="1" w:styleId="78">
    <w:name w:val="第一部分图表内容"/>
    <w:basedOn w:val="1"/>
    <w:qFormat/>
    <w:uiPriority w:val="0"/>
    <w:pPr>
      <w:widowControl/>
      <w:adjustRightInd w:val="0"/>
      <w:jc w:val="center"/>
    </w:pPr>
    <w:rPr>
      <w:spacing w:val="-5"/>
      <w:sz w:val="18"/>
      <w:szCs w:val="18"/>
    </w:rPr>
  </w:style>
  <w:style w:type="paragraph" w:customStyle="1" w:styleId="79">
    <w:name w:val="表格内文字"/>
    <w:next w:val="1"/>
    <w:autoRedefine/>
    <w:qFormat/>
    <w:uiPriority w:val="0"/>
    <w:pPr>
      <w:adjustRightInd w:val="0"/>
      <w:snapToGrid w:val="0"/>
      <w:jc w:val="center"/>
    </w:pPr>
    <w:rPr>
      <w:rFonts w:ascii="Times New Roman" w:hAnsi="Times New Roman" w:eastAsia="宋体" w:cs="Times New Roman"/>
      <w:sz w:val="21"/>
      <w:szCs w:val="21"/>
      <w:lang w:val="zh-CN" w:eastAsia="zh-CN" w:bidi="ar-SA"/>
    </w:rPr>
  </w:style>
  <w:style w:type="character" w:customStyle="1" w:styleId="80">
    <w:name w:val="标题 2 Char"/>
    <w:basedOn w:val="32"/>
    <w:link w:val="3"/>
    <w:semiHidden/>
    <w:qFormat/>
    <w:uiPriority w:val="0"/>
    <w:rPr>
      <w:rFonts w:asciiTheme="majorHAnsi" w:hAnsiTheme="majorHAnsi" w:eastAsiaTheme="majorEastAsia" w:cstheme="majorBidi"/>
      <w:b/>
      <w:bCs/>
      <w:kern w:val="2"/>
      <w:sz w:val="32"/>
      <w:szCs w:val="32"/>
    </w:rPr>
  </w:style>
  <w:style w:type="character" w:customStyle="1" w:styleId="81">
    <w:name w:val="标题 5 Char"/>
    <w:basedOn w:val="32"/>
    <w:link w:val="6"/>
    <w:semiHidden/>
    <w:qFormat/>
    <w:uiPriority w:val="0"/>
    <w:rPr>
      <w:b/>
      <w:bCs/>
      <w:kern w:val="2"/>
      <w:sz w:val="28"/>
      <w:szCs w:val="28"/>
    </w:rPr>
  </w:style>
  <w:style w:type="paragraph" w:customStyle="1" w:styleId="82">
    <w:name w:val="生态专题1级"/>
    <w:basedOn w:val="1"/>
    <w:link w:val="84"/>
    <w:qFormat/>
    <w:uiPriority w:val="0"/>
    <w:pPr>
      <w:adjustRightInd w:val="0"/>
      <w:snapToGrid w:val="0"/>
      <w:spacing w:line="360" w:lineRule="auto"/>
      <w:outlineLvl w:val="0"/>
    </w:pPr>
    <w:rPr>
      <w:b/>
      <w:bCs/>
      <w:sz w:val="24"/>
    </w:rPr>
  </w:style>
  <w:style w:type="paragraph" w:customStyle="1" w:styleId="83">
    <w:name w:val="生态专题2级"/>
    <w:basedOn w:val="1"/>
    <w:link w:val="86"/>
    <w:qFormat/>
    <w:uiPriority w:val="0"/>
    <w:pPr>
      <w:adjustRightInd w:val="0"/>
      <w:snapToGrid w:val="0"/>
      <w:spacing w:line="360" w:lineRule="auto"/>
      <w:outlineLvl w:val="1"/>
    </w:pPr>
    <w:rPr>
      <w:b/>
      <w:bCs/>
      <w:sz w:val="24"/>
    </w:rPr>
  </w:style>
  <w:style w:type="character" w:customStyle="1" w:styleId="84">
    <w:name w:val="生态专题1级 Char"/>
    <w:basedOn w:val="32"/>
    <w:link w:val="82"/>
    <w:qFormat/>
    <w:uiPriority w:val="0"/>
    <w:rPr>
      <w:b/>
      <w:bCs/>
      <w:kern w:val="2"/>
      <w:sz w:val="24"/>
      <w:szCs w:val="24"/>
    </w:rPr>
  </w:style>
  <w:style w:type="paragraph" w:customStyle="1" w:styleId="85">
    <w:name w:val="生态专题3级"/>
    <w:basedOn w:val="1"/>
    <w:link w:val="88"/>
    <w:qFormat/>
    <w:uiPriority w:val="0"/>
    <w:pPr>
      <w:adjustRightInd w:val="0"/>
      <w:snapToGrid w:val="0"/>
      <w:spacing w:line="360" w:lineRule="auto"/>
      <w:outlineLvl w:val="2"/>
    </w:pPr>
    <w:rPr>
      <w:b/>
      <w:bCs/>
      <w:sz w:val="24"/>
    </w:rPr>
  </w:style>
  <w:style w:type="character" w:customStyle="1" w:styleId="86">
    <w:name w:val="生态专题2级 Char"/>
    <w:basedOn w:val="32"/>
    <w:link w:val="83"/>
    <w:qFormat/>
    <w:uiPriority w:val="0"/>
    <w:rPr>
      <w:b/>
      <w:bCs/>
      <w:kern w:val="2"/>
      <w:sz w:val="24"/>
      <w:szCs w:val="24"/>
    </w:rPr>
  </w:style>
  <w:style w:type="paragraph" w:customStyle="1" w:styleId="87">
    <w:name w:val="生态专题4级"/>
    <w:basedOn w:val="1"/>
    <w:link w:val="90"/>
    <w:qFormat/>
    <w:uiPriority w:val="0"/>
    <w:pPr>
      <w:adjustRightInd w:val="0"/>
      <w:snapToGrid w:val="0"/>
      <w:spacing w:line="360" w:lineRule="auto"/>
      <w:ind w:firstLine="569" w:firstLineChars="236"/>
      <w:outlineLvl w:val="3"/>
    </w:pPr>
    <w:rPr>
      <w:b/>
      <w:sz w:val="24"/>
    </w:rPr>
  </w:style>
  <w:style w:type="character" w:customStyle="1" w:styleId="88">
    <w:name w:val="生态专题3级 Char"/>
    <w:basedOn w:val="32"/>
    <w:link w:val="85"/>
    <w:qFormat/>
    <w:uiPriority w:val="0"/>
    <w:rPr>
      <w:b/>
      <w:bCs/>
      <w:kern w:val="2"/>
      <w:sz w:val="24"/>
      <w:szCs w:val="24"/>
    </w:rPr>
  </w:style>
  <w:style w:type="character" w:customStyle="1" w:styleId="89">
    <w:name w:val="标题 4 Char"/>
    <w:basedOn w:val="32"/>
    <w:link w:val="5"/>
    <w:qFormat/>
    <w:uiPriority w:val="4"/>
    <w:rPr>
      <w:b/>
      <w:bCs/>
      <w:sz w:val="21"/>
      <w:szCs w:val="28"/>
    </w:rPr>
  </w:style>
  <w:style w:type="character" w:customStyle="1" w:styleId="90">
    <w:name w:val="生态专题4级 Char"/>
    <w:basedOn w:val="32"/>
    <w:link w:val="87"/>
    <w:qFormat/>
    <w:uiPriority w:val="0"/>
    <w:rPr>
      <w:b/>
      <w:kern w:val="2"/>
      <w:sz w:val="24"/>
      <w:szCs w:val="24"/>
    </w:rPr>
  </w:style>
  <w:style w:type="paragraph" w:customStyle="1" w:styleId="91">
    <w:name w:val="11"/>
    <w:basedOn w:val="1"/>
    <w:qFormat/>
    <w:uiPriority w:val="0"/>
    <w:pPr>
      <w:keepNext/>
      <w:keepLines/>
      <w:spacing w:before="200" w:line="360" w:lineRule="auto"/>
      <w:outlineLvl w:val="0"/>
    </w:pPr>
    <w:rPr>
      <w:rFonts w:ascii="黑体" w:hAnsi="黑体" w:eastAsia="黑体" w:cs="Times New Roman"/>
      <w:bCs/>
      <w:spacing w:val="-2"/>
      <w:kern w:val="44"/>
      <w:sz w:val="30"/>
      <w:szCs w:val="30"/>
      <w:lang w:val="zh-CN"/>
    </w:rPr>
  </w:style>
  <w:style w:type="paragraph" w:customStyle="1" w:styleId="92">
    <w:name w:val="22"/>
    <w:basedOn w:val="1"/>
    <w:qFormat/>
    <w:uiPriority w:val="0"/>
    <w:pPr>
      <w:keepNext/>
      <w:keepLines/>
      <w:spacing w:before="100" w:after="100" w:line="360" w:lineRule="auto"/>
      <w:outlineLvl w:val="1"/>
    </w:pPr>
    <w:rPr>
      <w:rFonts w:ascii="黑体" w:hAnsi="黑体" w:eastAsia="黑体" w:cs="Times New Roman"/>
      <w:bCs/>
      <w:sz w:val="28"/>
      <w:szCs w:val="32"/>
      <w:lang w:val="zh-CN"/>
    </w:rPr>
  </w:style>
  <w:style w:type="paragraph" w:customStyle="1" w:styleId="93">
    <w:name w:val="444"/>
    <w:basedOn w:val="9"/>
    <w:qFormat/>
    <w:uiPriority w:val="0"/>
    <w:pPr>
      <w:spacing w:after="0"/>
      <w:ind w:left="0" w:leftChars="0" w:firstLine="570"/>
    </w:pPr>
    <w:rPr>
      <w:rFonts w:ascii="宋体" w:hAnsi="Times New Roman" w:eastAsia="宋体" w:cs="Times New Roman"/>
      <w:sz w:val="28"/>
      <w:szCs w:val="20"/>
    </w:rPr>
  </w:style>
  <w:style w:type="paragraph" w:customStyle="1" w:styleId="94">
    <w:name w:val="33"/>
    <w:basedOn w:val="1"/>
    <w:qFormat/>
    <w:uiPriority w:val="0"/>
    <w:pPr>
      <w:keepNext/>
      <w:keepLines/>
      <w:spacing w:before="100" w:after="100"/>
      <w:outlineLvl w:val="2"/>
    </w:pPr>
    <w:rPr>
      <w:rFonts w:ascii="黑体" w:hAnsi="黑体" w:eastAsia="黑体" w:cs="Times New Roman"/>
      <w:bCs/>
      <w:spacing w:val="-2"/>
      <w:kern w:val="0"/>
      <w:sz w:val="24"/>
      <w:szCs w:val="20"/>
    </w:rPr>
  </w:style>
  <w:style w:type="paragraph" w:customStyle="1" w:styleId="95">
    <w:name w:val="1111"/>
    <w:basedOn w:val="1"/>
    <w:qFormat/>
    <w:uiPriority w:val="0"/>
    <w:pPr>
      <w:spacing w:line="500" w:lineRule="exact"/>
      <w:ind w:firstLine="480" w:firstLineChars="200"/>
    </w:pPr>
    <w:rPr>
      <w:rFonts w:ascii="Times New Roman" w:hAnsi="Times New Roman" w:eastAsia="宋体" w:cs="宋体"/>
      <w:kern w:val="0"/>
      <w:sz w:val="24"/>
      <w:szCs w:val="20"/>
    </w:rPr>
  </w:style>
  <w:style w:type="paragraph" w:customStyle="1" w:styleId="96">
    <w:name w:val="2"/>
    <w:basedOn w:val="1"/>
    <w:next w:val="24"/>
    <w:qFormat/>
    <w:uiPriority w:val="0"/>
    <w:pPr>
      <w:ind w:firstLine="527" w:firstLineChars="200"/>
    </w:pPr>
    <w:rPr>
      <w:rFonts w:ascii="宋体" w:hAnsi="宋体" w:eastAsia="宋体" w:cs="Times New Roman"/>
      <w:spacing w:val="5"/>
      <w:sz w:val="25"/>
      <w:szCs w:val="25"/>
    </w:rPr>
  </w:style>
  <w:style w:type="paragraph" w:customStyle="1" w:styleId="97">
    <w:name w:val="Heading #2|1"/>
    <w:basedOn w:val="1"/>
    <w:autoRedefine/>
    <w:qFormat/>
    <w:uiPriority w:val="0"/>
    <w:pPr>
      <w:widowControl w:val="0"/>
      <w:shd w:val="clear" w:color="auto" w:fill="auto"/>
      <w:spacing w:after="3320"/>
      <w:jc w:val="center"/>
      <w:outlineLvl w:val="1"/>
    </w:pPr>
    <w:rPr>
      <w:rFonts w:ascii="宋体" w:hAnsi="宋体" w:eastAsia="宋体" w:cs="宋体"/>
      <w:sz w:val="44"/>
      <w:szCs w:val="44"/>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52</Pages>
  <Words>9814</Words>
  <Characters>11466</Characters>
  <Lines>616</Lines>
  <Paragraphs>173</Paragraphs>
  <TotalTime>22</TotalTime>
  <ScaleCrop>false</ScaleCrop>
  <LinksUpToDate>false</LinksUpToDate>
  <CharactersWithSpaces>11797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2024-12-02T03:40:00Z</dcterms:created>
  <dc:creator>lhj</dc:creator>
  <cp:lastModifiedBy>演示人</cp:lastModifiedBy>
  <cp:lastPrinted>2020-12-24T01:50:00Z</cp:lastPrinted>
  <dcterms:modified xsi:type="dcterms:W3CDTF">2025-03-31T01:03:17Z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03549581FD844B3AA6FE6E818E99F3F9_13</vt:lpwstr>
  </property>
  <property fmtid="{D5CDD505-2E9C-101B-9397-08002B2CF9AE}" pid="4" name="KSOTemplateDocerSaveRecord">
    <vt:lpwstr>eyJoZGlkIjoiZjYyMmM5ZWViZDE5OGI0MjM4NzczOTJkMWU3N2M1YTEiLCJ1c2VySWQiOiIyNTgxMzQ3MjcifQ==</vt:lpwstr>
  </property>
</Properties>
</file>