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9261B0">
      <w:pPr>
        <w:spacing w:line="598" w:lineRule="exact"/>
        <w:jc w:val="center"/>
        <w:rPr>
          <w:rFonts w:ascii="仿宋_GB2312" w:hAnsi="仿宋_GB2312" w:eastAsia="仿宋_GB2312" w:cs="仿宋_GB2312"/>
          <w:sz w:val="32"/>
          <w:szCs w:val="32"/>
        </w:rPr>
      </w:pPr>
    </w:p>
    <w:p w14:paraId="42356A9B">
      <w:pPr>
        <w:spacing w:line="598" w:lineRule="exact"/>
        <w:jc w:val="center"/>
        <w:rPr>
          <w:rFonts w:ascii="仿宋_GB2312" w:hAnsi="仿宋_GB2312" w:eastAsia="仿宋_GB2312" w:cs="仿宋_GB2312"/>
          <w:sz w:val="32"/>
          <w:szCs w:val="32"/>
        </w:rPr>
      </w:pPr>
    </w:p>
    <w:p w14:paraId="0E41CBBA">
      <w:pPr>
        <w:spacing w:line="598" w:lineRule="exact"/>
        <w:rPr>
          <w:rFonts w:ascii="仿宋_GB2312" w:hAnsi="仿宋_GB2312" w:eastAsia="仿宋_GB2312" w:cs="仿宋_GB2312"/>
          <w:sz w:val="32"/>
          <w:szCs w:val="32"/>
        </w:rPr>
      </w:pPr>
    </w:p>
    <w:p w14:paraId="151A4C76">
      <w:pPr>
        <w:spacing w:line="598" w:lineRule="exact"/>
        <w:rPr>
          <w:rFonts w:ascii="仿宋_GB2312" w:hAnsi="仿宋_GB2312" w:eastAsia="仿宋_GB2312" w:cs="仿宋_GB2312"/>
          <w:sz w:val="32"/>
          <w:szCs w:val="32"/>
        </w:rPr>
      </w:pPr>
    </w:p>
    <w:p w14:paraId="47E981B6">
      <w:pPr>
        <w:spacing w:line="598"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西环审表〔202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w:t>
      </w:r>
    </w:p>
    <w:p w14:paraId="31A4A289">
      <w:pPr>
        <w:spacing w:line="598" w:lineRule="exact"/>
        <w:jc w:val="center"/>
        <w:rPr>
          <w:rFonts w:ascii="仿宋_GB2312" w:hAnsi="仿宋_GB2312" w:eastAsia="仿宋_GB2312" w:cs="仿宋_GB2312"/>
          <w:sz w:val="32"/>
          <w:szCs w:val="32"/>
        </w:rPr>
      </w:pPr>
    </w:p>
    <w:p w14:paraId="6526274E">
      <w:pPr>
        <w:widowControl/>
        <w:spacing w:line="700" w:lineRule="exact"/>
        <w:jc w:val="center"/>
        <w:textAlignment w:val="baseline"/>
        <w:rPr>
          <w:rFonts w:hint="eastAsia" w:ascii="方正小标宋简体" w:hAnsi="Times New Roman" w:eastAsia="方正小标宋简体" w:cs="方正小标宋简体"/>
          <w:bCs/>
          <w:sz w:val="44"/>
          <w:szCs w:val="44"/>
        </w:rPr>
      </w:pPr>
      <w:r>
        <w:rPr>
          <w:rFonts w:hint="eastAsia" w:ascii="方正小标宋简体" w:hAnsi="Times New Roman" w:eastAsia="方正小标宋简体" w:cs="方正小标宋简体"/>
          <w:bCs/>
          <w:sz w:val="44"/>
          <w:szCs w:val="44"/>
        </w:rPr>
        <w:t>锡林郭勒盟生态环境局</w:t>
      </w:r>
    </w:p>
    <w:p w14:paraId="4951729B">
      <w:pPr>
        <w:spacing w:line="800" w:lineRule="exact"/>
        <w:jc w:val="center"/>
        <w:rPr>
          <w:rFonts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b w:val="0"/>
          <w:bCs w:val="0"/>
          <w:color w:val="auto"/>
          <w:sz w:val="44"/>
          <w:szCs w:val="44"/>
          <w:lang w:eastAsia="zh-CN"/>
        </w:rPr>
        <w:t>西乌珠穆沁旗2023年度草原畜牧业转型升级试点项目（乌珠穆沁白牛核心育种场创建和认定进场道路）</w:t>
      </w:r>
      <w:r>
        <w:rPr>
          <w:rFonts w:hint="eastAsia" w:ascii="方正小标宋简体" w:hAnsi="方正小标宋简体" w:eastAsia="方正小标宋简体" w:cs="方正小标宋简体"/>
          <w:spacing w:val="-11"/>
          <w:sz w:val="44"/>
          <w:szCs w:val="44"/>
        </w:rPr>
        <w:t>环境影响报告表的批复</w:t>
      </w:r>
    </w:p>
    <w:p w14:paraId="377914F1">
      <w:pPr>
        <w:spacing w:line="598" w:lineRule="exact"/>
        <w:rPr>
          <w:rFonts w:ascii="仿宋_GB2312" w:hAnsi="仿宋_GB2312" w:eastAsia="仿宋_GB2312" w:cs="仿宋_GB2312"/>
          <w:sz w:val="32"/>
          <w:szCs w:val="32"/>
        </w:rPr>
      </w:pPr>
    </w:p>
    <w:p w14:paraId="767736AB">
      <w:pPr>
        <w:keepNext w:val="0"/>
        <w:keepLines w:val="0"/>
        <w:pageBreakBefore w:val="0"/>
        <w:widowControl w:val="0"/>
        <w:kinsoku/>
        <w:wordWrap/>
        <w:overflowPunct/>
        <w:topLinePunct w:val="0"/>
        <w:autoSpaceDE/>
        <w:autoSpaceDN/>
        <w:bidi w:val="0"/>
        <w:adjustRightInd/>
        <w:snapToGrid/>
        <w:spacing w:line="598" w:lineRule="exac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西乌珠穆沁旗农牧和科技局</w:t>
      </w:r>
      <w:r>
        <w:rPr>
          <w:rFonts w:hint="eastAsia" w:ascii="仿宋_GB2312" w:hAnsi="仿宋_GB2312" w:eastAsia="仿宋_GB2312" w:cs="仿宋_GB2312"/>
          <w:color w:val="000000" w:themeColor="text1"/>
          <w:sz w:val="32"/>
          <w:szCs w:val="32"/>
          <w14:textFill>
            <w14:solidFill>
              <w14:schemeClr w14:val="tx1"/>
            </w14:solidFill>
          </w14:textFill>
        </w:rPr>
        <w:t>：</w:t>
      </w:r>
    </w:p>
    <w:p w14:paraId="655AD589">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你单位报送的</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西乌珠穆沁旗2023年度草原畜牧业转型升级试点项目（乌珠穆沁白牛核心育种场创建和认定进场道路）</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锡环投评估表〔2024〕38号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研究，现批复如下：</w:t>
      </w:r>
    </w:p>
    <w:p w14:paraId="1634B26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一、本项目</w:t>
      </w:r>
      <w:r>
        <w:rPr>
          <w:rFonts w:hint="eastAsia" w:ascii="仿宋_GB2312" w:hAnsi="仿宋_GB2312" w:eastAsia="仿宋_GB2312" w:cs="仿宋_GB2312"/>
          <w:b w:val="0"/>
          <w:bCs w:val="0"/>
          <w:color w:val="auto"/>
          <w:sz w:val="32"/>
          <w:szCs w:val="32"/>
          <w:highlight w:val="none"/>
          <w:lang w:val="en-US" w:eastAsia="zh-CN"/>
        </w:rPr>
        <w:t>全线位于锡林郭勒盟西乌珠穆沁旗浩勒图高勒镇境内，</w:t>
      </w:r>
      <w:r>
        <w:rPr>
          <w:rFonts w:hint="default" w:ascii="仿宋_GB2312" w:hAnsi="仿宋_GB2312" w:eastAsia="仿宋_GB2312" w:cs="仿宋_GB2312"/>
          <w:color w:val="auto"/>
          <w:sz w:val="32"/>
          <w:szCs w:val="32"/>
          <w:lang w:val="en-US" w:eastAsia="zh-CN"/>
        </w:rPr>
        <w:t>线路总体呈西—东走向，起点坐标</w:t>
      </w:r>
      <w:r>
        <w:rPr>
          <w:rFonts w:hint="eastAsia" w:ascii="仿宋_GB2312" w:hAnsi="仿宋_GB2312" w:eastAsia="仿宋_GB2312" w:cs="仿宋_GB2312"/>
          <w:color w:val="auto"/>
          <w:sz w:val="32"/>
          <w:szCs w:val="32"/>
          <w:lang w:val="en-US" w:eastAsia="zh-CN"/>
        </w:rPr>
        <w:t>为</w:t>
      </w:r>
      <w:r>
        <w:rPr>
          <w:rFonts w:hint="default" w:ascii="仿宋_GB2312" w:hAnsi="仿宋_GB2312" w:eastAsia="仿宋_GB2312" w:cs="仿宋_GB2312"/>
          <w:color w:val="auto"/>
          <w:sz w:val="32"/>
          <w:szCs w:val="32"/>
          <w:lang w:val="en-US" w:eastAsia="zh-CN"/>
        </w:rPr>
        <w:t>东经 117°47′13.81″，</w:t>
      </w:r>
      <w:r>
        <w:rPr>
          <w:rFonts w:hint="default" w:ascii="仿宋_GB2312" w:hAnsi="仿宋_GB2312" w:eastAsia="仿宋_GB2312" w:cs="仿宋_GB2312"/>
          <w:b w:val="0"/>
          <w:bCs w:val="0"/>
          <w:color w:val="auto"/>
          <w:sz w:val="32"/>
          <w:szCs w:val="32"/>
          <w:highlight w:val="none"/>
          <w:lang w:val="en-US" w:eastAsia="zh-CN"/>
        </w:rPr>
        <w:t>北纬 44°8′25.90″；终点坐标</w:t>
      </w:r>
      <w:r>
        <w:rPr>
          <w:rFonts w:hint="eastAsia" w:ascii="仿宋_GB2312" w:hAnsi="仿宋_GB2312" w:eastAsia="仿宋_GB2312" w:cs="仿宋_GB2312"/>
          <w:b w:val="0"/>
          <w:bCs w:val="0"/>
          <w:color w:val="auto"/>
          <w:sz w:val="32"/>
          <w:szCs w:val="32"/>
          <w:highlight w:val="none"/>
          <w:lang w:val="en-US" w:eastAsia="zh-CN"/>
        </w:rPr>
        <w:t>为</w:t>
      </w:r>
      <w:r>
        <w:rPr>
          <w:rFonts w:hint="default" w:ascii="仿宋_GB2312" w:hAnsi="仿宋_GB2312" w:eastAsia="仿宋_GB2312" w:cs="仿宋_GB2312"/>
          <w:b w:val="0"/>
          <w:bCs w:val="0"/>
          <w:color w:val="auto"/>
          <w:sz w:val="32"/>
          <w:szCs w:val="32"/>
          <w:highlight w:val="none"/>
          <w:lang w:val="en-US" w:eastAsia="zh-CN"/>
        </w:rPr>
        <w:t xml:space="preserve">东经 117°50′53.81″，北纬 44°8′43.47″；路线全长 5.653 公里，采用四级公路标准建设，路基宽度 7.5 </w:t>
      </w:r>
      <w:r>
        <w:rPr>
          <w:rFonts w:hint="eastAsia" w:ascii="仿宋_GB2312" w:hAnsi="仿宋_GB2312" w:eastAsia="仿宋_GB2312" w:cs="仿宋_GB2312"/>
          <w:b w:val="0"/>
          <w:bCs w:val="0"/>
          <w:color w:val="auto"/>
          <w:sz w:val="32"/>
          <w:szCs w:val="32"/>
          <w:highlight w:val="none"/>
          <w:lang w:val="en-US" w:eastAsia="zh-CN"/>
        </w:rPr>
        <w:t>m</w:t>
      </w:r>
      <w:r>
        <w:rPr>
          <w:rFonts w:hint="default" w:ascii="仿宋_GB2312" w:hAnsi="仿宋_GB2312" w:eastAsia="仿宋_GB2312" w:cs="仿宋_GB2312"/>
          <w:b w:val="0"/>
          <w:bCs w:val="0"/>
          <w:color w:val="auto"/>
          <w:sz w:val="32"/>
          <w:szCs w:val="32"/>
          <w:highlight w:val="none"/>
          <w:lang w:val="en-US" w:eastAsia="zh-CN"/>
        </w:rPr>
        <w:t xml:space="preserve">，路面宽度 4.5 </w:t>
      </w:r>
      <w:r>
        <w:rPr>
          <w:rFonts w:hint="eastAsia" w:ascii="仿宋_GB2312" w:hAnsi="仿宋_GB2312" w:eastAsia="仿宋_GB2312" w:cs="仿宋_GB2312"/>
          <w:b w:val="0"/>
          <w:bCs w:val="0"/>
          <w:color w:val="auto"/>
          <w:sz w:val="32"/>
          <w:szCs w:val="32"/>
          <w:highlight w:val="none"/>
          <w:lang w:val="en-US" w:eastAsia="zh-CN"/>
        </w:rPr>
        <w:t>m</w:t>
      </w:r>
      <w:r>
        <w:rPr>
          <w:rFonts w:hint="default" w:ascii="仿宋_GB2312" w:hAnsi="仿宋_GB2312" w:eastAsia="仿宋_GB2312" w:cs="仿宋_GB2312"/>
          <w:b w:val="0"/>
          <w:bCs w:val="0"/>
          <w:color w:val="auto"/>
          <w:sz w:val="32"/>
          <w:szCs w:val="32"/>
          <w:highlight w:val="none"/>
          <w:lang w:val="en-US" w:eastAsia="zh-CN"/>
        </w:rPr>
        <w:t xml:space="preserve">，土路肩 2×1.5 </w:t>
      </w:r>
      <w:r>
        <w:rPr>
          <w:rFonts w:hint="eastAsia" w:ascii="仿宋_GB2312" w:hAnsi="仿宋_GB2312" w:eastAsia="仿宋_GB2312" w:cs="仿宋_GB2312"/>
          <w:b w:val="0"/>
          <w:bCs w:val="0"/>
          <w:color w:val="auto"/>
          <w:sz w:val="32"/>
          <w:szCs w:val="32"/>
          <w:highlight w:val="none"/>
          <w:lang w:val="en-US" w:eastAsia="zh-CN"/>
        </w:rPr>
        <w:t>m，</w:t>
      </w:r>
      <w:r>
        <w:rPr>
          <w:rFonts w:hint="default" w:ascii="仿宋_GB2312" w:hAnsi="仿宋_GB2312" w:eastAsia="仿宋_GB2312" w:cs="仿宋_GB2312"/>
          <w:b w:val="0"/>
          <w:bCs w:val="0"/>
          <w:color w:val="auto"/>
          <w:sz w:val="32"/>
          <w:szCs w:val="32"/>
          <w:highlight w:val="none"/>
          <w:lang w:val="en-US" w:eastAsia="zh-CN"/>
        </w:rPr>
        <w:t>路面结构采用水泥混凝土路面</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color w:val="auto"/>
          <w:sz w:val="32"/>
          <w:szCs w:val="32"/>
          <w:lang w:val="en-US" w:eastAsia="zh-CN"/>
        </w:rPr>
        <w:t>全线设过水路面 1 处、平面交叉 2 处。</w:t>
      </w:r>
      <w:r>
        <w:rPr>
          <w:rFonts w:hint="eastAsia" w:ascii="仿宋_GB2312" w:hAnsi="仿宋_GB2312" w:eastAsia="仿宋_GB2312" w:cs="仿宋_GB2312"/>
          <w:b w:val="0"/>
          <w:bCs w:val="0"/>
          <w:color w:val="auto"/>
          <w:sz w:val="32"/>
          <w:szCs w:val="32"/>
          <w:highlight w:val="none"/>
          <w:lang w:val="en-US" w:eastAsia="zh-CN"/>
        </w:rPr>
        <w:t>项目</w:t>
      </w:r>
      <w:r>
        <w:rPr>
          <w:rFonts w:hint="default" w:ascii="仿宋_GB2312" w:hAnsi="仿宋_GB2312" w:eastAsia="仿宋_GB2312" w:cs="仿宋_GB2312"/>
          <w:b w:val="0"/>
          <w:bCs w:val="0"/>
          <w:color w:val="auto"/>
          <w:sz w:val="32"/>
          <w:szCs w:val="32"/>
          <w:highlight w:val="none"/>
          <w:lang w:val="en-US" w:eastAsia="zh-CN"/>
        </w:rPr>
        <w:t>总占地面积 12.79hm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default" w:ascii="仿宋_GB2312" w:hAnsi="仿宋_GB2312" w:eastAsia="仿宋_GB2312" w:cs="仿宋_GB2312"/>
          <w:b w:val="0"/>
          <w:bCs w:val="0"/>
          <w:color w:val="auto"/>
          <w:sz w:val="32"/>
          <w:szCs w:val="32"/>
          <w:highlight w:val="none"/>
          <w:lang w:val="en-US" w:eastAsia="zh-CN"/>
        </w:rPr>
        <w:t>，其中永久占地 6.95hm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default" w:ascii="仿宋_GB2312" w:hAnsi="仿宋_GB2312" w:eastAsia="仿宋_GB2312" w:cs="仿宋_GB2312"/>
          <w:b w:val="0"/>
          <w:bCs w:val="0"/>
          <w:color w:val="auto"/>
          <w:sz w:val="32"/>
          <w:szCs w:val="32"/>
          <w:highlight w:val="none"/>
          <w:lang w:val="en-US" w:eastAsia="zh-CN"/>
        </w:rPr>
        <w:t>，临时占地 5.84hm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default" w:ascii="仿宋_GB2312" w:hAnsi="仿宋_GB2312" w:eastAsia="仿宋_GB2312" w:cs="仿宋_GB2312"/>
          <w:b w:val="0"/>
          <w:bCs w:val="0"/>
          <w:color w:val="auto"/>
          <w:sz w:val="32"/>
          <w:szCs w:val="32"/>
          <w:highlight w:val="none"/>
          <w:lang w:val="en-US" w:eastAsia="zh-CN"/>
        </w:rPr>
        <w:t>，占地类型为草地</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全线共设置取土场 1 处，占地类型为草地，占地面积为 2.14hm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设置施工场地（包含拌和站及生活区）1 处，施工生活区与拌和站同址建设，占地类型为草地，占地面积为 0.40hm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设置表土堆放区 1 处，用于堆放路基及施工便道剥离的表土，临时占地 0.64hm</w:t>
      </w:r>
      <w:r>
        <w:rPr>
          <w:rFonts w:hint="default" w:ascii="仿宋_GB2312" w:hAnsi="仿宋_GB2312" w:eastAsia="仿宋_GB2312" w:cs="仿宋_GB2312"/>
          <w:b w:val="0"/>
          <w:bCs w:val="0"/>
          <w:color w:val="auto"/>
          <w:sz w:val="32"/>
          <w:szCs w:val="32"/>
          <w:highlight w:val="none"/>
          <w:vertAlign w:val="superscript"/>
          <w:lang w:val="en-US" w:eastAsia="zh-CN"/>
        </w:rPr>
        <w:t>2</w:t>
      </w:r>
      <w:r>
        <w:rPr>
          <w:rFonts w:hint="default" w:ascii="仿宋_GB2312" w:hAnsi="仿宋_GB2312" w:eastAsia="仿宋_GB2312" w:cs="仿宋_GB2312"/>
          <w:b w:val="0"/>
          <w:bCs w:val="0"/>
          <w:color w:val="auto"/>
          <w:sz w:val="32"/>
          <w:szCs w:val="32"/>
          <w:highlight w:val="none"/>
          <w:lang w:val="en-US" w:eastAsia="zh-CN"/>
        </w:rPr>
        <w:t>，占地类型为草地。</w:t>
      </w:r>
      <w:r>
        <w:rPr>
          <w:rFonts w:hint="eastAsia" w:ascii="仿宋_GB2312" w:hAnsi="仿宋_GB2312" w:eastAsia="仿宋_GB2312" w:cs="仿宋_GB2312"/>
          <w:color w:val="auto"/>
          <w:sz w:val="32"/>
          <w:szCs w:val="32"/>
        </w:rPr>
        <w:t>项目工程总投资为</w:t>
      </w:r>
      <w:r>
        <w:rPr>
          <w:rFonts w:hint="default" w:ascii="仿宋_GB2312" w:hAnsi="仿宋_GB2312" w:eastAsia="仿宋_GB2312" w:cs="仿宋_GB2312"/>
          <w:color w:val="auto"/>
          <w:sz w:val="32"/>
          <w:szCs w:val="32"/>
          <w:lang w:val="en-US" w:eastAsia="zh-CN"/>
        </w:rPr>
        <w:t>545.21</w:t>
      </w:r>
      <w:r>
        <w:rPr>
          <w:rFonts w:hint="eastAsia" w:ascii="仿宋_GB2312" w:hAnsi="仿宋_GB2312" w:eastAsia="仿宋_GB2312" w:cs="仿宋_GB2312"/>
          <w:color w:val="auto"/>
          <w:sz w:val="32"/>
          <w:szCs w:val="32"/>
          <w:lang w:val="en-US" w:eastAsia="zh-CN"/>
        </w:rPr>
        <w:t>万元，其中环保投资为163.4万元，占总投资的29.9%。</w:t>
      </w:r>
    </w:p>
    <w:p w14:paraId="096065EF">
      <w:pPr>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报告表》认为，根据《产业结构调整指导目录（2024年本）》，项目属于鼓励类---“二十四、公路及道路运输”：“2．公路智能运输系统开发：快速客货运输、公路甩挂运输系统开发与建设，公路集装箱和厢式运输，农村公路和客货运输网络开发与建设，出租汽车服务调度信息系统开发与建设”，符合国家产业政策。</w:t>
      </w:r>
      <w:r>
        <w:rPr>
          <w:rFonts w:hint="eastAsia" w:ascii="仿宋_GB2312" w:hAnsi="仿宋_GB2312" w:eastAsia="仿宋_GB2312" w:cs="仿宋_GB2312"/>
          <w:color w:val="auto"/>
          <w:sz w:val="32"/>
          <w:szCs w:val="32"/>
          <w:lang w:val="en-US" w:eastAsia="zh-CN"/>
        </w:rPr>
        <w:t>项目所在区域内</w:t>
      </w:r>
      <w:r>
        <w:rPr>
          <w:rFonts w:hint="eastAsia" w:ascii="仿宋_GB2312" w:hAnsi="仿宋_GB2312" w:eastAsia="仿宋_GB2312" w:cs="仿宋_GB2312"/>
          <w:b w:val="0"/>
          <w:bCs w:val="0"/>
          <w:color w:val="auto"/>
          <w:sz w:val="32"/>
          <w:szCs w:val="32"/>
          <w:lang w:val="en-US" w:eastAsia="zh-CN"/>
        </w:rPr>
        <w:t>无饮用水水源地、自然保护区、风景名胜区等特殊环境敏感区，不涉及重要生态功能区、生态敏感脆弱区、禁止开发区域以及其他各类保护地</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对照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锡林郭勒盟生态保护红线分布图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，本项目所在位置在生态保护红线</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——西乌珠穆沁旗-生物多样性维护生态功能重要区</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范围内。</w:t>
      </w:r>
      <w:r>
        <w:rPr>
          <w:rFonts w:hint="default" w:ascii="仿宋_GB2312" w:hAnsi="仿宋_GB2312" w:eastAsia="仿宋_GB2312" w:cs="仿宋_GB2312"/>
          <w:snapToGrid w:val="0"/>
          <w:color w:val="auto"/>
          <w:kern w:val="2"/>
          <w:sz w:val="32"/>
          <w:szCs w:val="32"/>
          <w:lang w:val="en-US" w:eastAsia="zh-CN" w:bidi="ar-SA"/>
        </w:rPr>
        <w:t>根据《关于内蒙古锡林郭勒盟西乌珠穆沁旗乌日吉勒(G306)至白牛场新建公路工程项目符合生态保护红线内允许有限人为活动的认定意见》，选址选线位于锡林郭勒盟西乌珠穆沁旗境内，已纳入《锡林郭勒盟西乌珠穆沁旗国土空间规划(2021-2035年)》,线路最优性原因无法避让生态保护红线23.0392公顷，不涉及自然保护区和饮用水源一级保护区，不涉及新增建设用地，</w:t>
      </w:r>
      <w:r>
        <w:rPr>
          <w:rFonts w:hint="eastAsia" w:ascii="仿宋_GB2312" w:hAnsi="仿宋_GB2312" w:eastAsia="仿宋_GB2312" w:cs="仿宋_GB2312"/>
          <w:snapToGrid w:val="0"/>
          <w:color w:val="auto"/>
          <w:kern w:val="2"/>
          <w:sz w:val="32"/>
          <w:szCs w:val="32"/>
          <w:lang w:val="en-US" w:eastAsia="zh-CN" w:bidi="ar-SA"/>
        </w:rPr>
        <w:t>西乌珠穆沁旗2023年度草原畜牧业转型升级试点项目（乌珠穆沁白牛核心育种场创建和认定进场道路）占地面积2.14公顷，为上述文件认定道路的支线，</w:t>
      </w:r>
      <w:r>
        <w:rPr>
          <w:rFonts w:hint="default" w:ascii="仿宋_GB2312" w:hAnsi="仿宋_GB2312" w:eastAsia="仿宋_GB2312" w:cs="仿宋_GB2312"/>
          <w:snapToGrid w:val="0"/>
          <w:color w:val="auto"/>
          <w:kern w:val="2"/>
          <w:sz w:val="32"/>
          <w:szCs w:val="32"/>
          <w:lang w:val="en-US" w:eastAsia="zh-CN" w:bidi="ar-SA"/>
        </w:rPr>
        <w:t>符合《内蒙古自治区人民政府办公厅关于加强生态保护红线管理的实施意见(试行)》(内政办发〔2023〕74号)中“必须且无法避让、符合旗县级以上国土空间规划的线性基础设施、通讯和防洪、供水设施建设和船舶航行、航道疏浚清淤等活动；已有的合法水利、交通运输等设施运行维护改造。”的规定。</w:t>
      </w:r>
      <w:r>
        <w:rPr>
          <w:rFonts w:hint="eastAsia" w:ascii="仿宋_GB2312" w:hAnsi="仿宋_GB2312" w:eastAsia="仿宋_GB2312" w:cs="仿宋_GB2312"/>
          <w:snapToGrid w:val="0"/>
          <w:color w:val="auto"/>
          <w:kern w:val="2"/>
          <w:sz w:val="32"/>
          <w:szCs w:val="32"/>
          <w:lang w:val="en-US" w:eastAsia="zh-CN" w:bidi="ar-SA"/>
        </w:rPr>
        <w:t>项目属于线性基础设施工程，且符合西乌珠穆沁旗国土空间总体规划，属于允许对生态功能不造成破坏的有限人为活动。</w:t>
      </w:r>
      <w:r>
        <w:rPr>
          <w:rFonts w:hint="eastAsia" w:ascii="仿宋_GB2312" w:hAnsi="仿宋_GB2312" w:eastAsia="仿宋_GB2312" w:cs="仿宋_GB2312"/>
          <w:color w:val="auto"/>
          <w:sz w:val="32"/>
          <w:szCs w:val="32"/>
          <w:lang w:val="en-US" w:eastAsia="zh-CN"/>
        </w:rPr>
        <w:t>依据《锡林郭勒盟生态环境准入清单》（2023年版）中“锡林郭勒盟西乌珠穆沁旗生态环境准入清单”，项目区域环境管控单元名称为“</w:t>
      </w:r>
      <w:r>
        <w:rPr>
          <w:rFonts w:hint="default" w:ascii="仿宋_GB2312" w:hAnsi="仿宋_GB2312" w:eastAsia="仿宋_GB2312" w:cs="仿宋_GB2312"/>
          <w:color w:val="auto"/>
          <w:sz w:val="32"/>
          <w:szCs w:val="32"/>
          <w:highlight w:val="none"/>
          <w:lang w:val="en-US" w:eastAsia="zh-CN"/>
        </w:rPr>
        <w:t>西乌珠穆沁旗-水源养生态功能重要区</w:t>
      </w:r>
      <w:r>
        <w:rPr>
          <w:rFonts w:hint="eastAsia" w:ascii="仿宋_GB2312" w:hAnsi="仿宋_GB2312" w:eastAsia="仿宋_GB2312" w:cs="仿宋_GB2312"/>
          <w:color w:val="auto"/>
          <w:sz w:val="32"/>
          <w:szCs w:val="32"/>
          <w:lang w:val="en-US" w:eastAsia="zh-CN"/>
        </w:rPr>
        <w:t>”（ZH15252610008），符合该环境管控单元空间布局约束、污染物排放管控、环境风险防控、资源利用效率要求。</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综上，该项目符合“三线一单”及准入要求。</w:t>
      </w:r>
    </w:p>
    <w:p w14:paraId="4B9E002A">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二、项目在设计、建设和运营过程中应做好以下工作：</w:t>
      </w:r>
    </w:p>
    <w:p w14:paraId="1A4C11CE">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60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1、大气污染防治方面。项目施工期</w:t>
      </w:r>
      <w:r>
        <w:rPr>
          <w:rFonts w:hint="eastAsia" w:ascii="仿宋_GB2312" w:hAnsi="仿宋_GB2312" w:eastAsia="仿宋_GB2312" w:cs="仿宋_GB2312"/>
          <w:color w:val="auto"/>
          <w:sz w:val="32"/>
          <w:szCs w:val="32"/>
          <w:lang w:val="en-US" w:eastAsia="zh-CN"/>
        </w:rPr>
        <w:t>大气污染物为施工作业扬尘、运输扬尘及汽车尾气等。建设单位和施工单位应加强运输土石方散体物质车辆管理，运输车辆采用加盖蓬布等防护措施；施工开挖土方移挖作填，尽量横向调配，减少远距离运输，表土及未能及时回填的土方应集中堆放、苫盖，减少粉尘影响；</w:t>
      </w:r>
      <w:r>
        <w:rPr>
          <w:rFonts w:hint="eastAsia" w:ascii="仿宋_GB2312" w:hAnsi="仿宋_GB2312" w:eastAsia="仿宋_GB2312" w:cs="仿宋_GB2312"/>
          <w:b w:val="0"/>
          <w:bCs w:val="0"/>
          <w:color w:val="auto"/>
          <w:sz w:val="32"/>
          <w:szCs w:val="32"/>
          <w:lang w:val="en-US" w:eastAsia="zh-CN"/>
        </w:rPr>
        <w:t>混凝土</w:t>
      </w:r>
      <w:r>
        <w:rPr>
          <w:rFonts w:hint="default" w:ascii="仿宋_GB2312" w:hAnsi="仿宋_GB2312" w:eastAsia="仿宋_GB2312" w:cs="仿宋_GB2312"/>
          <w:b w:val="0"/>
          <w:bCs w:val="0"/>
          <w:color w:val="auto"/>
          <w:sz w:val="32"/>
          <w:szCs w:val="32"/>
          <w:lang w:val="en-US" w:eastAsia="zh-CN"/>
        </w:rPr>
        <w:t>投料和搅拌过程中产生的粉尘收集后经搅拌主机配套的布袋收尘器处理，经收尘器处理后回用于生产。</w:t>
      </w:r>
      <w:r>
        <w:rPr>
          <w:rFonts w:hint="eastAsia" w:ascii="仿宋_GB2312" w:hAnsi="仿宋_GB2312" w:eastAsia="仿宋_GB2312" w:cs="仿宋_GB2312"/>
          <w:color w:val="auto"/>
          <w:kern w:val="0"/>
          <w:sz w:val="32"/>
          <w:szCs w:val="32"/>
          <w:lang w:val="en-US" w:eastAsia="zh-CN" w:bidi="ar"/>
        </w:rPr>
        <w:t>运营期产生的大气污染物主要是汽车尾气、</w:t>
      </w:r>
      <w:r>
        <w:rPr>
          <w:rFonts w:hint="eastAsia" w:ascii="仿宋_GB2312" w:hAnsi="仿宋_GB2312" w:eastAsia="仿宋_GB2312" w:cs="仿宋_GB2312"/>
          <w:color w:val="000000" w:themeColor="text1"/>
          <w:sz w:val="32"/>
          <w:szCs w:val="32"/>
          <w14:textFill>
            <w14:solidFill>
              <w14:schemeClr w14:val="tx1"/>
            </w14:solidFill>
          </w14:textFill>
        </w:rPr>
        <w:t>过往车辆产生的道路扬尘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等</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auto"/>
          <w:kern w:val="0"/>
          <w:sz w:val="32"/>
          <w:szCs w:val="32"/>
          <w:lang w:val="en-US" w:eastAsia="zh-CN" w:bidi="ar"/>
        </w:rPr>
        <w:t>建设单位应加强道路的养护，</w:t>
      </w:r>
      <w:r>
        <w:rPr>
          <w:rFonts w:hint="eastAsia" w:ascii="仿宋_GB2312" w:hAnsi="仿宋_GB2312" w:eastAsia="仿宋_GB2312" w:cs="仿宋_GB2312"/>
          <w:color w:val="000000" w:themeColor="text1"/>
          <w:sz w:val="32"/>
          <w:szCs w:val="32"/>
          <w14:textFill>
            <w14:solidFill>
              <w14:schemeClr w14:val="tx1"/>
            </w14:solidFill>
          </w14:textFill>
        </w:rPr>
        <w:t>养护过程中的水泥、石灰等散装物料运输和存放，应采取防风遮挡措施，以减少起尘量；</w:t>
      </w:r>
      <w:r>
        <w:rPr>
          <w:rFonts w:hint="eastAsia" w:ascii="仿宋_GB2312" w:hAnsi="仿宋_GB2312" w:eastAsia="仿宋_GB2312" w:cs="仿宋_GB2312"/>
          <w:color w:val="auto"/>
          <w:kern w:val="0"/>
          <w:sz w:val="32"/>
          <w:szCs w:val="32"/>
          <w:lang w:val="en-US" w:eastAsia="zh-CN" w:bidi="ar"/>
        </w:rPr>
        <w:t>道路两旁进行植被恢复，敏感目标路段来往车辆限制车速，安装限速标识，</w:t>
      </w:r>
      <w:r>
        <w:rPr>
          <w:rFonts w:hint="eastAsia" w:ascii="仿宋_GB2312" w:hAnsi="仿宋_GB2312" w:eastAsia="仿宋_GB2312" w:cs="仿宋_GB2312"/>
          <w:color w:val="000000" w:themeColor="text1"/>
          <w:sz w:val="32"/>
          <w:szCs w:val="32"/>
          <w14:textFill>
            <w14:solidFill>
              <w14:schemeClr w14:val="tx1"/>
            </w14:solidFill>
          </w14:textFill>
        </w:rPr>
        <w:t>根据天气情况，定期对裸露的道路和施工场所洒水</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auto"/>
          <w:kern w:val="0"/>
          <w:sz w:val="32"/>
          <w:szCs w:val="32"/>
          <w:lang w:val="en-US" w:eastAsia="zh-CN" w:bidi="ar"/>
        </w:rPr>
        <w:t>抑制道路扬尘的产生。</w:t>
      </w:r>
    </w:p>
    <w:p w14:paraId="589226FB">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2、水污染防治措施。</w:t>
      </w:r>
      <w:r>
        <w:rPr>
          <w:rFonts w:hint="default" w:ascii="仿宋_GB2312" w:hAnsi="仿宋_GB2312" w:eastAsia="仿宋_GB2312" w:cs="仿宋_GB2312"/>
          <w:color w:val="auto"/>
          <w:sz w:val="32"/>
          <w:szCs w:val="32"/>
          <w:lang w:val="en-US" w:eastAsia="zh-CN"/>
        </w:rPr>
        <w:t>项目施工</w:t>
      </w:r>
      <w:r>
        <w:rPr>
          <w:rFonts w:hint="eastAsia" w:ascii="仿宋_GB2312" w:hAnsi="仿宋_GB2312" w:eastAsia="仿宋_GB2312" w:cs="仿宋_GB2312"/>
          <w:color w:val="auto"/>
          <w:sz w:val="32"/>
          <w:szCs w:val="32"/>
          <w:lang w:val="en-US" w:eastAsia="zh-CN"/>
        </w:rPr>
        <w:t>营地</w:t>
      </w:r>
      <w:r>
        <w:rPr>
          <w:rFonts w:hint="default" w:ascii="仿宋_GB2312" w:hAnsi="仿宋_GB2312" w:eastAsia="仿宋_GB2312" w:cs="仿宋_GB2312"/>
          <w:color w:val="auto"/>
          <w:sz w:val="32"/>
          <w:szCs w:val="32"/>
          <w:lang w:val="en-US" w:eastAsia="zh-CN"/>
        </w:rPr>
        <w:t>设置临时移动厕所进行收集，</w:t>
      </w:r>
      <w:r>
        <w:rPr>
          <w:rFonts w:hint="eastAsia" w:ascii="仿宋_GB2312" w:hAnsi="仿宋_GB2312" w:eastAsia="仿宋_GB2312" w:cs="仿宋_GB2312"/>
          <w:color w:val="auto"/>
          <w:sz w:val="32"/>
          <w:szCs w:val="32"/>
          <w:lang w:val="en-US" w:eastAsia="zh-CN"/>
        </w:rPr>
        <w:t>定期</w:t>
      </w:r>
      <w:r>
        <w:rPr>
          <w:rFonts w:hint="default" w:ascii="仿宋_GB2312" w:hAnsi="仿宋_GB2312" w:eastAsia="仿宋_GB2312" w:cs="仿宋_GB2312"/>
          <w:color w:val="auto"/>
          <w:sz w:val="32"/>
          <w:szCs w:val="32"/>
          <w:lang w:val="en-US" w:eastAsia="zh-CN"/>
        </w:rPr>
        <w:t>清掏排入城镇污水处理厂，严禁直接排放。</w:t>
      </w:r>
      <w:r>
        <w:rPr>
          <w:rFonts w:hint="eastAsia" w:ascii="仿宋_GB2312" w:hAnsi="仿宋_GB2312" w:eastAsia="仿宋_GB2312" w:cs="仿宋_GB2312"/>
          <w:b w:val="0"/>
          <w:bCs w:val="0"/>
          <w:color w:val="auto"/>
          <w:sz w:val="32"/>
          <w:szCs w:val="32"/>
        </w:rPr>
        <w:t>项目沿线不建设收费站、服务区、养护工区等，运营期无废水产生。</w:t>
      </w:r>
    </w:p>
    <w:p w14:paraId="06DA80F7">
      <w:pPr>
        <w:pStyle w:val="15"/>
        <w:keepNext w:val="0"/>
        <w:keepLines w:val="0"/>
        <w:pageBreakBefore w:val="0"/>
        <w:numPr>
          <w:ilvl w:val="0"/>
          <w:numId w:val="0"/>
        </w:numPr>
        <w:kinsoku/>
        <w:wordWrap/>
        <w:overflowPunct/>
        <w:topLinePunct w:val="0"/>
        <w:autoSpaceDE/>
        <w:autoSpaceDN/>
        <w:bidi w:val="0"/>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3、固废污染防治措施。</w:t>
      </w:r>
      <w:r>
        <w:rPr>
          <w:rFonts w:hint="eastAsia" w:ascii="仿宋_GB2312" w:hAnsi="仿宋_GB2312" w:eastAsia="仿宋_GB2312" w:cs="仿宋_GB2312"/>
          <w:color w:val="auto"/>
          <w:sz w:val="32"/>
          <w:szCs w:val="32"/>
          <w:lang w:val="en-US" w:eastAsia="zh-CN"/>
        </w:rPr>
        <w:t>项目为道路建设项目，挖方全部回填，无弃方；施工人员产生的生活垃圾进行集中收集，交由环卫部门处置；</w:t>
      </w:r>
      <w:r>
        <w:rPr>
          <w:rFonts w:hint="default" w:ascii="仿宋_GB2312" w:hAnsi="仿宋_GB2312" w:eastAsia="仿宋_GB2312" w:cs="仿宋_GB2312"/>
          <w:color w:val="auto"/>
          <w:sz w:val="32"/>
          <w:szCs w:val="32"/>
          <w:lang w:val="en-US" w:eastAsia="zh-CN"/>
        </w:rPr>
        <w:t>施工过程产生的建筑垃圾成分主要是施工材料包装物筑废模板、建筑材料下脚料、包装袋以及碎砂石、砖、混凝土等</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建筑垃圾经收集后运至相关部门指定地点进行处理。</w:t>
      </w:r>
      <w:r>
        <w:rPr>
          <w:rFonts w:hint="eastAsia" w:ascii="仿宋_GB2312" w:hAnsi="仿宋_GB2312" w:eastAsia="仿宋_GB2312" w:cs="仿宋_GB2312"/>
          <w:color w:val="auto"/>
          <w:sz w:val="32"/>
          <w:szCs w:val="32"/>
          <w:lang w:val="en-US" w:eastAsia="zh-CN"/>
        </w:rPr>
        <w:t>公路通车后，应妥善处理过往司乘人员产生的废纸、废塑料袋、烟蒂等生活垃圾，以及汽车装载货物的撒落物等，由当地环卫部门定期清理。</w:t>
      </w:r>
    </w:p>
    <w:p w14:paraId="18E7A87F">
      <w:pPr>
        <w:keepNext w:val="0"/>
        <w:keepLines w:val="0"/>
        <w:pageBreakBefore w:val="0"/>
        <w:widowControl/>
        <w:kinsoku/>
        <w:wordWrap/>
        <w:overflowPunct/>
        <w:topLinePunct w:val="0"/>
        <w:autoSpaceDE/>
        <w:autoSpaceDN/>
        <w:bidi w:val="0"/>
        <w:adjustRightInd w:val="0"/>
        <w:snapToGrid w:val="0"/>
        <w:spacing w:before="79" w:beforeLines="25"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4、噪声污染防治措施。</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利用现有道路进行施工物料运输时，注意调整运输时间，尽量在白天运输；在途经</w:t>
      </w:r>
      <w:bookmarkStart w:id="0" w:name="_GoBack"/>
      <w:bookmarkEnd w:id="0"/>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居民集中区时，应减速慢行，禁止鸣笛；施工单位应尽量选用低噪音、低振动的各类施工机械设备，并尽可能附带消声和隔音的附属设备；避免多台高噪音的机械设备在同一场地和同一时间使用；对排放高强度噪音的施工机械设备，应设置隔声挡板或吸声屏障，减少施工噪声对环境的影响。项目运行期建设单位应</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加强公路交通管理，在敏感点附近路段设置禁鸣、限速标志、减速带，减少交通噪声扰民问题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加强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公路</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通车后的道路养护工作，维持</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公路</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路面的平整度，避免因路况不佳造成车辆颠簸而引起交通噪声</w:t>
      </w:r>
      <w:r>
        <w:rPr>
          <w:rFonts w:hint="eastAsia" w:ascii="仿宋_GB2312" w:hAnsi="仿宋_GB2312" w:eastAsia="仿宋_GB2312" w:cs="仿宋_GB2312"/>
          <w:color w:val="auto"/>
          <w:sz w:val="32"/>
          <w:szCs w:val="32"/>
          <w:lang w:val="en-US" w:eastAsia="zh-CN"/>
        </w:rPr>
        <w:t>。</w:t>
      </w:r>
    </w:p>
    <w:p w14:paraId="3821096B">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5、生态环境保护措施。施工单位在</w:t>
      </w:r>
      <w:r>
        <w:rPr>
          <w:rFonts w:hint="eastAsia" w:ascii="仿宋_GB2312" w:hAnsi="仿宋_GB2312" w:eastAsia="仿宋_GB2312" w:cs="仿宋_GB2312"/>
          <w:color w:val="auto"/>
          <w:sz w:val="32"/>
          <w:szCs w:val="32"/>
          <w:highlight w:val="none"/>
          <w:lang w:val="en-US" w:eastAsia="zh-CN"/>
        </w:rPr>
        <w:t>施工过程中应加强施工管理，严格控制施工作业范围，禁止越界施工，对生态保护红线影响降到最小；采取土石方平衡措施，禁止外排生态红线等生态敏感区，减少对生态的破坏</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color w:val="auto"/>
          <w:sz w:val="32"/>
          <w:szCs w:val="32"/>
          <w:highlight w:val="none"/>
          <w:lang w:val="en-US" w:eastAsia="zh-CN"/>
        </w:rPr>
        <w:t>施工结束后对沿线进行路基边坡及两侧进行植被恢复，物种选择适应地区的灌木、草本植物，达到生态补偿效果，使公路建设与生态环境建设协调一致；</w:t>
      </w:r>
      <w:r>
        <w:rPr>
          <w:rFonts w:hint="eastAsia" w:ascii="仿宋_GB2312" w:hAnsi="仿宋_GB2312" w:eastAsia="仿宋_GB2312" w:cs="仿宋_GB2312"/>
          <w:b w:val="0"/>
          <w:bCs w:val="0"/>
          <w:color w:val="auto"/>
          <w:kern w:val="2"/>
          <w:sz w:val="32"/>
          <w:szCs w:val="32"/>
          <w:lang w:val="en-US" w:eastAsia="zh-CN" w:bidi="ar-SA"/>
        </w:rPr>
        <w:t>项目路基边坡、至界桩两侧、施工生产生活区、取土场植被恢复计划边施工边恢复；对恢复植被进行管护，严禁放牧，禁止车辆及行人碾压、践踏，开展植被抚育，如发现枯死植被，及时进行补种，确保植被恢复与自然景观基本一致，植被最终达到恢复目标。</w:t>
      </w:r>
      <w:r>
        <w:rPr>
          <w:rFonts w:hint="eastAsia" w:ascii="仿宋_GB2312" w:hAnsi="仿宋_GB2312" w:eastAsia="仿宋_GB2312" w:cs="仿宋_GB2312"/>
          <w:sz w:val="32"/>
          <w:szCs w:val="32"/>
          <w:lang w:eastAsia="zh-CN"/>
        </w:rPr>
        <w:t>项目运营期</w:t>
      </w:r>
      <w:r>
        <w:rPr>
          <w:rFonts w:hint="eastAsia" w:ascii="仿宋_GB2312" w:hAnsi="仿宋_GB2312" w:eastAsia="仿宋_GB2312" w:cs="仿宋_GB2312"/>
          <w:b w:val="0"/>
          <w:bCs w:val="0"/>
          <w:color w:val="auto"/>
          <w:sz w:val="32"/>
          <w:szCs w:val="32"/>
          <w:lang w:val="en-US" w:eastAsia="zh-CN"/>
        </w:rPr>
        <w:t>加强对路基边坡及两侧植被的管理与养护，保证成活率；交通管理及养护部门应加强管理和宣传教育，确保沿线的恢复植被不受破坏；加强营运期管理，制定工作制度，定期开展相关环保培训，以提高环境管理水平，杜绝环境事故；项目运营后五年内对植被恢复情况通过生态监测了解临时用地植被的恢复况，如果发现植株死亡或者覆盖率达不到预计目标，要尽快补植，并形成工作制度，严格执行；恢复施工过程中裸露的地表植被，植物种优先选择适合于当地生长的乡土植物种，确保生物安全；定期对植被、野生动物等进行监测；对影响和破坏的植被进行生态补偿。</w:t>
      </w:r>
    </w:p>
    <w:p w14:paraId="6BA8DC46">
      <w:pPr>
        <w:keepNext w:val="0"/>
        <w:keepLines w:val="0"/>
        <w:pageBreakBefore w:val="0"/>
        <w:widowControl w:val="0"/>
        <w:kinsoku/>
        <w:wordWrap/>
        <w:overflowPunct/>
        <w:topLinePunct w:val="0"/>
        <w:autoSpaceDE/>
        <w:autoSpaceDN/>
        <w:bidi w:val="0"/>
        <w:adjustRightInd/>
        <w:snapToGrid/>
        <w:spacing w:beforeLines="25" w:line="58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三、项目建设必须严格执行环境保护设施与主体工程同时设计、同时施工、同时投入使用的环境保护“三同时”制度。</w:t>
      </w:r>
    </w:p>
    <w:p w14:paraId="063BE296">
      <w:pPr>
        <w:keepNext w:val="0"/>
        <w:keepLines w:val="0"/>
        <w:pageBreakBefore w:val="0"/>
        <w:widowControl w:val="0"/>
        <w:kinsoku/>
        <w:wordWrap/>
        <w:overflowPunct/>
        <w:topLinePunct w:val="0"/>
        <w:autoSpaceDE/>
        <w:autoSpaceDN/>
        <w:bidi w:val="0"/>
        <w:adjustRightInd/>
        <w:snapToGrid/>
        <w:spacing w:beforeLines="25" w:line="58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（一）要将环境保护措施纳入初步设计报告并落实环保设施投资概算。</w:t>
      </w:r>
    </w:p>
    <w:p w14:paraId="6E326543">
      <w:pPr>
        <w:keepNext w:val="0"/>
        <w:keepLines w:val="0"/>
        <w:pageBreakBefore w:val="0"/>
        <w:widowControl w:val="0"/>
        <w:kinsoku/>
        <w:wordWrap/>
        <w:overflowPunct/>
        <w:topLinePunct w:val="0"/>
        <w:autoSpaceDE/>
        <w:autoSpaceDN/>
        <w:bidi w:val="0"/>
        <w:adjustRightInd/>
        <w:snapToGrid/>
        <w:spacing w:beforeLines="25" w:line="580" w:lineRule="exact"/>
        <w:ind w:firstLine="640" w:firstLineChars="200"/>
        <w:textAlignment w:val="auto"/>
        <w:rPr>
          <w:rFonts w:hint="default"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（二）要将环境保护设施建设纳入施工合同，保证环境保护设施建设进度和资金。</w:t>
      </w:r>
    </w:p>
    <w:p w14:paraId="74BF1581">
      <w:pPr>
        <w:keepNext w:val="0"/>
        <w:keepLines w:val="0"/>
        <w:pageBreakBefore w:val="0"/>
        <w:widowControl w:val="0"/>
        <w:kinsoku/>
        <w:wordWrap/>
        <w:overflowPunct/>
        <w:topLinePunct w:val="0"/>
        <w:autoSpaceDE/>
        <w:autoSpaceDN/>
        <w:bidi w:val="0"/>
        <w:adjustRightInd/>
        <w:snapToGrid/>
        <w:spacing w:beforeLines="25" w:line="58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（三）项目竣工后须按规定程序实施竣工环境保护验收，验收合格后方可正式投运。</w:t>
      </w:r>
    </w:p>
    <w:p w14:paraId="0A294AD7">
      <w:pPr>
        <w:keepNext w:val="0"/>
        <w:keepLines w:val="0"/>
        <w:pageBreakBefore w:val="0"/>
        <w:widowControl w:val="0"/>
        <w:kinsoku/>
        <w:wordWrap/>
        <w:overflowPunct/>
        <w:topLinePunct w:val="0"/>
        <w:autoSpaceDE/>
        <w:autoSpaceDN/>
        <w:bidi w:val="0"/>
        <w:adjustRightInd/>
        <w:snapToGrid/>
        <w:spacing w:beforeLines="25" w:line="580" w:lineRule="exact"/>
        <w:ind w:firstLine="640" w:firstLineChars="2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四、我局委托锡林郭勒盟生态环境局西乌旗分局对该项目各项污染防治措施落实情况进行监督检查和管理。</w:t>
      </w:r>
    </w:p>
    <w:p w14:paraId="34F6EAC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4DB3017C">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14:paraId="04DDA51A">
      <w:pPr>
        <w:keepNext w:val="0"/>
        <w:keepLines w:val="0"/>
        <w:pageBreakBefore w:val="0"/>
        <w:widowControl w:val="0"/>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2025年3月6日</w:t>
      </w:r>
    </w:p>
    <w:p w14:paraId="01EBA2DE">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0DCD0284">
      <w:pPr>
        <w:pBdr>
          <w:top w:val="single" w:color="auto" w:sz="4" w:space="1"/>
          <w:left w:val="none" w:color="auto" w:sz="0" w:space="0"/>
          <w:bottom w:val="single" w:color="auto" w:sz="4" w:space="1"/>
          <w:right w:val="none" w:color="auto" w:sz="0" w:space="0"/>
        </w:pBdr>
        <w:spacing w:line="540" w:lineRule="exact"/>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w:t>
      </w:r>
      <w:r>
        <w:rPr>
          <w:rFonts w:hint="eastAsia" w:ascii="仿宋_GB2312" w:hAnsi="仿宋_GB2312" w:eastAsia="仿宋_GB2312" w:cs="仿宋_GB2312"/>
          <w:spacing w:val="-2"/>
          <w:w w:val="90"/>
          <w:sz w:val="32"/>
          <w:szCs w:val="32"/>
          <w:highlight w:val="none"/>
          <w:lang w:val="en-US" w:eastAsia="zh-CN"/>
        </w:rPr>
        <w:t>25</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3</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6</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E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5NmMyZmJhOTJkNjQxNDU5MjhjOThhZGVmNmM0NDUifQ=="/>
  </w:docVars>
  <w:rsids>
    <w:rsidRoot w:val="5EC66ED4"/>
    <w:rsid w:val="002338E7"/>
    <w:rsid w:val="002649C7"/>
    <w:rsid w:val="00485B84"/>
    <w:rsid w:val="008063C5"/>
    <w:rsid w:val="00971D77"/>
    <w:rsid w:val="00A041AA"/>
    <w:rsid w:val="00A368D6"/>
    <w:rsid w:val="00A8256E"/>
    <w:rsid w:val="00B41233"/>
    <w:rsid w:val="00B57562"/>
    <w:rsid w:val="00BB67CA"/>
    <w:rsid w:val="00C014C7"/>
    <w:rsid w:val="00F24233"/>
    <w:rsid w:val="00FB66AF"/>
    <w:rsid w:val="017F5C19"/>
    <w:rsid w:val="018E255D"/>
    <w:rsid w:val="079D0356"/>
    <w:rsid w:val="08292EF0"/>
    <w:rsid w:val="09131551"/>
    <w:rsid w:val="09665DE7"/>
    <w:rsid w:val="0A302749"/>
    <w:rsid w:val="0A6D250B"/>
    <w:rsid w:val="0AF55F71"/>
    <w:rsid w:val="0E746B5A"/>
    <w:rsid w:val="11A82DA9"/>
    <w:rsid w:val="11B91091"/>
    <w:rsid w:val="14BA613D"/>
    <w:rsid w:val="150500C9"/>
    <w:rsid w:val="15090015"/>
    <w:rsid w:val="17F03DBE"/>
    <w:rsid w:val="189A621D"/>
    <w:rsid w:val="1EB661F5"/>
    <w:rsid w:val="1F0942A1"/>
    <w:rsid w:val="1FEF0AB1"/>
    <w:rsid w:val="20625EBD"/>
    <w:rsid w:val="207A15EC"/>
    <w:rsid w:val="22775781"/>
    <w:rsid w:val="24C91014"/>
    <w:rsid w:val="26721809"/>
    <w:rsid w:val="28847071"/>
    <w:rsid w:val="2E2C61C7"/>
    <w:rsid w:val="2FC806FA"/>
    <w:rsid w:val="33362498"/>
    <w:rsid w:val="351A1FA1"/>
    <w:rsid w:val="389E30FE"/>
    <w:rsid w:val="3B0C28D2"/>
    <w:rsid w:val="3B0C2E58"/>
    <w:rsid w:val="3C63045A"/>
    <w:rsid w:val="3F6D721C"/>
    <w:rsid w:val="3FA265BF"/>
    <w:rsid w:val="49893DAA"/>
    <w:rsid w:val="4CA913C7"/>
    <w:rsid w:val="4FCC07B9"/>
    <w:rsid w:val="509757B4"/>
    <w:rsid w:val="50FB2104"/>
    <w:rsid w:val="522241C5"/>
    <w:rsid w:val="52DE02D1"/>
    <w:rsid w:val="536856F0"/>
    <w:rsid w:val="53A148BE"/>
    <w:rsid w:val="543D7097"/>
    <w:rsid w:val="550D3A9F"/>
    <w:rsid w:val="595E4131"/>
    <w:rsid w:val="5A6673EF"/>
    <w:rsid w:val="5A962B6A"/>
    <w:rsid w:val="5CCF1D9B"/>
    <w:rsid w:val="5E141E77"/>
    <w:rsid w:val="5EC66ED4"/>
    <w:rsid w:val="5EF25A14"/>
    <w:rsid w:val="5F0423F2"/>
    <w:rsid w:val="5F2B096A"/>
    <w:rsid w:val="62976515"/>
    <w:rsid w:val="63A36E9E"/>
    <w:rsid w:val="63FB4930"/>
    <w:rsid w:val="68FD394B"/>
    <w:rsid w:val="69B56FF0"/>
    <w:rsid w:val="6A8A6014"/>
    <w:rsid w:val="716A177A"/>
    <w:rsid w:val="71BC1EFB"/>
    <w:rsid w:val="74F15189"/>
    <w:rsid w:val="76606C42"/>
    <w:rsid w:val="76BB201E"/>
    <w:rsid w:val="7BC80808"/>
    <w:rsid w:val="7C457AD0"/>
    <w:rsid w:val="7D6C334B"/>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4">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5">
    <w:name w:val="E-mail Signature"/>
    <w:basedOn w:val="1"/>
    <w:next w:val="6"/>
    <w:autoRedefine/>
    <w:qFormat/>
    <w:uiPriority w:val="0"/>
    <w:pPr>
      <w:spacing w:line="460" w:lineRule="exact"/>
      <w:ind w:firstLine="200"/>
    </w:pPr>
    <w:rPr>
      <w:sz w:val="24"/>
    </w:rPr>
  </w:style>
  <w:style w:type="paragraph" w:customStyle="1" w:styleId="6">
    <w:name w:val="文章"/>
    <w:basedOn w:val="7"/>
    <w:next w:val="8"/>
    <w:autoRedefine/>
    <w:qFormat/>
    <w:uiPriority w:val="0"/>
    <w:pPr>
      <w:widowControl/>
      <w:jc w:val="center"/>
    </w:pPr>
    <w:rPr>
      <w:sz w:val="26"/>
    </w:rPr>
  </w:style>
  <w:style w:type="paragraph" w:styleId="7">
    <w:name w:val="Body Text Indent"/>
    <w:basedOn w:val="1"/>
    <w:next w:val="1"/>
    <w:autoRedefine/>
    <w:qFormat/>
    <w:uiPriority w:val="0"/>
    <w:pPr>
      <w:spacing w:line="500" w:lineRule="exact"/>
      <w:ind w:firstLine="454"/>
    </w:pPr>
    <w:rPr>
      <w:rFonts w:ascii="楷体_GB2312" w:eastAsia="楷体_GB2312"/>
      <w:bCs/>
      <w:sz w:val="24"/>
    </w:rPr>
  </w:style>
  <w:style w:type="paragraph" w:styleId="8">
    <w:name w:val="List"/>
    <w:basedOn w:val="1"/>
    <w:next w:val="9"/>
    <w:autoRedefine/>
    <w:qFormat/>
    <w:uiPriority w:val="0"/>
    <w:pPr>
      <w:jc w:val="center"/>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pPr>
    <w:rPr>
      <w:rFonts w:ascii="宋体"/>
    </w:rPr>
  </w:style>
  <w:style w:type="paragraph" w:customStyle="1" w:styleId="11">
    <w:name w:val="正文缩进1"/>
    <w:basedOn w:val="1"/>
    <w:next w:val="12"/>
    <w:autoRedefine/>
    <w:qFormat/>
    <w:uiPriority w:val="0"/>
    <w:pPr>
      <w:ind w:firstLine="420"/>
    </w:pPr>
    <w:rPr>
      <w:szCs w:val="20"/>
    </w:r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footer"/>
    <w:basedOn w:val="1"/>
    <w:link w:val="23"/>
    <w:autoRedefine/>
    <w:qFormat/>
    <w:uiPriority w:val="0"/>
    <w:pPr>
      <w:tabs>
        <w:tab w:val="center" w:pos="4153"/>
        <w:tab w:val="right" w:pos="8306"/>
      </w:tabs>
      <w:snapToGrid w:val="0"/>
      <w:jc w:val="left"/>
    </w:pPr>
    <w:rPr>
      <w:sz w:val="18"/>
      <w:szCs w:val="18"/>
    </w:rPr>
  </w:style>
  <w:style w:type="paragraph" w:styleId="14">
    <w:name w:val="header"/>
    <w:basedOn w:val="1"/>
    <w:link w:val="22"/>
    <w:autoRedefine/>
    <w:qFormat/>
    <w:uiPriority w:val="0"/>
    <w:pPr>
      <w:pBdr>
        <w:bottom w:val="single" w:color="auto" w:sz="6" w:space="1"/>
      </w:pBdr>
      <w:tabs>
        <w:tab w:val="center" w:pos="4153"/>
        <w:tab w:val="right" w:pos="8306"/>
      </w:tabs>
      <w:snapToGrid w:val="0"/>
      <w:jc w:val="center"/>
    </w:pPr>
    <w:rPr>
      <w:sz w:val="18"/>
      <w:szCs w:val="18"/>
    </w:rPr>
  </w:style>
  <w:style w:type="paragraph" w:styleId="15">
    <w:name w:val="toc 2"/>
    <w:basedOn w:val="1"/>
    <w:next w:val="5"/>
    <w:autoRedefine/>
    <w:qFormat/>
    <w:uiPriority w:val="0"/>
    <w:pPr>
      <w:ind w:left="420" w:leftChars="200"/>
    </w:pPr>
  </w:style>
  <w:style w:type="paragraph" w:styleId="16">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7">
    <w:name w:val="Body Text First Indent 2"/>
    <w:basedOn w:val="7"/>
    <w:autoRedefine/>
    <w:qFormat/>
    <w:uiPriority w:val="0"/>
    <w:pPr>
      <w:ind w:firstLine="420" w:firstLineChars="200"/>
    </w:pPr>
  </w:style>
  <w:style w:type="table" w:styleId="19">
    <w:name w:val="Table Grid"/>
    <w:basedOn w:val="1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1">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2">
    <w:name w:val="页眉 Char"/>
    <w:basedOn w:val="20"/>
    <w:link w:val="14"/>
    <w:autoRedefine/>
    <w:qFormat/>
    <w:uiPriority w:val="0"/>
    <w:rPr>
      <w:kern w:val="2"/>
      <w:sz w:val="18"/>
      <w:szCs w:val="18"/>
    </w:rPr>
  </w:style>
  <w:style w:type="character" w:customStyle="1" w:styleId="23">
    <w:name w:val="页脚 Char"/>
    <w:basedOn w:val="20"/>
    <w:link w:val="13"/>
    <w:autoRedefine/>
    <w:qFormat/>
    <w:uiPriority w:val="0"/>
    <w:rPr>
      <w:kern w:val="2"/>
      <w:sz w:val="18"/>
      <w:szCs w:val="18"/>
    </w:rPr>
  </w:style>
  <w:style w:type="paragraph" w:customStyle="1" w:styleId="24">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5">
    <w:name w:val="BodyText1I2"/>
    <w:next w:val="26"/>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26">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27">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28">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3108</Words>
  <Characters>3261</Characters>
  <Lines>10</Lines>
  <Paragraphs>2</Paragraphs>
  <TotalTime>10</TotalTime>
  <ScaleCrop>false</ScaleCrop>
  <LinksUpToDate>false</LinksUpToDate>
  <CharactersWithSpaces>3303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演示人</cp:lastModifiedBy>
  <cp:lastPrinted>2020-03-17T06:55:00Z</cp:lastPrinted>
  <dcterms:modified xsi:type="dcterms:W3CDTF">2025-04-15T01:22:04Z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5B9EED5232C24E819AE0E515CDF9BC12_13</vt:lpwstr>
  </property>
  <property fmtid="{D5CDD505-2E9C-101B-9397-08002B2CF9AE}" pid="4" name="KSOTemplateDocerSaveRecord">
    <vt:lpwstr>eyJoZGlkIjoiZjYyMmM5ZWViZDE5OGI0MjM4NzczOTJkMWU3N2M1YTEiLCJ1c2VySWQiOiIyNTgxMzQ3MjcifQ==</vt:lpwstr>
  </property>
</Properties>
</file>