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10B70">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bookmarkStart w:id="0" w:name="_Hlk124747957"/>
    </w:p>
    <w:p w14:paraId="50C1E157">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48DCD4E5">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037023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BB1B7F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2C07DAA">
      <w:pPr>
        <w:pStyle w:val="27"/>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7839D0F6">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032916D6">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24</w:t>
      </w:r>
      <w:r>
        <w:rPr>
          <w:rFonts w:hint="eastAsia" w:ascii="仿宋_GB2312" w:hAnsi="Times New Roman" w:eastAsia="仿宋_GB2312" w:cs="Arial"/>
          <w:color w:val="auto"/>
          <w:sz w:val="32"/>
          <w:szCs w:val="32"/>
          <w:highlight w:val="none"/>
          <w:lang w:bidi="en-US"/>
        </w:rPr>
        <w:t>号</w:t>
      </w:r>
    </w:p>
    <w:p w14:paraId="7877A644">
      <w:pPr>
        <w:adjustRightInd w:val="0"/>
        <w:snapToGrid w:val="0"/>
        <w:spacing w:line="360" w:lineRule="auto"/>
        <w:jc w:val="center"/>
        <w:rPr>
          <w:b/>
          <w:bCs/>
          <w:color w:val="auto"/>
          <w:sz w:val="32"/>
          <w:szCs w:val="32"/>
          <w:highlight w:val="none"/>
        </w:rPr>
      </w:pPr>
    </w:p>
    <w:bookmarkEnd w:id="0"/>
    <w:p w14:paraId="71F605E6">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锡林郭勒盟生态环境局</w:t>
      </w:r>
    </w:p>
    <w:p w14:paraId="0818DBB8">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关于</w:t>
      </w:r>
      <w:r>
        <w:rPr>
          <w:rFonts w:hint="eastAsia" w:ascii="方正小标宋简体" w:hAnsi="方正小标宋简体" w:eastAsia="方正小标宋简体" w:cs="方正小标宋简体"/>
          <w:bCs/>
          <w:color w:val="auto"/>
          <w:sz w:val="44"/>
          <w:szCs w:val="44"/>
          <w:highlight w:val="none"/>
          <w:lang w:val="en-US" w:eastAsia="zh-CN"/>
        </w:rPr>
        <w:t>内蒙古源浩羊绒制品有限公司废弃物高效循环利用项目</w:t>
      </w:r>
      <w:r>
        <w:rPr>
          <w:rFonts w:hint="eastAsia" w:ascii="方正小标宋简体" w:hAnsi="方正小标宋简体" w:eastAsia="方正小标宋简体" w:cs="方正小标宋简体"/>
          <w:bCs/>
          <w:color w:val="auto"/>
          <w:sz w:val="44"/>
          <w:szCs w:val="44"/>
          <w:highlight w:val="none"/>
        </w:rPr>
        <w:t>环境影响报告书的批复</w:t>
      </w:r>
    </w:p>
    <w:p w14:paraId="6610F7F2">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2F5FB711">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highlight w:val="none"/>
          <w:lang w:val="en-US" w:eastAsia="zh-CN"/>
        </w:rPr>
        <w:t>内蒙古源浩羊绒制品有限公司</w:t>
      </w:r>
      <w:r>
        <w:rPr>
          <w:rFonts w:hint="eastAsia" w:ascii="仿宋_GB2312" w:hAnsi="仿宋_GB2312" w:eastAsia="仿宋_GB2312" w:cs="仿宋_GB2312"/>
          <w:color w:val="auto"/>
          <w:sz w:val="32"/>
          <w:szCs w:val="32"/>
          <w:lang w:bidi="en-US"/>
        </w:rPr>
        <w:t>：</w:t>
      </w:r>
    </w:p>
    <w:p w14:paraId="7CD0933D">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w:t>
      </w:r>
      <w:r>
        <w:rPr>
          <w:rFonts w:hint="eastAsia" w:ascii="仿宋_GB2312" w:hAnsi="仿宋_GB2312" w:eastAsia="仿宋_GB2312" w:cs="仿宋_GB2312"/>
          <w:color w:val="auto"/>
          <w:sz w:val="32"/>
          <w:szCs w:val="32"/>
          <w:lang w:val="en-US" w:eastAsia="zh-CN" w:bidi="en-US"/>
        </w:rPr>
        <w:t>内蒙古源浩羊绒制品有限公司废弃物高效循环利用项目</w:t>
      </w:r>
      <w:r>
        <w:rPr>
          <w:rFonts w:hint="eastAsia" w:ascii="仿宋_GB2312" w:hAnsi="仿宋_GB2312" w:eastAsia="仿宋_GB2312" w:cs="仿宋_GB2312"/>
          <w:color w:val="auto"/>
          <w:sz w:val="32"/>
          <w:szCs w:val="32"/>
          <w:lang w:bidi="en-US"/>
        </w:rPr>
        <w:t>环境影响报告书》（</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3EDA828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_GB2312" w:hAnsi="仿宋_GB2312" w:eastAsia="仿宋_GB2312" w:cs="仿宋_GB2312"/>
          <w:b w:val="0"/>
          <w:bCs/>
          <w:color w:val="auto"/>
          <w:kern w:val="0"/>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rPr>
        <w:t>一、</w:t>
      </w:r>
      <w:bookmarkStart w:id="1" w:name="_GoBack"/>
      <w:bookmarkEnd w:id="1"/>
      <w:r>
        <w:rPr>
          <w:rFonts w:hint="eastAsia" w:ascii="仿宋_GB2312" w:hAnsi="仿宋_GB2312" w:eastAsia="仿宋_GB2312" w:cs="仿宋_GB2312"/>
          <w:color w:val="auto"/>
          <w:sz w:val="32"/>
          <w:szCs w:val="32"/>
          <w:highlight w:val="none"/>
          <w:lang w:val="en-US" w:eastAsia="zh-CN"/>
        </w:rPr>
        <w:t>内蒙古源浩羊绒制品有限公司废弃物高效循环利用项目</w:t>
      </w:r>
      <w:r>
        <w:rPr>
          <w:rFonts w:hint="eastAsia" w:ascii="仿宋_GB2312" w:hAnsi="仿宋_GB2312" w:eastAsia="仿宋_GB2312" w:cs="仿宋_GB2312"/>
          <w:color w:val="auto"/>
          <w:sz w:val="32"/>
          <w:szCs w:val="32"/>
          <w:lang w:val="en-US" w:eastAsia="zh-CN" w:bidi="en-US"/>
        </w:rPr>
        <w:t>，项目位于锡林郭勒盟正镶白旗明安图镇乌宁巴图西街，包含两个厂区，分别为西厂区和东厂区，两个厂区边界距离20m</w:t>
      </w:r>
      <w:r>
        <w:rPr>
          <w:rFonts w:hint="eastAsia" w:ascii="仿宋_GB2312" w:hAnsi="仿宋_GB2312" w:eastAsia="仿宋_GB2312" w:cs="仿宋_GB2312"/>
          <w:b w:val="0"/>
          <w:bCs/>
          <w:color w:val="auto"/>
          <w:kern w:val="0"/>
          <w:sz w:val="32"/>
          <w:szCs w:val="32"/>
          <w:lang w:val="en-US" w:eastAsia="zh-CN" w:bidi="ar"/>
        </w:rPr>
        <w:t>，总占地面积为</w:t>
      </w:r>
      <w:r>
        <w:rPr>
          <w:rFonts w:hint="eastAsia" w:ascii="仿宋_GB2312" w:hAnsi="仿宋_GB2312" w:eastAsia="仿宋_GB2312" w:cs="仿宋_GB2312"/>
          <w:color w:val="auto"/>
          <w:sz w:val="32"/>
          <w:szCs w:val="32"/>
          <w:highlight w:val="none"/>
          <w:lang w:val="en-US" w:eastAsia="zh-CN"/>
        </w:rPr>
        <w:t>32433.84</w:t>
      </w:r>
      <w:r>
        <w:rPr>
          <w:rFonts w:hint="eastAsia" w:ascii="仿宋_GB2312" w:hAnsi="仿宋_GB2312" w:eastAsia="仿宋_GB2312" w:cs="仿宋_GB2312"/>
          <w:b w:val="0"/>
          <w:bCs/>
          <w:color w:val="auto"/>
          <w:kern w:val="0"/>
          <w:sz w:val="32"/>
          <w:szCs w:val="32"/>
          <w:lang w:val="en-US" w:eastAsia="zh-CN" w:bidi="ar"/>
        </w:rPr>
        <w:t>平方米。其中西厂区建设洗毛生产线1条（年产洗净毛0.9万吨）、梳绒生产线5条（年产无毛绒300吨）、配套建设1套厌氧发酵装置对洗毛车间产生的废水进行资源化利用，产生的沼气全部作为本次建设的沼气锅炉燃料，沼渣和沼液作为有机肥还田利用（自用）。配套建设1台4t/h沼气蒸汽锅炉、1台6t/h生物质蒸汽锅炉；东厂区建设1条洗毛生产线（年产洗净毛0.9万吨）及配套库房。项目建成后，年产洗净毛1.8万吨，年产无毛绒300吨。</w:t>
      </w:r>
      <w:r>
        <w:rPr>
          <w:rFonts w:hint="eastAsia" w:ascii="仿宋_GB2312" w:hAnsi="仿宋_GB2312" w:eastAsia="仿宋_GB2312" w:cs="仿宋_GB2312"/>
          <w:color w:val="auto"/>
          <w:sz w:val="32"/>
          <w:szCs w:val="32"/>
          <w:highlight w:val="none"/>
          <w:lang w:val="en-US" w:eastAsia="zh-CN"/>
        </w:rPr>
        <w:t>本项目部分工程已开工建设，锡林郭勒盟生态环境局对其“未批先建”违法行为作出行政处罚决定（锡署环罚（白）字〔2025〕2号），目前罚款已缴清。</w:t>
      </w:r>
    </w:p>
    <w:p w14:paraId="4DB7679D">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14:paraId="440DDA30">
      <w:pPr>
        <w:pStyle w:val="3"/>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left="0" w:leftChars="0" w:firstLine="640" w:firstLineChars="200"/>
        <w:jc w:val="both"/>
        <w:textAlignment w:val="baseline"/>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二、项目在设计、建设和运营过程中还应做好以下工作。</w:t>
      </w:r>
    </w:p>
    <w:p w14:paraId="38F4A6E5">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color w:val="auto"/>
          <w:kern w:val="2"/>
          <w:sz w:val="32"/>
          <w:szCs w:val="32"/>
          <w:lang w:val="en-US" w:eastAsia="zh-CN" w:bidi="ar-SA"/>
        </w:rPr>
        <w:t xml:space="preserve">东、西厂区洗毛车间开松除杂环节均安装集气罩，粉尘经收集后分别通过各车间布袋除尘器处理满足《大气污染物综合排放标准》（GB16297-1996）浓度限值要求后，通过各车间排气筒排放。西厂区洗毛车间废水收集池、TS调节池、固液分离池、沼液池等池体产生的恶臭气体经废气收集管道收集、活性炭吸附装置处理满足《恶臭污染物排放标准》（GB14554-93）浓度限值要求后通过排气筒排放。沼气锅炉烟气经低氮燃烧系统处理后通过排气筒排放，生物质锅炉烟气经低氮燃烧+陶瓷多管除尘器+布袋除尘器+水浴除尘处理后通过排气筒排放，以上两台锅炉烟气中各项污染因子满足《锅炉大气污染物排放标准》（GB13271-2014）浓度限值要求。食堂餐饮油烟经高效净化设施处理满足《饮食业油烟排放标准（试行）》（GB18483-2001）限值要求后通过专用烟道引至屋顶排放。梳绒车间全封闭建设，设备自带粉尘过滤袋；洗毛车间、厌氧发酵罐区、沼渣晾晒区均加强通风，定期喷洒除臭剂，最终厂界颗粒物及恶臭污染因子无组织排放浓度分别满足《大气污染物综合排放标准》（GB16297-1996）及《恶臭污染物排放标准》（GB14554-93）浓度限值要求。 </w:t>
      </w:r>
    </w:p>
    <w:p w14:paraId="5A6C4296">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（二）严格落实固体废物污染防治措施。</w:t>
      </w:r>
      <w:r>
        <w:rPr>
          <w:rFonts w:hint="eastAsia" w:ascii="仿宋_GB2312" w:hAnsi="仿宋_GB2312" w:eastAsia="仿宋_GB2312" w:cs="仿宋_GB2312"/>
          <w:b w:val="0"/>
          <w:bCs w:val="0"/>
          <w:color w:val="auto"/>
          <w:kern w:val="2"/>
          <w:sz w:val="32"/>
          <w:szCs w:val="32"/>
          <w:highlight w:val="none"/>
          <w:lang w:val="en-US" w:eastAsia="zh-CN" w:bidi="en-US"/>
        </w:rPr>
        <w:t>沼气脱硫装置废脱硫剂、纯水制备装置废反渗透膜及过滤组件、布袋除尘器废布袋均由厂家上门更换回收；废包装物、梳绒工序杂质均外售综合利用；开松环节除尘器收尘灰及开松杂质外售有机肥加工企业综合利用；生物质锅炉灰渣作为肥料外售综合利用；分选杂物、废水收集池沉淀杂质、生活垃圾均委托环卫部门集中清运处置。废活性炭、废机油及废油桶均分类、分区、密闭暂存于规范化危废暂存间内，定期委托有资质的单位回收处置。</w:t>
      </w:r>
    </w:p>
    <w:p w14:paraId="40D81142">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b w:val="0"/>
          <w:bCs/>
          <w:color w:val="auto"/>
          <w:kern w:val="2"/>
          <w:sz w:val="32"/>
          <w:szCs w:val="32"/>
          <w:lang w:val="en-US" w:eastAsia="zh-CN" w:bidi="en-US"/>
        </w:rPr>
      </w:pPr>
      <w:r>
        <w:rPr>
          <w:rFonts w:hint="eastAsia" w:ascii="楷体" w:hAnsi="楷体" w:eastAsia="楷体" w:cs="楷体"/>
          <w:color w:val="auto"/>
          <w:kern w:val="2"/>
          <w:sz w:val="32"/>
          <w:szCs w:val="32"/>
          <w:lang w:val="en-US" w:eastAsia="zh-CN" w:bidi="ar-SA"/>
        </w:rPr>
        <w:t>（三）严格落实各项水污染防治措施。</w:t>
      </w:r>
      <w:r>
        <w:rPr>
          <w:rFonts w:hint="eastAsia" w:ascii="仿宋_GB2312" w:hAnsi="仿宋_GB2312" w:eastAsia="仿宋_GB2312" w:cs="仿宋_GB2312"/>
          <w:color w:val="auto"/>
          <w:kern w:val="2"/>
          <w:sz w:val="32"/>
          <w:szCs w:val="32"/>
          <w:highlight w:val="none"/>
          <w:lang w:val="en-US" w:eastAsia="zh-CN" w:bidi="en-US"/>
        </w:rPr>
        <w:t>洗毛生产废水、车间冲洗废水及生活污水中的冲厕废水均排入废水收集池，经TS调质后输送至厌氧发酵系统，废水经厌氧发酵且通过检测满足《沼肥》（NY/T2596-2022）、《农用沼液》（GB/T40750-2021）标准要求后还田自用。锅炉及纯水制备装置排污水回用锅炉除灰及厂区道路抑尘，多余部分与剩余生活污水经化粪池收集处理满足《污水综合排放标准》（GB8978-1996）表4三级标准要求后通过城镇管网排入正镶白旗污水处理厂。</w:t>
      </w:r>
    </w:p>
    <w:p w14:paraId="75FE541C">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严格落实噪声防治措施。</w:t>
      </w:r>
      <w:r>
        <w:rPr>
          <w:rFonts w:hint="eastAsia" w:ascii="仿宋_GB2312" w:hAnsi="仿宋_GB2312" w:eastAsia="仿宋_GB2312" w:cs="仿宋_GB2312"/>
          <w:color w:val="auto"/>
          <w:sz w:val="32"/>
          <w:szCs w:val="32"/>
          <w:lang w:bidi="en-US"/>
        </w:rPr>
        <w:t>本项目噪声源主要为机械设备噪声及道路交通噪声。针对不同的声源采取相应的消声、隔音、减振、降噪措施，高噪设备均置于封闭车间内并加装减震基座，同时加强机械设备日常维护。运输车辆减速行驶，禁止鸣笛。最终噪声排放满足《工业企业厂界环境噪声排放标准》（GB12348-2008）2类标准限值要求。</w:t>
      </w:r>
    </w:p>
    <w:p w14:paraId="44E8CF01">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切实落实土壤和地下水污染防治措施。</w:t>
      </w:r>
      <w:r>
        <w:rPr>
          <w:rFonts w:hint="eastAsia" w:ascii="仿宋_GB2312" w:hAnsi="仿宋_GB2312" w:eastAsia="仿宋_GB2312" w:cs="仿宋_GB2312"/>
          <w:color w:val="auto"/>
          <w:sz w:val="32"/>
          <w:szCs w:val="32"/>
          <w:lang w:eastAsia="zh-CN" w:bidi="en-US"/>
        </w:rPr>
        <w:t>按照“源头控制、分区防控、污染监控、应急响应”相结合的原则采取分区防渗，危废暂存间采取重点防渗措施，并根据《危险废物贮存污染控制标准》（GB18597-2023）建设，所有防渗措施均执行《环境影响评价技术导则地下水环境》(HJ610-2016)标准。</w:t>
      </w:r>
    </w:p>
    <w:p w14:paraId="7219757F">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强化环境风险防范措施。</w:t>
      </w:r>
      <w:r>
        <w:rPr>
          <w:rFonts w:hint="eastAsia" w:ascii="仿宋_GB2312" w:hAnsi="仿宋_GB2312" w:eastAsia="仿宋_GB2312" w:cs="仿宋_GB2312"/>
          <w:color w:val="000000"/>
          <w:kern w:val="2"/>
          <w:sz w:val="32"/>
          <w:szCs w:val="32"/>
          <w:lang w:val="en-US" w:eastAsia="zh-CN" w:bidi="ar-SA"/>
        </w:rPr>
        <w:t>落实环保设施安全生产工作，建立环保设备设施台账和维护管理制度。建立完善的环境管理制度和事故应急措施，制定切实可行的环境风险应急预案，若洗毛废水厌氧发酵后达不到还田标准，建设单位应立即停止生产，配套建设高效污水处理设施，废水经处理满足《毛纺工业水污染物排放标准》（GB28937-2012）表2限值要求后方可继续生产。若沼液肥还田利用出现不畅或无法正常还田利用，建设单位应合理处置沼液肥或停止生产，降低环境风险。加强对危废暂存间的管理；严格落实风险防范措施和应急预案，切实杜绝环境风险事故。</w:t>
      </w:r>
    </w:p>
    <w:p w14:paraId="27FE2582">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严格落实运营期污染源监测计划。</w:t>
      </w:r>
      <w:r>
        <w:rPr>
          <w:rFonts w:hint="eastAsia" w:ascii="仿宋_GB2312" w:hAnsi="仿宋_GB2312" w:eastAsia="仿宋_GB2312" w:cs="仿宋_GB2312"/>
          <w:color w:val="auto"/>
          <w:sz w:val="32"/>
          <w:szCs w:val="32"/>
          <w:lang w:eastAsia="zh-CN" w:bidi="en-US"/>
        </w:rPr>
        <w:t>按照国家和地方有关规定设置规范的污染物排放口，按要求建设监控感知端，并设立标志牌。按照相关标准、规范等要求，落实《报告书》提出的环境管理及监测计划（厌氧发酵废水每次还田前必须开展自行监测）。强化污染源与无组织排放源管理，制定自行监测方案，落实环境管理与监测计划，按规定开展自行监测和信息公开。如出现污染物超标情况，应立即查明原因并采取进一步污染物减排措施。</w:t>
      </w:r>
    </w:p>
    <w:p w14:paraId="586273FC">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三、项</w:t>
      </w:r>
      <w:r>
        <w:rPr>
          <w:rFonts w:hint="eastAsia" w:ascii="仿宋_GB2312" w:hAnsi="仿宋_GB2312" w:eastAsia="仿宋_GB2312" w:cs="仿宋_GB2312"/>
          <w:color w:val="auto"/>
          <w:sz w:val="32"/>
          <w:szCs w:val="32"/>
          <w:lang w:bidi="en-US"/>
        </w:rPr>
        <w:t>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3EAFA6E0">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四、我局</w:t>
      </w:r>
      <w:r>
        <w:rPr>
          <w:rFonts w:hint="eastAsia" w:ascii="仿宋_GB2312" w:hAnsi="仿宋_GB2312" w:eastAsia="仿宋_GB2312" w:cs="仿宋_GB2312"/>
          <w:color w:val="auto"/>
          <w:sz w:val="32"/>
          <w:szCs w:val="32"/>
          <w:lang w:bidi="en-US"/>
        </w:rPr>
        <w:t>委托锡林郭勒盟生态环境局</w:t>
      </w:r>
      <w:r>
        <w:rPr>
          <w:rFonts w:hint="eastAsia" w:ascii="仿宋_GB2312" w:hAnsi="仿宋_GB2312" w:eastAsia="仿宋_GB2312" w:cs="仿宋_GB2312"/>
          <w:color w:val="auto"/>
          <w:sz w:val="32"/>
          <w:szCs w:val="32"/>
          <w:lang w:eastAsia="zh-CN" w:bidi="en-US"/>
        </w:rPr>
        <w:t>正镶白旗分局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54C22370">
      <w:pPr>
        <w:rPr>
          <w:rFonts w:hint="eastAsia"/>
          <w:color w:val="auto"/>
        </w:rPr>
      </w:pPr>
    </w:p>
    <w:p w14:paraId="30139CF9">
      <w:pPr>
        <w:rPr>
          <w:rFonts w:hint="eastAsia"/>
          <w:color w:val="auto"/>
        </w:rPr>
      </w:pPr>
    </w:p>
    <w:p w14:paraId="72A5103D">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auto"/>
          <w:sz w:val="32"/>
          <w:szCs w:val="32"/>
          <w:highlight w:val="none"/>
          <w:lang w:bidi="en-US"/>
        </w:rPr>
      </w:pPr>
      <w:r>
        <w:rPr>
          <w:rFonts w:hint="eastAsia" w:ascii="仿宋_GB2312" w:hAnsi="仿宋_GB2312" w:eastAsia="仿宋_GB2312" w:cs="仿宋_GB2312"/>
          <w:color w:val="auto"/>
          <w:sz w:val="32"/>
          <w:szCs w:val="32"/>
          <w:lang w:bidi="en-US"/>
        </w:rPr>
        <w:t>锡林</w:t>
      </w:r>
      <w:r>
        <w:rPr>
          <w:rFonts w:hint="eastAsia" w:ascii="仿宋_GB2312" w:hAnsi="仿宋_GB2312" w:eastAsia="仿宋_GB2312" w:cs="仿宋_GB2312"/>
          <w:color w:val="auto"/>
          <w:sz w:val="32"/>
          <w:szCs w:val="32"/>
          <w:highlight w:val="none"/>
          <w:lang w:bidi="en-US"/>
        </w:rPr>
        <w:t>郭勒盟生态环境局</w:t>
      </w:r>
    </w:p>
    <w:p w14:paraId="480DCB3A">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7</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16</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14:paraId="366EDBB3">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auto"/>
          <w:sz w:val="32"/>
          <w:szCs w:val="32"/>
          <w:highlight w:val="none"/>
          <w:lang w:bidi="en-US"/>
        </w:rPr>
      </w:pPr>
    </w:p>
    <w:p w14:paraId="39AF61FC">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719F7EE7">
      <w:pPr>
        <w:pStyle w:val="3"/>
        <w:ind w:left="0" w:leftChars="0" w:firstLine="0" w:firstLineChars="0"/>
        <w:rPr>
          <w:rFonts w:hint="eastAsia" w:ascii="仿宋_GB2312" w:hAnsi="仿宋_GB2312" w:eastAsia="仿宋_GB2312" w:cs="仿宋_GB2312"/>
          <w:color w:val="auto"/>
          <w:sz w:val="32"/>
          <w:szCs w:val="32"/>
          <w:highlight w:val="none"/>
          <w:lang w:eastAsia="zh-CN" w:bidi="en-US"/>
        </w:rPr>
      </w:pPr>
    </w:p>
    <w:p w14:paraId="39E4ABB6">
      <w:pPr>
        <w:pStyle w:val="3"/>
        <w:ind w:left="0" w:leftChars="0" w:firstLine="0" w:firstLineChars="0"/>
        <w:rPr>
          <w:rFonts w:hint="eastAsia" w:ascii="仿宋_GB2312" w:hAnsi="仿宋_GB2312" w:eastAsia="仿宋_GB2312" w:cs="仿宋_GB2312"/>
          <w:color w:val="auto"/>
          <w:sz w:val="32"/>
          <w:szCs w:val="32"/>
          <w:highlight w:val="none"/>
          <w:lang w:eastAsia="zh-CN" w:bidi="en-US"/>
        </w:rPr>
      </w:pPr>
      <w:r>
        <w:rPr>
          <w:rFonts w:hint="eastAsia" w:ascii="仿宋_GB2312" w:hAnsi="仿宋_GB2312" w:eastAsia="仿宋_GB2312" w:cs="仿宋_GB2312"/>
          <w:color w:val="auto"/>
          <w:sz w:val="32"/>
          <w:szCs w:val="32"/>
          <w:highlight w:val="none"/>
          <w:lang w:eastAsia="zh-CN" w:bidi="en-US"/>
        </w:rPr>
        <w:t>（</w:t>
      </w:r>
      <w:r>
        <w:rPr>
          <w:rFonts w:hint="eastAsia" w:ascii="仿宋_GB2312" w:hAnsi="仿宋_GB2312" w:eastAsia="仿宋_GB2312" w:cs="仿宋_GB2312"/>
          <w:color w:val="auto"/>
          <w:sz w:val="32"/>
          <w:szCs w:val="32"/>
          <w:highlight w:val="none"/>
          <w:lang w:val="en-US" w:eastAsia="zh-CN" w:bidi="en-US"/>
        </w:rPr>
        <w:t>此页无正文</w:t>
      </w:r>
      <w:r>
        <w:rPr>
          <w:rFonts w:hint="eastAsia" w:ascii="仿宋_GB2312" w:hAnsi="仿宋_GB2312" w:eastAsia="仿宋_GB2312" w:cs="仿宋_GB2312"/>
          <w:color w:val="auto"/>
          <w:sz w:val="32"/>
          <w:szCs w:val="32"/>
          <w:highlight w:val="none"/>
          <w:lang w:eastAsia="zh-CN" w:bidi="en-US"/>
        </w:rPr>
        <w:t>）</w:t>
      </w:r>
    </w:p>
    <w:p w14:paraId="506144FA">
      <w:pPr>
        <w:rPr>
          <w:rFonts w:hint="eastAsia" w:ascii="仿宋_GB2312" w:hAnsi="仿宋_GB2312" w:eastAsia="仿宋_GB2312" w:cs="仿宋_GB2312"/>
          <w:color w:val="auto"/>
          <w:sz w:val="32"/>
          <w:szCs w:val="32"/>
          <w:highlight w:val="none"/>
          <w:lang w:bidi="en-US"/>
        </w:rPr>
      </w:pPr>
    </w:p>
    <w:p w14:paraId="63861333">
      <w:pPr>
        <w:pStyle w:val="2"/>
        <w:rPr>
          <w:rFonts w:hint="eastAsia" w:ascii="仿宋_GB2312" w:hAnsi="仿宋_GB2312" w:eastAsia="仿宋_GB2312" w:cs="仿宋_GB2312"/>
          <w:color w:val="auto"/>
          <w:sz w:val="32"/>
          <w:szCs w:val="32"/>
          <w:highlight w:val="none"/>
          <w:lang w:bidi="en-US"/>
        </w:rPr>
      </w:pPr>
    </w:p>
    <w:p w14:paraId="0E7692A5">
      <w:pPr>
        <w:pStyle w:val="3"/>
        <w:rPr>
          <w:rFonts w:hint="eastAsia" w:ascii="仿宋_GB2312" w:hAnsi="仿宋_GB2312" w:eastAsia="仿宋_GB2312" w:cs="仿宋_GB2312"/>
          <w:color w:val="auto"/>
          <w:sz w:val="32"/>
          <w:szCs w:val="32"/>
          <w:highlight w:val="none"/>
          <w:lang w:bidi="en-US"/>
        </w:rPr>
      </w:pPr>
    </w:p>
    <w:p w14:paraId="0545C8A6">
      <w:pPr>
        <w:rPr>
          <w:rFonts w:hint="eastAsia" w:ascii="仿宋_GB2312" w:hAnsi="仿宋_GB2312" w:eastAsia="仿宋_GB2312" w:cs="仿宋_GB2312"/>
          <w:color w:val="auto"/>
          <w:sz w:val="32"/>
          <w:szCs w:val="32"/>
          <w:highlight w:val="none"/>
          <w:lang w:bidi="en-US"/>
        </w:rPr>
      </w:pPr>
    </w:p>
    <w:p w14:paraId="6D02FA8F">
      <w:pPr>
        <w:pStyle w:val="2"/>
        <w:rPr>
          <w:rFonts w:hint="eastAsia" w:ascii="仿宋_GB2312" w:hAnsi="仿宋_GB2312" w:eastAsia="仿宋_GB2312" w:cs="仿宋_GB2312"/>
          <w:color w:val="auto"/>
          <w:sz w:val="32"/>
          <w:szCs w:val="32"/>
          <w:highlight w:val="none"/>
          <w:lang w:bidi="en-US"/>
        </w:rPr>
      </w:pPr>
    </w:p>
    <w:p w14:paraId="13BD9B62">
      <w:pPr>
        <w:pStyle w:val="3"/>
        <w:rPr>
          <w:rFonts w:hint="eastAsia" w:ascii="仿宋_GB2312" w:hAnsi="仿宋_GB2312" w:eastAsia="仿宋_GB2312" w:cs="仿宋_GB2312"/>
          <w:color w:val="auto"/>
          <w:sz w:val="32"/>
          <w:szCs w:val="32"/>
          <w:highlight w:val="none"/>
          <w:lang w:bidi="en-US"/>
        </w:rPr>
      </w:pPr>
    </w:p>
    <w:p w14:paraId="6553E2BE">
      <w:pPr>
        <w:rPr>
          <w:rFonts w:hint="eastAsia" w:ascii="仿宋_GB2312" w:hAnsi="仿宋_GB2312" w:eastAsia="仿宋_GB2312" w:cs="仿宋_GB2312"/>
          <w:color w:val="auto"/>
          <w:sz w:val="32"/>
          <w:szCs w:val="32"/>
          <w:highlight w:val="none"/>
          <w:lang w:bidi="en-US"/>
        </w:rPr>
      </w:pPr>
    </w:p>
    <w:p w14:paraId="59AC579C">
      <w:pPr>
        <w:pStyle w:val="2"/>
        <w:rPr>
          <w:rFonts w:hint="eastAsia" w:ascii="仿宋_GB2312" w:hAnsi="仿宋_GB2312" w:eastAsia="仿宋_GB2312" w:cs="仿宋_GB2312"/>
          <w:color w:val="auto"/>
          <w:sz w:val="32"/>
          <w:szCs w:val="32"/>
          <w:highlight w:val="none"/>
          <w:lang w:bidi="en-US"/>
        </w:rPr>
      </w:pPr>
    </w:p>
    <w:p w14:paraId="13431CA2">
      <w:pPr>
        <w:pStyle w:val="3"/>
        <w:rPr>
          <w:rFonts w:hint="eastAsia" w:ascii="仿宋_GB2312" w:hAnsi="仿宋_GB2312" w:eastAsia="仿宋_GB2312" w:cs="仿宋_GB2312"/>
          <w:color w:val="auto"/>
          <w:sz w:val="32"/>
          <w:szCs w:val="32"/>
          <w:highlight w:val="none"/>
          <w:lang w:bidi="en-US"/>
        </w:rPr>
      </w:pPr>
    </w:p>
    <w:p w14:paraId="14FFA949">
      <w:pPr>
        <w:rPr>
          <w:rFonts w:hint="eastAsia" w:ascii="仿宋_GB2312" w:hAnsi="仿宋_GB2312" w:eastAsia="仿宋_GB2312" w:cs="仿宋_GB2312"/>
          <w:color w:val="auto"/>
          <w:sz w:val="32"/>
          <w:szCs w:val="32"/>
          <w:highlight w:val="none"/>
          <w:lang w:bidi="en-US"/>
        </w:rPr>
      </w:pPr>
    </w:p>
    <w:p w14:paraId="0A6783B0">
      <w:pPr>
        <w:pStyle w:val="2"/>
        <w:rPr>
          <w:rFonts w:hint="eastAsia" w:ascii="仿宋_GB2312" w:hAnsi="仿宋_GB2312" w:eastAsia="仿宋_GB2312" w:cs="仿宋_GB2312"/>
          <w:color w:val="auto"/>
          <w:sz w:val="32"/>
          <w:szCs w:val="32"/>
          <w:highlight w:val="none"/>
          <w:lang w:bidi="en-US"/>
        </w:rPr>
      </w:pPr>
    </w:p>
    <w:p w14:paraId="5D0224FB">
      <w:pPr>
        <w:pStyle w:val="3"/>
        <w:rPr>
          <w:rFonts w:hint="eastAsia" w:ascii="仿宋_GB2312" w:hAnsi="仿宋_GB2312" w:eastAsia="仿宋_GB2312" w:cs="仿宋_GB2312"/>
          <w:color w:val="auto"/>
          <w:sz w:val="32"/>
          <w:szCs w:val="32"/>
          <w:highlight w:val="none"/>
          <w:lang w:bidi="en-US"/>
        </w:rPr>
      </w:pPr>
    </w:p>
    <w:p w14:paraId="2C732615">
      <w:pPr>
        <w:rPr>
          <w:rFonts w:hint="eastAsia" w:ascii="仿宋_GB2312" w:hAnsi="仿宋_GB2312" w:eastAsia="仿宋_GB2312" w:cs="仿宋_GB2312"/>
          <w:color w:val="auto"/>
          <w:sz w:val="32"/>
          <w:szCs w:val="32"/>
          <w:highlight w:val="none"/>
          <w:lang w:bidi="en-US"/>
        </w:rPr>
      </w:pPr>
    </w:p>
    <w:p w14:paraId="6886AFFA">
      <w:pPr>
        <w:pStyle w:val="2"/>
        <w:rPr>
          <w:rFonts w:hint="eastAsia" w:ascii="仿宋_GB2312" w:hAnsi="仿宋_GB2312" w:eastAsia="仿宋_GB2312" w:cs="仿宋_GB2312"/>
          <w:color w:val="auto"/>
          <w:sz w:val="32"/>
          <w:szCs w:val="32"/>
          <w:highlight w:val="none"/>
          <w:lang w:bidi="en-US"/>
        </w:rPr>
      </w:pPr>
    </w:p>
    <w:p w14:paraId="2EDB8015">
      <w:pPr>
        <w:pStyle w:val="3"/>
        <w:rPr>
          <w:rFonts w:hint="eastAsia" w:ascii="仿宋_GB2312" w:hAnsi="仿宋_GB2312" w:eastAsia="仿宋_GB2312" w:cs="仿宋_GB2312"/>
          <w:color w:val="auto"/>
          <w:sz w:val="32"/>
          <w:szCs w:val="32"/>
          <w:highlight w:val="none"/>
          <w:lang w:bidi="en-US"/>
        </w:rPr>
      </w:pPr>
    </w:p>
    <w:p w14:paraId="534B0A34">
      <w:pPr>
        <w:rPr>
          <w:rFonts w:hint="eastAsia" w:ascii="仿宋_GB2312" w:hAnsi="仿宋_GB2312" w:eastAsia="仿宋_GB2312" w:cs="仿宋_GB2312"/>
          <w:color w:val="auto"/>
          <w:sz w:val="32"/>
          <w:szCs w:val="32"/>
          <w:highlight w:val="none"/>
          <w:lang w:bidi="en-US"/>
        </w:rPr>
      </w:pPr>
    </w:p>
    <w:p w14:paraId="29922385">
      <w:pPr>
        <w:pStyle w:val="2"/>
        <w:rPr>
          <w:rFonts w:hint="eastAsia"/>
        </w:rPr>
      </w:pPr>
    </w:p>
    <w:p w14:paraId="66C59451">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auto"/>
          <w:sz w:val="32"/>
          <w:szCs w:val="32"/>
          <w:highlight w:val="none"/>
          <w:lang w:bidi="en-US"/>
        </w:rPr>
      </w:pPr>
    </w:p>
    <w:p w14:paraId="09483696">
      <w:pPr>
        <w:rPr>
          <w:rFonts w:hint="eastAsia" w:ascii="仿宋" w:hAnsi="仿宋" w:eastAsia="仿宋" w:cs="仿宋"/>
          <w:color w:val="auto"/>
          <w:highlight w:val="none"/>
        </w:rPr>
      </w:pPr>
    </w:p>
    <w:p w14:paraId="166E7454">
      <w:pPr>
        <w:pStyle w:val="16"/>
        <w:keepNext w:val="0"/>
        <w:keepLines w:val="0"/>
        <w:pageBreakBefore w:val="0"/>
        <w:widowControl w:val="0"/>
        <w:kinsoku/>
        <w:wordWrap/>
        <w:overflowPunct/>
        <w:topLinePunct w:val="0"/>
        <w:bidi w:val="0"/>
        <w:snapToGrid/>
        <w:spacing w:line="500" w:lineRule="exact"/>
        <w:jc w:val="both"/>
        <w:textAlignment w:val="auto"/>
        <w:rPr>
          <w:rFonts w:hint="eastAsia" w:ascii="仿宋" w:hAnsi="仿宋" w:eastAsia="仿宋" w:cs="仿宋"/>
          <w:color w:val="auto"/>
          <w:kern w:val="2"/>
          <w:sz w:val="28"/>
          <w:szCs w:val="28"/>
          <w:highlight w:val="none"/>
          <w:lang w:eastAsia="zh-CN" w:bidi="en-US"/>
        </w:rPr>
      </w:pPr>
      <w:r>
        <w:rPr>
          <w:rFonts w:hint="eastAsia" w:ascii="仿宋" w:hAnsi="仿宋" w:eastAsia="仿宋" w:cs="仿宋"/>
          <w:color w:val="auto"/>
          <w:kern w:val="2"/>
          <w:sz w:val="28"/>
          <w:szCs w:val="28"/>
          <w:highlight w:val="none"/>
          <w:lang w:bidi="en-US"/>
        </w:rPr>
        <w:t>抄送：盟生态环境综合行政执法支队</w:t>
      </w:r>
      <w:r>
        <w:rPr>
          <w:rFonts w:hint="eastAsia" w:ascii="仿宋" w:hAnsi="仿宋" w:eastAsia="仿宋" w:cs="仿宋"/>
          <w:color w:val="auto"/>
          <w:kern w:val="2"/>
          <w:sz w:val="28"/>
          <w:szCs w:val="28"/>
          <w:highlight w:val="none"/>
          <w:lang w:eastAsia="zh-CN" w:bidi="en-US"/>
        </w:rPr>
        <w:t>，</w:t>
      </w:r>
      <w:r>
        <w:rPr>
          <w:rFonts w:hint="eastAsia" w:ascii="仿宋" w:hAnsi="仿宋" w:eastAsia="仿宋" w:cs="仿宋"/>
          <w:color w:val="auto"/>
          <w:kern w:val="2"/>
          <w:sz w:val="28"/>
          <w:szCs w:val="28"/>
          <w:highlight w:val="none"/>
          <w:lang w:bidi="en-US"/>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正镶白旗分</w:t>
      </w:r>
      <w:r>
        <w:rPr>
          <w:rFonts w:hint="eastAsia" w:ascii="仿宋" w:hAnsi="仿宋" w:eastAsia="仿宋" w:cs="仿宋"/>
          <w:color w:val="auto"/>
          <w:kern w:val="2"/>
          <w:sz w:val="28"/>
          <w:szCs w:val="28"/>
          <w:highlight w:val="none"/>
          <w:lang w:eastAsia="zh-CN" w:bidi="en-US"/>
        </w:rPr>
        <w:t>局</w:t>
      </w:r>
    </w:p>
    <w:p w14:paraId="0DCD103A">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锡林郭勒盟生态环境局办公室      </w:t>
      </w:r>
      <w:r>
        <w:rPr>
          <w:rFonts w:hint="eastAsia" w:ascii="仿宋" w:hAnsi="仿宋" w:eastAsia="仿宋" w:cs="仿宋"/>
          <w:color w:val="000000" w:themeColor="text1"/>
          <w:sz w:val="28"/>
          <w:szCs w:val="28"/>
          <w:highlight w:val="none"/>
          <w14:textFill>
            <w14:solidFill>
              <w14:schemeClr w14:val="tx1"/>
            </w14:solidFill>
          </w14:textFill>
        </w:rPr>
        <w:t xml:space="preserve">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5</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7</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16</w:t>
      </w:r>
      <w:r>
        <w:rPr>
          <w:rFonts w:hint="eastAsia" w:ascii="仿宋" w:hAnsi="仿宋" w:eastAsia="仿宋" w:cs="仿宋"/>
          <w:color w:val="000000" w:themeColor="text1"/>
          <w:sz w:val="28"/>
          <w:szCs w:val="28"/>
          <w:highlight w:val="none"/>
          <w14:textFill>
            <w14:solidFill>
              <w14:schemeClr w14:val="tx1"/>
            </w14:solidFill>
          </w14:textFill>
        </w:rPr>
        <w:t>日印</w:t>
      </w:r>
      <w:r>
        <w:rPr>
          <w:rFonts w:hint="eastAsia" w:ascii="仿宋" w:hAnsi="仿宋" w:eastAsia="仿宋" w:cs="仿宋"/>
          <w:color w:val="auto"/>
          <w:sz w:val="28"/>
          <w:szCs w:val="28"/>
          <w:highlight w:val="none"/>
        </w:rPr>
        <w:t>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B2114C">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993484">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B993484">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940A54"/>
    <w:multiLevelType w:val="singleLevel"/>
    <w:tmpl w:val="4B940A54"/>
    <w:lvl w:ilvl="0" w:tentative="0">
      <w:start w:val="4"/>
      <w:numFmt w:val="chineseCounting"/>
      <w:suff w:val="nothing"/>
      <w:lvlText w:val="（%1）"/>
      <w:lvlJc w:val="left"/>
      <w:rPr>
        <w:rFonts w:hint="eastAsia" w:ascii="楷体" w:hAnsi="楷体" w:eastAsia="楷体" w:cs="楷体"/>
        <w:b w:val="0"/>
        <w:bCs w:val="0"/>
        <w:sz w:val="32"/>
        <w:szCs w:val="3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23F66B6"/>
    <w:rsid w:val="033C2BF5"/>
    <w:rsid w:val="04082137"/>
    <w:rsid w:val="04D60042"/>
    <w:rsid w:val="05FD1001"/>
    <w:rsid w:val="064265FE"/>
    <w:rsid w:val="065A7A8E"/>
    <w:rsid w:val="07E80A5E"/>
    <w:rsid w:val="08125FE6"/>
    <w:rsid w:val="09F707CE"/>
    <w:rsid w:val="0A055186"/>
    <w:rsid w:val="0B1701D0"/>
    <w:rsid w:val="0C7A4895"/>
    <w:rsid w:val="0D6D6C1D"/>
    <w:rsid w:val="0EE27BE5"/>
    <w:rsid w:val="109F048E"/>
    <w:rsid w:val="133A3E29"/>
    <w:rsid w:val="134A4ECA"/>
    <w:rsid w:val="13EB21F9"/>
    <w:rsid w:val="1B7C0676"/>
    <w:rsid w:val="1BF2CB73"/>
    <w:rsid w:val="1D61177E"/>
    <w:rsid w:val="1F9C573C"/>
    <w:rsid w:val="20C67501"/>
    <w:rsid w:val="20E00C0C"/>
    <w:rsid w:val="22B733D3"/>
    <w:rsid w:val="26B75F6B"/>
    <w:rsid w:val="270A5106"/>
    <w:rsid w:val="29D8150D"/>
    <w:rsid w:val="2AAB4039"/>
    <w:rsid w:val="2CF929A0"/>
    <w:rsid w:val="2D875092"/>
    <w:rsid w:val="2F1F3E8C"/>
    <w:rsid w:val="2F2B74F6"/>
    <w:rsid w:val="2F7E7F6E"/>
    <w:rsid w:val="3812264D"/>
    <w:rsid w:val="3AD90E3C"/>
    <w:rsid w:val="3BFB7ADD"/>
    <w:rsid w:val="3C4B2A92"/>
    <w:rsid w:val="3CA66F28"/>
    <w:rsid w:val="3CFE4BE4"/>
    <w:rsid w:val="3EDBBAD3"/>
    <w:rsid w:val="3FBC777D"/>
    <w:rsid w:val="3FC31BD1"/>
    <w:rsid w:val="445D3A2B"/>
    <w:rsid w:val="466622E2"/>
    <w:rsid w:val="46B26845"/>
    <w:rsid w:val="4A3B72B4"/>
    <w:rsid w:val="4B973E13"/>
    <w:rsid w:val="4CDD40CE"/>
    <w:rsid w:val="4EC33F0B"/>
    <w:rsid w:val="4FDC11D7"/>
    <w:rsid w:val="501114FC"/>
    <w:rsid w:val="51B03B5F"/>
    <w:rsid w:val="5514288C"/>
    <w:rsid w:val="55621614"/>
    <w:rsid w:val="56990422"/>
    <w:rsid w:val="57B40ADC"/>
    <w:rsid w:val="5B679E5F"/>
    <w:rsid w:val="5C1271C4"/>
    <w:rsid w:val="5C8C51C9"/>
    <w:rsid w:val="5DD60DF1"/>
    <w:rsid w:val="5DFFD6AD"/>
    <w:rsid w:val="5FA70BB0"/>
    <w:rsid w:val="617526E2"/>
    <w:rsid w:val="640E5DD6"/>
    <w:rsid w:val="640F77AC"/>
    <w:rsid w:val="6479615F"/>
    <w:rsid w:val="65980358"/>
    <w:rsid w:val="67927E4C"/>
    <w:rsid w:val="68146F4B"/>
    <w:rsid w:val="68387D94"/>
    <w:rsid w:val="69CC12A6"/>
    <w:rsid w:val="6D337A9A"/>
    <w:rsid w:val="6D874340"/>
    <w:rsid w:val="6D965EA7"/>
    <w:rsid w:val="6E1A4AAF"/>
    <w:rsid w:val="6FD159E5"/>
    <w:rsid w:val="6FEE6D0C"/>
    <w:rsid w:val="70EA0941"/>
    <w:rsid w:val="71FFDCEE"/>
    <w:rsid w:val="737F42A4"/>
    <w:rsid w:val="751F6782"/>
    <w:rsid w:val="756C3B4F"/>
    <w:rsid w:val="776575C6"/>
    <w:rsid w:val="77A04D8F"/>
    <w:rsid w:val="77A23F56"/>
    <w:rsid w:val="77FB60A4"/>
    <w:rsid w:val="78CC1696"/>
    <w:rsid w:val="795254DD"/>
    <w:rsid w:val="79F6371A"/>
    <w:rsid w:val="7BB80B28"/>
    <w:rsid w:val="7CE53CE8"/>
    <w:rsid w:val="7E435BD1"/>
    <w:rsid w:val="7E5356DB"/>
    <w:rsid w:val="7F590AE3"/>
    <w:rsid w:val="7F6C2C5A"/>
    <w:rsid w:val="7F7C8CD3"/>
    <w:rsid w:val="7F7CE8F3"/>
    <w:rsid w:val="7FD6261A"/>
    <w:rsid w:val="97FFBFF7"/>
    <w:rsid w:val="AFDFA893"/>
    <w:rsid w:val="B6FB1ACB"/>
    <w:rsid w:val="BBFD157B"/>
    <w:rsid w:val="BBFFB394"/>
    <w:rsid w:val="BDB9872E"/>
    <w:rsid w:val="C73F4456"/>
    <w:rsid w:val="CF77A9DB"/>
    <w:rsid w:val="DBAFDD4B"/>
    <w:rsid w:val="DBD5EE8A"/>
    <w:rsid w:val="DF671AB1"/>
    <w:rsid w:val="E7FD0A82"/>
    <w:rsid w:val="EF6F4B52"/>
    <w:rsid w:val="EFEB112C"/>
    <w:rsid w:val="F3FD86CF"/>
    <w:rsid w:val="F4FE1E3B"/>
    <w:rsid w:val="FC7D141F"/>
    <w:rsid w:val="FE9F31A0"/>
    <w:rsid w:val="FFDE3B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5">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ascii="Times New Roman" w:hAnsi="Times New Roman" w:eastAsia="宋体"/>
      <w:szCs w:val="24"/>
    </w:rPr>
  </w:style>
  <w:style w:type="paragraph" w:styleId="3">
    <w:name w:val="Body Text First Indent 2"/>
    <w:basedOn w:val="4"/>
    <w:next w:val="1"/>
    <w:qFormat/>
    <w:uiPriority w:val="0"/>
    <w:pPr>
      <w:adjustRightInd w:val="0"/>
      <w:ind w:firstLine="420"/>
      <w:textAlignment w:val="baseline"/>
    </w:pPr>
    <w:rPr>
      <w:rFonts w:ascii="宋体" w:hAnsi="宋体"/>
      <w:sz w:val="18"/>
      <w:szCs w:val="18"/>
    </w:rPr>
  </w:style>
  <w:style w:type="paragraph" w:styleId="4">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4"/>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5"/>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1]正文"/>
    <w:basedOn w:val="1"/>
    <w:qFormat/>
    <w:uiPriority w:val="0"/>
    <w:pPr>
      <w:autoSpaceDE w:val="0"/>
      <w:autoSpaceDN w:val="0"/>
      <w:ind w:left="0" w:leftChars="0" w:firstLine="200" w:firstLineChars="200"/>
    </w:pPr>
    <w:rPr>
      <w:rFonts w:ascii="Times New Roman" w:hAnsi="Times New Roman" w:eastAsia="宋体" w:cs="Times New Roman"/>
      <w:color w:val="000000"/>
      <w:kern w:val="0"/>
      <w:szCs w:val="24"/>
      <w:lang w:val="zh-CN"/>
    </w:rPr>
  </w:style>
  <w:style w:type="paragraph" w:customStyle="1" w:styleId="16">
    <w:name w:val="Default"/>
    <w:basedOn w:val="17"/>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纯文本1"/>
    <w:basedOn w:val="1"/>
    <w:qFormat/>
    <w:uiPriority w:val="0"/>
    <w:rPr>
      <w:rFonts w:ascii="宋体" w:hAnsi="Courier New"/>
      <w:szCs w:val="20"/>
    </w:rPr>
  </w:style>
  <w:style w:type="paragraph" w:customStyle="1" w:styleId="18">
    <w:name w:val="正文1"/>
    <w:basedOn w:val="16"/>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9">
    <w:name w:val="未处理的提及1"/>
    <w:basedOn w:val="12"/>
    <w:semiHidden/>
    <w:unhideWhenUsed/>
    <w:qFormat/>
    <w:uiPriority w:val="99"/>
    <w:rPr>
      <w:color w:val="605E5C"/>
      <w:shd w:val="clear" w:color="auto" w:fill="E1DFDD"/>
    </w:rPr>
  </w:style>
  <w:style w:type="character" w:customStyle="1" w:styleId="20">
    <w:name w:val="页眉 字符"/>
    <w:basedOn w:val="12"/>
    <w:link w:val="8"/>
    <w:qFormat/>
    <w:uiPriority w:val="99"/>
    <w:rPr>
      <w:kern w:val="2"/>
      <w:sz w:val="18"/>
      <w:szCs w:val="18"/>
    </w:rPr>
  </w:style>
  <w:style w:type="paragraph" w:customStyle="1" w:styleId="21">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2">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3">
    <w:name w:val="List Paragraph"/>
    <w:basedOn w:val="1"/>
    <w:qFormat/>
    <w:uiPriority w:val="99"/>
    <w:pPr>
      <w:ind w:firstLine="420" w:firstLineChars="200"/>
    </w:pPr>
  </w:style>
  <w:style w:type="character" w:customStyle="1" w:styleId="24">
    <w:name w:val="批注文字 字符"/>
    <w:basedOn w:val="12"/>
    <w:link w:val="6"/>
    <w:semiHidden/>
    <w:qFormat/>
    <w:uiPriority w:val="99"/>
    <w:rPr>
      <w:kern w:val="2"/>
      <w:sz w:val="21"/>
      <w:szCs w:val="22"/>
    </w:rPr>
  </w:style>
  <w:style w:type="character" w:customStyle="1" w:styleId="25">
    <w:name w:val="批注主题 字符"/>
    <w:basedOn w:val="24"/>
    <w:link w:val="10"/>
    <w:semiHidden/>
    <w:qFormat/>
    <w:uiPriority w:val="99"/>
    <w:rPr>
      <w:b/>
      <w:bCs/>
      <w:kern w:val="2"/>
      <w:sz w:val="21"/>
      <w:szCs w:val="22"/>
    </w:rPr>
  </w:style>
  <w:style w:type="paragraph" w:customStyle="1" w:styleId="26">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7">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 w:type="paragraph" w:customStyle="1" w:styleId="28">
    <w:name w:val="报告正文"/>
    <w:basedOn w:val="1"/>
    <w:qFormat/>
    <w:uiPriority w:val="0"/>
    <w:pPr>
      <w:adjustRightInd w:val="0"/>
      <w:snapToGrid w:val="0"/>
      <w:spacing w:line="360" w:lineRule="auto"/>
      <w:ind w:firstLine="482" w:firstLineChars="200"/>
    </w:pPr>
    <w:rPr>
      <w:color w:val="000000"/>
      <w:sz w:val="24"/>
      <w:szCs w:val="21"/>
    </w:rPr>
  </w:style>
  <w:style w:type="paragraph" w:customStyle="1" w:styleId="29">
    <w:name w:val="正文2"/>
    <w:basedOn w:val="1"/>
    <w:qFormat/>
    <w:uiPriority w:val="0"/>
    <w:pPr>
      <w:spacing w:line="360" w:lineRule="auto"/>
      <w:ind w:firstLine="200" w:firstLineChars="200"/>
    </w:pPr>
    <w:rPr>
      <w:rFonts w:ascii="Times New Roman" w:hAnsi="Times New Roman"/>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2421</Words>
  <Characters>2604</Characters>
  <Lines>19</Lines>
  <Paragraphs>5</Paragraphs>
  <TotalTime>341</TotalTime>
  <ScaleCrop>false</ScaleCrop>
  <LinksUpToDate>false</LinksUpToDate>
  <CharactersWithSpaces>2618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2023-02-02T17:32:00Z</dcterms:created>
  <dc:creator>hui hui</dc:creator>
  <cp:lastModifiedBy>ོʚ 中ོ然ོ ɞ</cp:lastModifiedBy>
  <cp:lastPrinted>2023-02-02T17:39:00Z</cp:lastPrinted>
  <dcterms:modified xsi:type="dcterms:W3CDTF">2025-07-16T09:20:26Z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D49D8AF02B7A446D811928EB71DFDB56_13</vt:lpwstr>
  </property>
  <property fmtid="{D5CDD505-2E9C-101B-9397-08002B2CF9AE}" pid="4" name="KSOTemplateDocerSaveRecord">
    <vt:lpwstr>eyJoZGlkIjoiNTk0MDc0MWE2MzMxMjkwZmE5ODU4OGMzYzc5YjkzMTAiLCJ1c2VySWQiOiI1NDkxMDYxNjAifQ==</vt:lpwstr>
  </property>
</Properties>
</file>