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9410B70">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bookmarkStart w:id="0" w:name="_Hlk124747957"/>
    </w:p>
    <w:p w14:paraId="50C1E157">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48DCD4E5">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0370232E">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3BB1B7FA">
      <w:pPr>
        <w:keepNext w:val="0"/>
        <w:keepLines w:val="0"/>
        <w:pageBreakBefore w:val="0"/>
        <w:kinsoku/>
        <w:wordWrap/>
        <w:overflowPunct/>
        <w:topLinePunct w:val="0"/>
        <w:bidi w:val="0"/>
        <w:snapToGrid w:val="0"/>
        <w:spacing w:line="560" w:lineRule="exact"/>
        <w:rPr>
          <w:rFonts w:hint="eastAsia"/>
          <w:color w:val="C00000"/>
          <w:sz w:val="32"/>
          <w:szCs w:val="32"/>
          <w:highlight w:val="yellow"/>
        </w:rPr>
      </w:pPr>
    </w:p>
    <w:p w14:paraId="62C07DAA">
      <w:pPr>
        <w:pStyle w:val="26"/>
        <w:keepNext w:val="0"/>
        <w:keepLines w:val="0"/>
        <w:pageBreakBefore w:val="0"/>
        <w:kinsoku/>
        <w:wordWrap/>
        <w:overflowPunct/>
        <w:topLinePunct w:val="0"/>
        <w:bidi w:val="0"/>
        <w:spacing w:line="560" w:lineRule="exact"/>
        <w:ind w:left="0" w:leftChars="0" w:firstLine="0" w:firstLineChars="0"/>
        <w:rPr>
          <w:rFonts w:hint="eastAsia"/>
          <w:sz w:val="32"/>
          <w:szCs w:val="32"/>
          <w:highlight w:val="yellow"/>
        </w:rPr>
      </w:pPr>
    </w:p>
    <w:p w14:paraId="7839D0F6">
      <w:pPr>
        <w:keepNext w:val="0"/>
        <w:keepLines w:val="0"/>
        <w:pageBreakBefore w:val="0"/>
        <w:kinsoku/>
        <w:wordWrap/>
        <w:overflowPunct/>
        <w:topLinePunct w:val="0"/>
        <w:bidi w:val="0"/>
        <w:snapToGrid w:val="0"/>
        <w:spacing w:line="560" w:lineRule="exact"/>
        <w:ind w:left="0" w:leftChars="0" w:firstLine="0" w:firstLineChars="0"/>
        <w:jc w:val="left"/>
        <w:rPr>
          <w:rFonts w:hint="eastAsia"/>
          <w:color w:val="auto"/>
          <w:sz w:val="32"/>
          <w:szCs w:val="32"/>
        </w:rPr>
      </w:pPr>
    </w:p>
    <w:p w14:paraId="032916D6">
      <w:pPr>
        <w:autoSpaceDE w:val="0"/>
        <w:autoSpaceDN w:val="0"/>
        <w:adjustRightInd w:val="0"/>
        <w:snapToGrid w:val="0"/>
        <w:spacing w:line="560" w:lineRule="exact"/>
        <w:jc w:val="center"/>
        <w:rPr>
          <w:rFonts w:ascii="仿宋_GB2312" w:hAnsi="Times New Roman" w:eastAsia="仿宋_GB2312" w:cs="Arial"/>
          <w:color w:val="auto"/>
          <w:sz w:val="32"/>
          <w:szCs w:val="32"/>
          <w:highlight w:val="none"/>
          <w:lang w:bidi="en-US"/>
        </w:rPr>
      </w:pPr>
      <w:r>
        <w:rPr>
          <w:rFonts w:hint="eastAsia" w:ascii="仿宋_GB2312" w:hAnsi="Times New Roman" w:eastAsia="仿宋_GB2312" w:cs="Arial"/>
          <w:color w:val="auto"/>
          <w:sz w:val="32"/>
          <w:szCs w:val="32"/>
          <w:lang w:bidi="en-US"/>
        </w:rPr>
        <w:t>锡署环审</w:t>
      </w:r>
      <w:bookmarkStart w:id="1" w:name="_GoBack"/>
      <w:bookmarkEnd w:id="1"/>
      <w:r>
        <w:rPr>
          <w:rFonts w:hint="eastAsia" w:ascii="仿宋_GB2312" w:hAnsi="Times New Roman" w:eastAsia="仿宋_GB2312" w:cs="Arial"/>
          <w:color w:val="auto"/>
          <w:sz w:val="32"/>
          <w:szCs w:val="32"/>
          <w:lang w:bidi="en-US"/>
        </w:rPr>
        <w:t>书〔</w:t>
      </w:r>
      <w:r>
        <w:rPr>
          <w:rFonts w:hint="eastAsia" w:ascii="仿宋_GB2312" w:hAnsi="Times New Roman" w:eastAsia="仿宋_GB2312" w:cs="Arial"/>
          <w:color w:val="auto"/>
          <w:sz w:val="32"/>
          <w:szCs w:val="32"/>
          <w:highlight w:val="none"/>
          <w:lang w:bidi="en-US"/>
        </w:rPr>
        <w:t>202</w:t>
      </w:r>
      <w:r>
        <w:rPr>
          <w:rFonts w:hint="eastAsia" w:ascii="仿宋_GB2312" w:hAnsi="Times New Roman" w:eastAsia="仿宋_GB2312" w:cs="Arial"/>
          <w:color w:val="auto"/>
          <w:sz w:val="32"/>
          <w:szCs w:val="32"/>
          <w:highlight w:val="none"/>
          <w:lang w:val="en-US" w:eastAsia="zh-CN" w:bidi="en-US"/>
        </w:rPr>
        <w:t>5</w:t>
      </w:r>
      <w:r>
        <w:rPr>
          <w:rFonts w:hint="eastAsia" w:ascii="仿宋_GB2312" w:hAnsi="Times New Roman" w:eastAsia="仿宋_GB2312" w:cs="Arial"/>
          <w:color w:val="auto"/>
          <w:sz w:val="32"/>
          <w:szCs w:val="32"/>
          <w:highlight w:val="none"/>
          <w:lang w:bidi="en-US"/>
        </w:rPr>
        <w:t>〕</w:t>
      </w:r>
      <w:r>
        <w:rPr>
          <w:rFonts w:hint="eastAsia" w:ascii="仿宋_GB2312" w:hAnsi="Times New Roman" w:eastAsia="仿宋_GB2312" w:cs="Arial"/>
          <w:color w:val="auto"/>
          <w:sz w:val="32"/>
          <w:szCs w:val="32"/>
          <w:highlight w:val="none"/>
          <w:lang w:val="en-US" w:eastAsia="zh-CN" w:bidi="en-US"/>
        </w:rPr>
        <w:t>26</w:t>
      </w:r>
      <w:r>
        <w:rPr>
          <w:rFonts w:hint="eastAsia" w:ascii="仿宋_GB2312" w:hAnsi="Times New Roman" w:eastAsia="仿宋_GB2312" w:cs="Arial"/>
          <w:color w:val="auto"/>
          <w:sz w:val="32"/>
          <w:szCs w:val="32"/>
          <w:highlight w:val="none"/>
          <w:lang w:bidi="en-US"/>
        </w:rPr>
        <w:t>号</w:t>
      </w:r>
    </w:p>
    <w:p w14:paraId="7877A644">
      <w:pPr>
        <w:adjustRightInd w:val="0"/>
        <w:snapToGrid w:val="0"/>
        <w:spacing w:line="360" w:lineRule="auto"/>
        <w:jc w:val="center"/>
        <w:rPr>
          <w:b/>
          <w:bCs/>
          <w:color w:val="auto"/>
          <w:sz w:val="32"/>
          <w:szCs w:val="32"/>
          <w:highlight w:val="none"/>
        </w:rPr>
      </w:pPr>
    </w:p>
    <w:p w14:paraId="71F605E6">
      <w:pPr>
        <w:keepNext w:val="0"/>
        <w:keepLines w:val="0"/>
        <w:pageBreakBefore w:val="0"/>
        <w:widowControl w:val="0"/>
        <w:kinsoku/>
        <w:wordWrap/>
        <w:overflowPunct/>
        <w:topLinePunct w:val="0"/>
        <w:autoSpaceDE/>
        <w:autoSpaceDN/>
        <w:bidi w:val="0"/>
        <w:adjustRightInd/>
        <w:snapToGrid/>
        <w:spacing w:line="700" w:lineRule="exact"/>
        <w:jc w:val="center"/>
        <w:textAlignment w:val="auto"/>
        <w:rPr>
          <w:rFonts w:hint="eastAsia" w:ascii="方正小标宋简体" w:hAnsi="方正小标宋简体" w:eastAsia="方正小标宋简体" w:cs="方正小标宋简体"/>
          <w:b w:val="0"/>
          <w:bCs w:val="0"/>
          <w:color w:val="auto"/>
          <w:sz w:val="44"/>
          <w:szCs w:val="44"/>
          <w:lang w:val="en-US" w:eastAsia="zh-CN"/>
        </w:rPr>
      </w:pPr>
      <w:r>
        <w:rPr>
          <w:rFonts w:hint="eastAsia" w:ascii="方正小标宋简体" w:hAnsi="方正小标宋简体" w:eastAsia="方正小标宋简体" w:cs="方正小标宋简体"/>
          <w:b w:val="0"/>
          <w:bCs w:val="0"/>
          <w:color w:val="auto"/>
          <w:sz w:val="44"/>
          <w:szCs w:val="44"/>
          <w:lang w:val="en-US" w:eastAsia="zh-CN"/>
        </w:rPr>
        <w:t>锡林郭勒盟生态环境局</w:t>
      </w:r>
    </w:p>
    <w:bookmarkEnd w:id="0"/>
    <w:p w14:paraId="5F00FC50">
      <w:pPr>
        <w:autoSpaceDE w:val="0"/>
        <w:autoSpaceDN w:val="0"/>
        <w:adjustRightInd w:val="0"/>
        <w:snapToGrid w:val="0"/>
        <w:spacing w:line="700" w:lineRule="exact"/>
        <w:jc w:val="center"/>
        <w:rPr>
          <w:rFonts w:hint="eastAsia" w:ascii="方正小标宋简体" w:hAnsi="方正小标宋简体" w:eastAsia="方正小标宋简体" w:cs="方正小标宋简体"/>
          <w:bCs/>
          <w:color w:val="auto"/>
          <w:sz w:val="44"/>
          <w:szCs w:val="44"/>
          <w:highlight w:val="none"/>
          <w:lang w:val="en-US" w:eastAsia="zh-CN"/>
        </w:rPr>
      </w:pPr>
      <w:r>
        <w:rPr>
          <w:rFonts w:hint="eastAsia" w:ascii="方正小标宋简体" w:hAnsi="方正小标宋简体" w:eastAsia="方正小标宋简体" w:cs="方正小标宋简体"/>
          <w:bCs/>
          <w:color w:val="auto"/>
          <w:sz w:val="44"/>
          <w:szCs w:val="44"/>
          <w:highlight w:val="none"/>
        </w:rPr>
        <w:t>关于</w:t>
      </w:r>
      <w:r>
        <w:rPr>
          <w:rFonts w:hint="eastAsia" w:ascii="方正小标宋简体" w:hAnsi="方正小标宋简体" w:eastAsia="方正小标宋简体" w:cs="方正小标宋简体"/>
          <w:bCs/>
          <w:color w:val="auto"/>
          <w:sz w:val="44"/>
          <w:szCs w:val="44"/>
          <w:highlight w:val="none"/>
          <w:lang w:val="en-US" w:eastAsia="zh-CN"/>
        </w:rPr>
        <w:t>二连浩特市宝山矿业有限公司萤石</w:t>
      </w:r>
    </w:p>
    <w:p w14:paraId="07B95060">
      <w:pPr>
        <w:autoSpaceDE w:val="0"/>
        <w:autoSpaceDN w:val="0"/>
        <w:adjustRightInd w:val="0"/>
        <w:snapToGrid w:val="0"/>
        <w:spacing w:line="700" w:lineRule="exact"/>
        <w:jc w:val="center"/>
        <w:rPr>
          <w:rFonts w:ascii="方正小标宋简体" w:hAnsi="方正小标宋简体" w:eastAsia="方正小标宋简体" w:cs="方正小标宋简体"/>
          <w:bCs/>
          <w:color w:val="auto"/>
          <w:sz w:val="44"/>
          <w:szCs w:val="44"/>
          <w:highlight w:val="none"/>
        </w:rPr>
      </w:pPr>
      <w:r>
        <w:rPr>
          <w:rFonts w:hint="eastAsia" w:ascii="方正小标宋简体" w:hAnsi="方正小标宋简体" w:eastAsia="方正小标宋简体" w:cs="方正小标宋简体"/>
          <w:bCs/>
          <w:color w:val="auto"/>
          <w:sz w:val="44"/>
          <w:szCs w:val="44"/>
          <w:highlight w:val="none"/>
          <w:lang w:val="en-US" w:eastAsia="zh-CN"/>
        </w:rPr>
        <w:t>选矿厂改扩建项目</w:t>
      </w:r>
      <w:r>
        <w:rPr>
          <w:rFonts w:hint="eastAsia" w:ascii="方正小标宋简体" w:hAnsi="方正小标宋简体" w:eastAsia="方正小标宋简体" w:cs="方正小标宋简体"/>
          <w:bCs/>
          <w:color w:val="auto"/>
          <w:sz w:val="44"/>
          <w:szCs w:val="44"/>
          <w:highlight w:val="none"/>
        </w:rPr>
        <w:t>环境影响报告书的批复</w:t>
      </w:r>
    </w:p>
    <w:p w14:paraId="23752F4C">
      <w:pPr>
        <w:autoSpaceDE w:val="0"/>
        <w:autoSpaceDN w:val="0"/>
        <w:adjustRightInd w:val="0"/>
        <w:snapToGrid w:val="0"/>
        <w:spacing w:line="520" w:lineRule="exact"/>
        <w:rPr>
          <w:rFonts w:ascii="仿宋_GB2312" w:hAnsi="仿宋_GB2312" w:eastAsia="仿宋_GB2312" w:cs="仿宋_GB2312"/>
          <w:color w:val="auto"/>
          <w:sz w:val="32"/>
          <w:szCs w:val="32"/>
          <w:lang w:bidi="en-US"/>
        </w:rPr>
      </w:pPr>
    </w:p>
    <w:p w14:paraId="2C742ADA">
      <w:pPr>
        <w:keepNext w:val="0"/>
        <w:keepLines w:val="0"/>
        <w:pageBreakBefore w:val="0"/>
        <w:widowControl w:val="0"/>
        <w:kinsoku/>
        <w:wordWrap/>
        <w:overflowPunct/>
        <w:autoSpaceDE w:val="0"/>
        <w:autoSpaceDN w:val="0"/>
        <w:bidi w:val="0"/>
        <w:adjustRightInd w:val="0"/>
        <w:snapToGrid w:val="0"/>
        <w:spacing w:line="560" w:lineRule="exact"/>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highlight w:val="none"/>
          <w:lang w:val="en-US" w:eastAsia="zh-CN"/>
        </w:rPr>
        <w:t>二连浩特市宝山矿业有限公司</w:t>
      </w:r>
      <w:r>
        <w:rPr>
          <w:rFonts w:hint="eastAsia" w:ascii="仿宋_GB2312" w:hAnsi="仿宋_GB2312" w:eastAsia="仿宋_GB2312" w:cs="仿宋_GB2312"/>
          <w:color w:val="auto"/>
          <w:sz w:val="32"/>
          <w:szCs w:val="32"/>
          <w:lang w:bidi="en-US"/>
        </w:rPr>
        <w:t>：</w:t>
      </w:r>
    </w:p>
    <w:p w14:paraId="0D2A95F4">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你单位报送的《</w:t>
      </w:r>
      <w:r>
        <w:rPr>
          <w:rFonts w:hint="eastAsia" w:ascii="仿宋_GB2312" w:hAnsi="仿宋_GB2312" w:eastAsia="仿宋_GB2312" w:cs="仿宋_GB2312"/>
          <w:color w:val="auto"/>
          <w:sz w:val="32"/>
          <w:szCs w:val="32"/>
          <w:highlight w:val="none"/>
          <w:lang w:val="en-US" w:eastAsia="zh-CN"/>
        </w:rPr>
        <w:t>二连浩特市宝山矿业有限公司萤石选矿厂改扩建项目</w:t>
      </w:r>
      <w:r>
        <w:rPr>
          <w:rFonts w:hint="eastAsia" w:ascii="仿宋_GB2312" w:hAnsi="仿宋_GB2312" w:eastAsia="仿宋_GB2312" w:cs="仿宋_GB2312"/>
          <w:color w:val="auto"/>
          <w:sz w:val="32"/>
          <w:szCs w:val="32"/>
          <w:lang w:bidi="en-US"/>
        </w:rPr>
        <w:t>环境影响报告书》（</w:t>
      </w:r>
      <w:r>
        <w:rPr>
          <w:rFonts w:hint="eastAsia" w:ascii="仿宋_GB2312" w:hAnsi="仿宋_GB2312" w:eastAsia="仿宋_GB2312" w:cs="仿宋_GB2312"/>
          <w:color w:val="auto"/>
          <w:sz w:val="32"/>
          <w:szCs w:val="32"/>
          <w:lang w:eastAsia="zh-Hans" w:bidi="en-US"/>
        </w:rPr>
        <w:t>以下简称《报告书》</w:t>
      </w:r>
      <w:r>
        <w:rPr>
          <w:rFonts w:hint="eastAsia" w:ascii="仿宋_GB2312" w:hAnsi="仿宋_GB2312" w:eastAsia="仿宋_GB2312" w:cs="仿宋_GB2312"/>
          <w:color w:val="auto"/>
          <w:sz w:val="32"/>
          <w:szCs w:val="32"/>
          <w:lang w:bidi="en-US"/>
        </w:rPr>
        <w:t>）收悉。经研究，批复如下：</w:t>
      </w:r>
    </w:p>
    <w:p w14:paraId="525E1E99">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sz w:val="32"/>
          <w:szCs w:val="32"/>
          <w:lang w:val="en-US" w:eastAsia="zh-CN" w:bidi="en-US"/>
        </w:rPr>
        <w:t>一、</w:t>
      </w:r>
      <w:r>
        <w:rPr>
          <w:rFonts w:hint="eastAsia" w:ascii="仿宋_GB2312" w:hAnsi="仿宋_GB2312" w:eastAsia="仿宋_GB2312" w:cs="仿宋_GB2312"/>
          <w:color w:val="auto"/>
          <w:sz w:val="32"/>
          <w:szCs w:val="32"/>
          <w:highlight w:val="none"/>
          <w:lang w:val="en-US" w:eastAsia="zh-CN"/>
        </w:rPr>
        <w:t>二连浩特市宝山矿业有限公司萤石选矿厂改扩建项目</w:t>
      </w:r>
      <w:r>
        <w:rPr>
          <w:rFonts w:hint="eastAsia" w:ascii="仿宋_GB2312" w:hAnsi="仿宋_GB2312" w:eastAsia="仿宋_GB2312" w:cs="仿宋_GB2312"/>
          <w:color w:val="auto"/>
          <w:sz w:val="32"/>
          <w:szCs w:val="32"/>
          <w:lang w:val="en-US" w:eastAsia="zh-CN" w:bidi="en-US"/>
        </w:rPr>
        <w:t>，</w:t>
      </w:r>
      <w:r>
        <w:rPr>
          <w:rFonts w:hint="eastAsia" w:ascii="仿宋_GB2312" w:hAnsi="仿宋_GB2312" w:eastAsia="仿宋_GB2312" w:cs="仿宋_GB2312"/>
          <w:b w:val="0"/>
          <w:bCs/>
          <w:color w:val="auto"/>
          <w:kern w:val="0"/>
          <w:sz w:val="32"/>
          <w:szCs w:val="32"/>
          <w:lang w:val="en-US" w:eastAsia="zh-CN" w:bidi="ar"/>
        </w:rPr>
        <w:t>位于</w:t>
      </w:r>
      <w:r>
        <w:rPr>
          <w:rFonts w:hint="eastAsia" w:ascii="仿宋_GB2312" w:hAnsi="仿宋_GB2312" w:eastAsia="仿宋_GB2312" w:cs="仿宋_GB2312"/>
          <w:color w:val="auto"/>
          <w:sz w:val="32"/>
          <w:szCs w:val="32"/>
          <w:highlight w:val="none"/>
          <w:lang w:val="en-US" w:eastAsia="zh-CN"/>
        </w:rPr>
        <w:t>原二连浩特市欧亚国际物流园区内</w:t>
      </w:r>
      <w:r>
        <w:rPr>
          <w:rFonts w:hint="eastAsia" w:ascii="仿宋_GB2312" w:hAnsi="仿宋_GB2312" w:eastAsia="仿宋_GB2312" w:cs="仿宋_GB2312"/>
          <w:color w:val="auto"/>
          <w:kern w:val="2"/>
          <w:sz w:val="32"/>
          <w:szCs w:val="32"/>
          <w:lang w:val="en-US" w:eastAsia="zh-CN" w:bidi="ar-SA"/>
        </w:rPr>
        <w:t>，项目总占地20000平方米，本次改扩建工程不新增占地，主要建设内容为：拆除现有生产车间，在原址上新扩建一座全封闭生产车间，另外扩建1条磨矿-浮选-精矿浓缩过滤生产线。同时将现有的1条磨矿-浮选-精矿浓缩过滤生产线及破碎筛分生产线进行设备更新，以提高原矿石处理能力。本次改扩建工程建成后：年原矿处理量为500000吨，年萤石粉精矿产量为118000吨。</w:t>
      </w:r>
    </w:p>
    <w:p w14:paraId="7CCF4521">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报告书》认为，在全面落实各项生态保护和污染防治措施的前提下，项目建设对环境的不利影响能够得到一定的缓解和控制。我局原则同意本项目按照《报告书》所列的建设项目性质、规模、地点和拟采取的污染防治措施及下述要求进行建设。</w:t>
      </w:r>
    </w:p>
    <w:p w14:paraId="06346AE7">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二、项目在设计、建设和运营过程中还应做好以下工作。</w:t>
      </w:r>
    </w:p>
    <w:p w14:paraId="5060EE6A">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楷体" w:hAnsi="楷体" w:eastAsia="楷体" w:cs="楷体"/>
          <w:color w:val="auto"/>
          <w:kern w:val="2"/>
          <w:sz w:val="32"/>
          <w:szCs w:val="32"/>
          <w:lang w:val="en-US" w:eastAsia="zh-CN" w:bidi="ar-SA"/>
        </w:rPr>
        <w:t>（一）严格落实各项大气污染防治措施。</w:t>
      </w:r>
      <w:r>
        <w:rPr>
          <w:rFonts w:hint="eastAsia" w:ascii="仿宋_GB2312" w:hAnsi="仿宋_GB2312" w:eastAsia="仿宋_GB2312" w:cs="仿宋_GB2312"/>
          <w:color w:val="auto"/>
          <w:kern w:val="2"/>
          <w:sz w:val="32"/>
          <w:szCs w:val="32"/>
          <w:lang w:val="en-US" w:eastAsia="zh-CN" w:bidi="ar-SA"/>
        </w:rPr>
        <w:t>建设全封闭原料库，并安装喷淋设施，上料口置于全封闭车间内，输送廊道全封闭建设，同时降低卸料高度，控制卸料速度；原料破碎筛分环节置于全封闭破碎车间内，上方设置集气罩，粉尘经集气罩收集、布袋除尘器处理满足《大气污染物综合排放标准》（GB16297-1996）浓度限值要求后，通过排气筒引至高空排放。产品及尾砂均堆存于封闭库房内，厂区道路硬化建设、定期清扫、洒水抑尘，运输车辆加盖苫布，最终厂界颗粒物排放须满足《大气污染物综合排放标准》（GB16297-1996）浓度限值要求。</w:t>
      </w:r>
    </w:p>
    <w:p w14:paraId="5672FFE9">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en-GB" w:eastAsia="zh-CN" w:bidi="en-US"/>
        </w:rPr>
      </w:pPr>
      <w:r>
        <w:rPr>
          <w:rFonts w:hint="eastAsia" w:ascii="楷体" w:hAnsi="楷体" w:eastAsia="楷体" w:cs="楷体"/>
          <w:color w:val="auto"/>
          <w:kern w:val="2"/>
          <w:sz w:val="32"/>
          <w:szCs w:val="32"/>
          <w:lang w:val="en-US" w:eastAsia="zh-CN" w:bidi="ar-SA"/>
        </w:rPr>
        <w:t>（二）严格落实固体废物污染防治措施。</w:t>
      </w:r>
      <w:r>
        <w:rPr>
          <w:rFonts w:hint="eastAsia" w:ascii="仿宋_GB2312" w:hAnsi="仿宋_GB2312" w:eastAsia="仿宋_GB2312" w:cs="仿宋_GB2312"/>
          <w:color w:val="auto"/>
          <w:sz w:val="32"/>
          <w:szCs w:val="32"/>
          <w:lang w:val="en-GB" w:eastAsia="zh-CN" w:bidi="en-US"/>
        </w:rPr>
        <w:t>除尘器收尘灰均回用生产，废衬板和废钢球由厂家上门更换回收；尾矿砂及沉淀污泥经脱水后暂存于尾矿干排车间内，定期运往二连浩特一般固废填埋集中处置。</w:t>
      </w:r>
      <w:r>
        <w:rPr>
          <w:rFonts w:hint="eastAsia" w:ascii="仿宋_GB2312" w:hAnsi="仿宋_GB2312" w:eastAsia="仿宋_GB2312" w:cs="仿宋_GB2312"/>
          <w:color w:val="auto"/>
          <w:sz w:val="32"/>
          <w:szCs w:val="32"/>
          <w:lang w:val="en-US" w:eastAsia="zh-CN" w:bidi="en-US"/>
        </w:rPr>
        <w:t>废润滑油、</w:t>
      </w:r>
      <w:r>
        <w:rPr>
          <w:rFonts w:hint="eastAsia" w:ascii="仿宋_GB2312" w:hAnsi="仿宋_GB2312" w:eastAsia="仿宋_GB2312" w:cs="仿宋_GB2312"/>
          <w:color w:val="auto"/>
          <w:sz w:val="32"/>
          <w:szCs w:val="32"/>
          <w:lang w:val="en-GB" w:eastAsia="zh-CN" w:bidi="en-US"/>
        </w:rPr>
        <w:t>废机油及废油桶均分类、分区、密闭暂存于规范化危废暂存间内，定期委托有资质的单位回收处置。人员生活垃圾由封闭式垃圾箱收集后，定期清运至当地环卫部门指定地点处理。</w:t>
      </w:r>
    </w:p>
    <w:p w14:paraId="05F11945">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leftChars="0" w:firstLine="608" w:firstLineChars="190"/>
        <w:textAlignment w:val="auto"/>
        <w:rPr>
          <w:rFonts w:hint="eastAsia" w:ascii="仿宋_GB2312" w:hAnsi="仿宋_GB2312" w:eastAsia="仿宋_GB2312" w:cs="仿宋_GB2312"/>
          <w:b w:val="0"/>
          <w:bCs/>
          <w:color w:val="auto"/>
          <w:kern w:val="2"/>
          <w:sz w:val="32"/>
          <w:szCs w:val="32"/>
          <w:lang w:val="en-US" w:eastAsia="zh-CN" w:bidi="en-US"/>
        </w:rPr>
      </w:pPr>
      <w:r>
        <w:rPr>
          <w:rFonts w:hint="eastAsia" w:ascii="楷体" w:hAnsi="楷体" w:eastAsia="楷体" w:cs="楷体"/>
          <w:color w:val="auto"/>
          <w:kern w:val="2"/>
          <w:sz w:val="32"/>
          <w:szCs w:val="32"/>
          <w:lang w:val="en-US" w:eastAsia="zh-CN" w:bidi="ar-SA"/>
        </w:rPr>
        <w:t>严格落实各项水污染防治措施。</w:t>
      </w:r>
      <w:r>
        <w:rPr>
          <w:rFonts w:hint="eastAsia" w:ascii="仿宋_GB2312" w:hAnsi="仿宋_GB2312" w:eastAsia="仿宋_GB2312" w:cs="仿宋_GB2312"/>
          <w:color w:val="auto"/>
          <w:sz w:val="32"/>
          <w:szCs w:val="32"/>
          <w:lang w:eastAsia="zh-CN" w:bidi="en-US"/>
        </w:rPr>
        <w:t>压滤废水排入循环水池，全部回用生产。人员生活污水经防渗化粪池收集处理满足《污水综合排放标准》（GB8978-1996）浓度限值要求后，定期拉运至二连浩特市污水处理厂集中处理。</w:t>
      </w:r>
    </w:p>
    <w:p w14:paraId="2EC67513">
      <w:pPr>
        <w:keepNext w:val="0"/>
        <w:keepLines w:val="0"/>
        <w:pageBreakBefore w:val="0"/>
        <w:widowControl w:val="0"/>
        <w:numPr>
          <w:ilvl w:val="0"/>
          <w:numId w:val="2"/>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val="zh-TW" w:eastAsia="zh-TW" w:bidi="en-US"/>
        </w:rPr>
      </w:pPr>
      <w:r>
        <w:rPr>
          <w:rFonts w:hint="eastAsia" w:ascii="楷体" w:hAnsi="楷体" w:eastAsia="楷体" w:cs="楷体"/>
          <w:color w:val="auto"/>
          <w:kern w:val="2"/>
          <w:sz w:val="32"/>
          <w:szCs w:val="32"/>
          <w:lang w:val="en-US" w:eastAsia="zh-CN" w:bidi="ar-SA"/>
        </w:rPr>
        <w:t>严格落实噪声防治措施。</w:t>
      </w:r>
      <w:r>
        <w:rPr>
          <w:rFonts w:hint="eastAsia" w:ascii="仿宋_GB2312" w:hAnsi="仿宋_GB2312" w:eastAsia="仿宋_GB2312" w:cs="仿宋_GB2312"/>
          <w:color w:val="auto"/>
          <w:sz w:val="32"/>
          <w:szCs w:val="32"/>
          <w:lang w:bidi="en-US"/>
        </w:rPr>
        <w:t>针对不同的声源采取相应的消声、隔音、减振、降噪措施，高噪设备均置于封闭车间内并加装减震基座，同时加强机械设备日常维护。运输车辆减速行驶，禁止鸣笛。最终噪声排放满足《工业企业厂界环境噪声排放标准》（GB12348-2008）</w:t>
      </w:r>
      <w:r>
        <w:rPr>
          <w:rFonts w:hint="eastAsia" w:ascii="仿宋_GB2312" w:hAnsi="仿宋_GB2312" w:eastAsia="仿宋_GB2312" w:cs="仿宋_GB2312"/>
          <w:color w:val="auto"/>
          <w:sz w:val="32"/>
          <w:szCs w:val="32"/>
          <w:lang w:val="en-US" w:eastAsia="zh-CN" w:bidi="en-US"/>
        </w:rPr>
        <w:t>3</w:t>
      </w:r>
      <w:r>
        <w:rPr>
          <w:rFonts w:hint="eastAsia" w:ascii="仿宋_GB2312" w:hAnsi="仿宋_GB2312" w:eastAsia="仿宋_GB2312" w:cs="仿宋_GB2312"/>
          <w:color w:val="auto"/>
          <w:sz w:val="32"/>
          <w:szCs w:val="32"/>
          <w:lang w:bidi="en-US"/>
        </w:rPr>
        <w:t>类标准限值要求。</w:t>
      </w:r>
    </w:p>
    <w:p w14:paraId="1D4F827A">
      <w:pPr>
        <w:keepNext w:val="0"/>
        <w:keepLines w:val="0"/>
        <w:pageBreakBefore w:val="0"/>
        <w:widowControl w:val="0"/>
        <w:numPr>
          <w:ilvl w:val="0"/>
          <w:numId w:val="2"/>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切实落实土壤和地下水污染防治措施。</w:t>
      </w:r>
      <w:r>
        <w:rPr>
          <w:rFonts w:hint="eastAsia" w:ascii="仿宋_GB2312" w:hAnsi="仿宋_GB2312" w:eastAsia="仿宋_GB2312" w:cs="仿宋_GB2312"/>
          <w:color w:val="auto"/>
          <w:sz w:val="32"/>
          <w:szCs w:val="32"/>
          <w:lang w:eastAsia="zh-CN" w:bidi="en-US"/>
        </w:rPr>
        <w:t>按照“源头控制、分区防控、污染监控、应急响应”相结合的原则采取分区防渗，危废暂存间采取重点防渗措施，并根据《危险废物贮存污染控制标准》（GB18597-2023）建设，所有防渗措施均执行《环境影响评价技术导则地下水环境》(HJ610-2016)标准。</w:t>
      </w:r>
    </w:p>
    <w:p w14:paraId="3E9FAAFB">
      <w:pPr>
        <w:keepNext w:val="0"/>
        <w:keepLines w:val="0"/>
        <w:pageBreakBefore w:val="0"/>
        <w:widowControl w:val="0"/>
        <w:numPr>
          <w:ilvl w:val="0"/>
          <w:numId w:val="2"/>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强化环境风险防范措施。</w:t>
      </w:r>
      <w:r>
        <w:rPr>
          <w:rFonts w:hint="eastAsia" w:ascii="仿宋_GB2312" w:hAnsi="仿宋_GB2312" w:eastAsia="仿宋_GB2312" w:cs="仿宋_GB2312"/>
          <w:color w:val="000000"/>
          <w:kern w:val="2"/>
          <w:sz w:val="32"/>
          <w:szCs w:val="32"/>
          <w:lang w:val="en-US" w:eastAsia="zh-CN" w:bidi="ar-SA"/>
        </w:rPr>
        <w:t>落实环保设施安全生产工作，建立环保设备设施台账和维护管理制度。建立完善的环境管理制度和事故应急措施，制定切实可行的环境风险应急预案，加强对危废暂存间的管理；严格落实风险防范措施和应急预案，切实杜绝环境风险事故。</w:t>
      </w:r>
    </w:p>
    <w:p w14:paraId="79BA7F2A">
      <w:pPr>
        <w:keepNext w:val="0"/>
        <w:keepLines w:val="0"/>
        <w:pageBreakBefore w:val="0"/>
        <w:widowControl w:val="0"/>
        <w:numPr>
          <w:ilvl w:val="0"/>
          <w:numId w:val="2"/>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eastAsia="zh-CN" w:bidi="en-US"/>
        </w:rPr>
      </w:pPr>
      <w:r>
        <w:rPr>
          <w:rFonts w:hint="eastAsia" w:ascii="华文楷体" w:hAnsi="华文楷体" w:eastAsia="华文楷体" w:cs="华文楷体"/>
          <w:color w:val="auto"/>
          <w:sz w:val="32"/>
          <w:szCs w:val="32"/>
          <w:lang w:eastAsia="zh-CN" w:bidi="en-US"/>
        </w:rPr>
        <w:t>严格落实运营期污染源监测计划。</w:t>
      </w:r>
      <w:r>
        <w:rPr>
          <w:rFonts w:hint="eastAsia" w:ascii="仿宋_GB2312" w:hAnsi="仿宋_GB2312" w:eastAsia="仿宋_GB2312" w:cs="仿宋_GB2312"/>
          <w:color w:val="auto"/>
          <w:sz w:val="32"/>
          <w:szCs w:val="32"/>
          <w:lang w:eastAsia="zh-CN" w:bidi="en-US"/>
        </w:rPr>
        <w:t>按照国家和地方有关规定设置规范的污染物排放口，按要求建设监控感知端，并设立标志牌。按照相关标准、规范等要求，落实《报告书》提出的环境管理及监测计划。强化污染源与无组织排放源管理，制定自行监测方案，落实环境管理与监测计划，按规定开展自行监测和信息公开。如出现污染物超标情况，应立即查明原因并采取进一步污染物减排措施。</w:t>
      </w:r>
    </w:p>
    <w:p w14:paraId="6E4F5BB8">
      <w:pPr>
        <w:keepNext w:val="0"/>
        <w:keepLines w:val="0"/>
        <w:pageBreakBefore w:val="0"/>
        <w:widowControl w:val="0"/>
        <w:numPr>
          <w:ilvl w:val="0"/>
          <w:numId w:val="0"/>
        </w:numPr>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三、项目建设必须严格执行配套的环境保护设施与主体工程同时设计、同时施工、同时投产使用的环境保护“三同时”制度。严格落实污染防治措施设计要求。应将优化和细化后的各项污染防治措施及概算纳入设计以及施工等招标文件及合同，并明确责任。按规定程序实施竣工环境保护验收。</w:t>
      </w:r>
    </w:p>
    <w:p w14:paraId="59FB0E66">
      <w:pPr>
        <w:keepNext w:val="0"/>
        <w:keepLines w:val="0"/>
        <w:pageBreakBefore w:val="0"/>
        <w:widowControl w:val="0"/>
        <w:kinsoku/>
        <w:wordWrap/>
        <w:overflowPunct/>
        <w:autoSpaceDE w:val="0"/>
        <w:autoSpaceDN w:val="0"/>
        <w:bidi w:val="0"/>
        <w:adjustRightInd w:val="0"/>
        <w:snapToGrid w:val="0"/>
        <w:spacing w:line="560" w:lineRule="exact"/>
        <w:ind w:firstLine="640" w:firstLineChars="200"/>
        <w:jc w:val="both"/>
        <w:textAlignment w:val="auto"/>
        <w:rPr>
          <w:rFonts w:hint="eastAsia" w:ascii="仿宋_GB2312" w:hAnsi="仿宋_GB2312" w:eastAsia="仿宋_GB2312" w:cs="仿宋_GB2312"/>
          <w:color w:val="auto"/>
          <w:sz w:val="32"/>
          <w:szCs w:val="32"/>
          <w:lang w:bidi="en-US"/>
        </w:rPr>
      </w:pPr>
      <w:r>
        <w:rPr>
          <w:rFonts w:hint="eastAsia" w:ascii="仿宋_GB2312" w:hAnsi="仿宋_GB2312" w:eastAsia="仿宋_GB2312" w:cs="仿宋_GB2312"/>
          <w:color w:val="auto"/>
          <w:sz w:val="32"/>
          <w:szCs w:val="32"/>
          <w:lang w:bidi="en-US"/>
        </w:rPr>
        <w:t>四、我局委托锡林郭勒盟生态环境局</w:t>
      </w:r>
      <w:r>
        <w:rPr>
          <w:rFonts w:hint="eastAsia" w:ascii="仿宋_GB2312" w:hAnsi="仿宋_GB2312" w:eastAsia="仿宋_GB2312" w:cs="仿宋_GB2312"/>
          <w:color w:val="auto"/>
          <w:sz w:val="32"/>
          <w:szCs w:val="32"/>
          <w:lang w:eastAsia="zh-CN" w:bidi="en-US"/>
        </w:rPr>
        <w:t>二连浩特市分局</w:t>
      </w:r>
      <w:r>
        <w:rPr>
          <w:rFonts w:hint="eastAsia" w:ascii="仿宋_GB2312" w:hAnsi="仿宋_GB2312" w:eastAsia="仿宋_GB2312" w:cs="仿宋_GB2312"/>
          <w:color w:val="auto"/>
          <w:sz w:val="32"/>
          <w:szCs w:val="32"/>
          <w:lang w:bidi="en-US"/>
        </w:rPr>
        <w:t>对该项目各项污染防治措施落实情况进行监督检查和管理。</w:t>
      </w:r>
    </w:p>
    <w:p w14:paraId="57FF3C48">
      <w:pPr>
        <w:rPr>
          <w:rFonts w:hint="eastAsia"/>
          <w:color w:val="000000" w:themeColor="text1"/>
          <w14:textFill>
            <w14:solidFill>
              <w14:schemeClr w14:val="tx1"/>
            </w14:solidFill>
          </w14:textFill>
        </w:rPr>
      </w:pPr>
    </w:p>
    <w:p w14:paraId="40844A2B">
      <w:pPr>
        <w:rPr>
          <w:rFonts w:hint="eastAsia"/>
          <w:color w:val="000000" w:themeColor="text1"/>
          <w14:textFill>
            <w14:solidFill>
              <w14:schemeClr w14:val="tx1"/>
            </w14:solidFill>
          </w14:textFill>
        </w:rPr>
      </w:pPr>
    </w:p>
    <w:p w14:paraId="665A876F">
      <w:pPr>
        <w:keepNext w:val="0"/>
        <w:keepLines w:val="0"/>
        <w:pageBreakBefore w:val="0"/>
        <w:widowControl w:val="0"/>
        <w:kinsoku/>
        <w:wordWrap/>
        <w:overflowPunct/>
        <w:autoSpaceDE w:val="0"/>
        <w:autoSpaceDN w:val="0"/>
        <w:bidi w:val="0"/>
        <w:adjustRightInd w:val="0"/>
        <w:snapToGrid w:val="0"/>
        <w:spacing w:line="560" w:lineRule="exact"/>
        <w:ind w:firstLine="4160" w:firstLineChars="13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lang w:bidi="en-US"/>
          <w14:textFill>
            <w14:solidFill>
              <w14:schemeClr w14:val="tx1"/>
            </w14:solidFill>
          </w14:textFill>
        </w:rPr>
        <w:t>锡林</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郭勒盟生态环境局</w:t>
      </w:r>
    </w:p>
    <w:p w14:paraId="633FD440">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202</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5</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年</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7</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月</w:t>
      </w:r>
      <w:r>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t>21</w:t>
      </w:r>
      <w:r>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t>日</w:t>
      </w:r>
    </w:p>
    <w:p w14:paraId="1DA05132">
      <w:pPr>
        <w:keepNext w:val="0"/>
        <w:keepLines w:val="0"/>
        <w:pageBreakBefore w:val="0"/>
        <w:widowControl w:val="0"/>
        <w:kinsoku/>
        <w:wordWrap/>
        <w:overflowPunct/>
        <w:autoSpaceDE w:val="0"/>
        <w:autoSpaceDN w:val="0"/>
        <w:bidi w:val="0"/>
        <w:adjustRightInd w:val="0"/>
        <w:snapToGrid w:val="0"/>
        <w:spacing w:line="560" w:lineRule="exact"/>
        <w:ind w:firstLine="4800" w:firstLineChars="1500"/>
        <w:textAlignment w:val="auto"/>
        <w:rPr>
          <w:rFonts w:hint="eastAsia" w:ascii="仿宋_GB2312" w:hAnsi="仿宋_GB2312" w:eastAsia="仿宋_GB2312" w:cs="仿宋_GB2312"/>
          <w:color w:val="000000" w:themeColor="text1"/>
          <w:sz w:val="32"/>
          <w:szCs w:val="32"/>
          <w:highlight w:val="none"/>
          <w:lang w:bidi="en-US"/>
          <w14:textFill>
            <w14:solidFill>
              <w14:schemeClr w14:val="tx1"/>
            </w14:solidFill>
          </w14:textFill>
        </w:rPr>
      </w:pPr>
    </w:p>
    <w:p w14:paraId="11C307F0">
      <w:pPr>
        <w:keepNext w:val="0"/>
        <w:keepLines w:val="0"/>
        <w:pageBreakBefore w:val="0"/>
        <w:widowControl w:val="0"/>
        <w:kinsoku/>
        <w:wordWrap/>
        <w:overflowPunct/>
        <w:autoSpaceDE w:val="0"/>
        <w:autoSpaceDN w:val="0"/>
        <w:bidi w:val="0"/>
        <w:adjustRightInd w:val="0"/>
        <w:snapToGrid w:val="0"/>
        <w:spacing w:line="560" w:lineRule="exact"/>
        <w:textAlignment w:val="auto"/>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pPr>
    </w:p>
    <w:p w14:paraId="4CFF7F5E">
      <w:pPr>
        <w:pStyle w:val="2"/>
        <w:rPr>
          <w:rFonts w:hint="eastAsia" w:ascii="仿宋_GB2312" w:hAnsi="仿宋_GB2312" w:eastAsia="仿宋_GB2312" w:cs="仿宋_GB2312"/>
          <w:color w:val="000000" w:themeColor="text1"/>
          <w:sz w:val="32"/>
          <w:szCs w:val="32"/>
          <w:highlight w:val="none"/>
          <w:lang w:val="en-US" w:eastAsia="zh-CN" w:bidi="en-US"/>
          <w14:textFill>
            <w14:solidFill>
              <w14:schemeClr w14:val="tx1"/>
            </w14:solidFill>
          </w14:textFill>
        </w:rPr>
      </w:pPr>
    </w:p>
    <w:p w14:paraId="08C31DAA">
      <w:pPr>
        <w:pStyle w:val="3"/>
        <w:rPr>
          <w:rFonts w:hint="eastAsia"/>
          <w:color w:val="000000" w:themeColor="text1"/>
          <w:lang w:val="en-US" w:eastAsia="zh-CN"/>
          <w14:textFill>
            <w14:solidFill>
              <w14:schemeClr w14:val="tx1"/>
            </w14:solidFill>
          </w14:textFill>
        </w:rPr>
      </w:pPr>
    </w:p>
    <w:p w14:paraId="2ABE3D1B">
      <w:pPr>
        <w:rPr>
          <w:rFonts w:hint="eastAsia"/>
          <w:color w:val="000000" w:themeColor="text1"/>
          <w:lang w:val="en-US" w:eastAsia="zh-CN"/>
          <w14:textFill>
            <w14:solidFill>
              <w14:schemeClr w14:val="tx1"/>
            </w14:solidFill>
          </w14:textFill>
        </w:rPr>
      </w:pPr>
    </w:p>
    <w:p w14:paraId="4A47F093">
      <w:pPr>
        <w:pStyle w:val="2"/>
        <w:rPr>
          <w:rFonts w:hint="eastAsia"/>
          <w:color w:val="000000" w:themeColor="text1"/>
          <w:lang w:val="en-US" w:eastAsia="zh-CN"/>
          <w14:textFill>
            <w14:solidFill>
              <w14:schemeClr w14:val="tx1"/>
            </w14:solidFill>
          </w14:textFill>
        </w:rPr>
      </w:pPr>
    </w:p>
    <w:p w14:paraId="424C94D8">
      <w:pPr>
        <w:rPr>
          <w:rFonts w:hint="eastAsia"/>
          <w:color w:val="000000" w:themeColor="text1"/>
          <w:lang w:val="en-US" w:eastAsia="zh-CN"/>
          <w14:textFill>
            <w14:solidFill>
              <w14:schemeClr w14:val="tx1"/>
            </w14:solidFill>
          </w14:textFill>
        </w:rPr>
      </w:pPr>
    </w:p>
    <w:p w14:paraId="0812E0B8">
      <w:pPr>
        <w:rPr>
          <w:rFonts w:hint="eastAsia" w:ascii="仿宋" w:hAnsi="仿宋" w:eastAsia="仿宋" w:cs="仿宋"/>
          <w:color w:val="000000" w:themeColor="text1"/>
          <w:highlight w:val="none"/>
          <w14:textFill>
            <w14:solidFill>
              <w14:schemeClr w14:val="tx1"/>
            </w14:solidFill>
          </w14:textFill>
        </w:rPr>
      </w:pPr>
    </w:p>
    <w:p w14:paraId="11D0687F">
      <w:pPr>
        <w:pStyle w:val="15"/>
        <w:keepNext w:val="0"/>
        <w:keepLines w:val="0"/>
        <w:pageBreakBefore w:val="0"/>
        <w:widowControl w:val="0"/>
        <w:kinsoku/>
        <w:wordWrap/>
        <w:overflowPunct/>
        <w:topLinePunct w:val="0"/>
        <w:bidi w:val="0"/>
        <w:snapToGrid/>
        <w:spacing w:line="500" w:lineRule="exact"/>
        <w:jc w:val="both"/>
        <w:textAlignment w:val="auto"/>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pPr>
      <w:r>
        <w:rPr>
          <w:rFonts w:hint="eastAsia" w:ascii="仿宋" w:hAnsi="仿宋" w:eastAsia="仿宋" w:cs="仿宋"/>
          <w:color w:val="000000" w:themeColor="text1"/>
          <w:kern w:val="2"/>
          <w:sz w:val="28"/>
          <w:szCs w:val="28"/>
          <w:highlight w:val="none"/>
          <w:lang w:bidi="en-US"/>
          <w14:textFill>
            <w14:solidFill>
              <w14:schemeClr w14:val="tx1"/>
            </w14:solidFill>
          </w14:textFill>
        </w:rPr>
        <w:t>抄送：盟生态环境综合行政执法支队</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w:t>
      </w:r>
      <w:r>
        <w:rPr>
          <w:rFonts w:hint="eastAsia" w:ascii="仿宋" w:hAnsi="仿宋" w:eastAsia="仿宋" w:cs="仿宋"/>
          <w:color w:val="000000" w:themeColor="text1"/>
          <w:kern w:val="2"/>
          <w:sz w:val="28"/>
          <w:szCs w:val="28"/>
          <w:highlight w:val="none"/>
          <w:lang w:bidi="en-US"/>
          <w14:textFill>
            <w14:solidFill>
              <w14:schemeClr w14:val="tx1"/>
            </w14:solidFill>
          </w14:textFill>
        </w:rPr>
        <w:t>盟生态环</w:t>
      </w:r>
      <w:r>
        <w:rPr>
          <w:rFonts w:hint="eastAsia" w:ascii="仿宋" w:hAnsi="仿宋" w:eastAsia="仿宋" w:cs="仿宋"/>
          <w:color w:val="000000" w:themeColor="text1"/>
          <w:kern w:val="2"/>
          <w:sz w:val="28"/>
          <w:szCs w:val="28"/>
          <w:highlight w:val="none"/>
          <w:lang w:bidi="en-US"/>
          <w14:textFill>
            <w14:solidFill>
              <w14:schemeClr w14:val="tx1"/>
            </w14:solidFill>
          </w14:textFill>
        </w:rPr>
        <w:t>境局</w:t>
      </w:r>
      <w:r>
        <w:rPr>
          <w:rFonts w:hint="eastAsia" w:ascii="仿宋" w:hAnsi="仿宋" w:eastAsia="仿宋" w:cs="仿宋"/>
          <w:color w:val="000000" w:themeColor="text1"/>
          <w:kern w:val="2"/>
          <w:sz w:val="28"/>
          <w:szCs w:val="28"/>
          <w:highlight w:val="none"/>
          <w:lang w:eastAsia="zh-CN" w:bidi="en-US"/>
          <w14:textFill>
            <w14:solidFill>
              <w14:schemeClr w14:val="tx1"/>
            </w14:solidFill>
          </w14:textFill>
        </w:rPr>
        <w:t>二连浩特市分局</w:t>
      </w:r>
    </w:p>
    <w:p w14:paraId="7E60B488">
      <w:pPr>
        <w:keepNext w:val="0"/>
        <w:keepLines w:val="0"/>
        <w:pageBreakBefore w:val="0"/>
        <w:widowControl w:val="0"/>
        <w:pBdr>
          <w:top w:val="single" w:color="auto" w:sz="4" w:space="1"/>
          <w:left w:val="none" w:color="auto" w:sz="0" w:space="4"/>
          <w:bottom w:val="single" w:color="auto" w:sz="4" w:space="1"/>
          <w:right w:val="none" w:color="auto" w:sz="0" w:space="4"/>
        </w:pBdr>
        <w:kinsoku/>
        <w:wordWrap/>
        <w:overflowPunct/>
        <w:topLinePunct w:val="0"/>
        <w:bidi w:val="0"/>
        <w:snapToGrid/>
        <w:spacing w:line="500" w:lineRule="exact"/>
        <w:textAlignment w:val="auto"/>
        <w:rPr>
          <w:rFonts w:hint="eastAsia" w:ascii="仿宋" w:hAnsi="仿宋" w:eastAsia="仿宋" w:cs="仿宋"/>
          <w:color w:val="000000" w:themeColor="text1"/>
          <w:sz w:val="28"/>
          <w:szCs w:val="28"/>
          <w:highlight w:val="none"/>
          <w14:textFill>
            <w14:solidFill>
              <w14:schemeClr w14:val="tx1"/>
            </w14:solidFill>
          </w14:textFill>
        </w:rPr>
      </w:pPr>
      <w:r>
        <w:rPr>
          <w:rFonts w:hint="eastAsia" w:ascii="仿宋" w:hAnsi="仿宋" w:eastAsia="仿宋" w:cs="仿宋"/>
          <w:color w:val="000000" w:themeColor="text1"/>
          <w:sz w:val="28"/>
          <w:szCs w:val="28"/>
          <w:highlight w:val="none"/>
          <w14:textFill>
            <w14:solidFill>
              <w14:schemeClr w14:val="tx1"/>
            </w14:solidFill>
          </w14:textFill>
        </w:rPr>
        <w:t>锡林郭勒盟生态环境局办公室             202</w:t>
      </w:r>
      <w:r>
        <w:rPr>
          <w:rFonts w:hint="eastAsia" w:ascii="仿宋" w:hAnsi="仿宋" w:eastAsia="仿宋" w:cs="仿宋"/>
          <w:color w:val="000000" w:themeColor="text1"/>
          <w:sz w:val="28"/>
          <w:szCs w:val="28"/>
          <w:highlight w:val="none"/>
          <w:lang w:val="en-US" w:eastAsia="zh-CN"/>
          <w14:textFill>
            <w14:solidFill>
              <w14:schemeClr w14:val="tx1"/>
            </w14:solidFill>
          </w14:textFill>
        </w:rPr>
        <w:t>5</w:t>
      </w:r>
      <w:r>
        <w:rPr>
          <w:rFonts w:hint="eastAsia" w:ascii="仿宋" w:hAnsi="仿宋" w:eastAsia="仿宋" w:cs="仿宋"/>
          <w:color w:val="000000" w:themeColor="text1"/>
          <w:sz w:val="28"/>
          <w:szCs w:val="28"/>
          <w:highlight w:val="none"/>
          <w14:textFill>
            <w14:solidFill>
              <w14:schemeClr w14:val="tx1"/>
            </w14:solidFill>
          </w14:textFill>
        </w:rPr>
        <w:t>年</w:t>
      </w:r>
      <w:r>
        <w:rPr>
          <w:rFonts w:hint="eastAsia" w:ascii="仿宋" w:hAnsi="仿宋" w:eastAsia="仿宋" w:cs="仿宋"/>
          <w:color w:val="000000" w:themeColor="text1"/>
          <w:sz w:val="28"/>
          <w:szCs w:val="28"/>
          <w:highlight w:val="none"/>
          <w:lang w:val="en-US" w:eastAsia="zh-CN"/>
          <w14:textFill>
            <w14:solidFill>
              <w14:schemeClr w14:val="tx1"/>
            </w14:solidFill>
          </w14:textFill>
        </w:rPr>
        <w:t>7</w:t>
      </w:r>
      <w:r>
        <w:rPr>
          <w:rFonts w:hint="eastAsia" w:ascii="仿宋" w:hAnsi="仿宋" w:eastAsia="仿宋" w:cs="仿宋"/>
          <w:color w:val="000000" w:themeColor="text1"/>
          <w:sz w:val="28"/>
          <w:szCs w:val="28"/>
          <w:highlight w:val="none"/>
          <w14:textFill>
            <w14:solidFill>
              <w14:schemeClr w14:val="tx1"/>
            </w14:solidFill>
          </w14:textFill>
        </w:rPr>
        <w:t>月</w:t>
      </w:r>
      <w:r>
        <w:rPr>
          <w:rFonts w:hint="eastAsia" w:ascii="仿宋" w:hAnsi="仿宋" w:eastAsia="仿宋" w:cs="仿宋"/>
          <w:color w:val="000000" w:themeColor="text1"/>
          <w:sz w:val="28"/>
          <w:szCs w:val="28"/>
          <w:highlight w:val="none"/>
          <w:lang w:val="en-US" w:eastAsia="zh-CN"/>
          <w14:textFill>
            <w14:solidFill>
              <w14:schemeClr w14:val="tx1"/>
            </w14:solidFill>
          </w14:textFill>
        </w:rPr>
        <w:t>21</w:t>
      </w:r>
      <w:r>
        <w:rPr>
          <w:rFonts w:hint="eastAsia" w:ascii="仿宋" w:hAnsi="仿宋" w:eastAsia="仿宋" w:cs="仿宋"/>
          <w:color w:val="000000" w:themeColor="text1"/>
          <w:sz w:val="28"/>
          <w:szCs w:val="28"/>
          <w:highlight w:val="none"/>
          <w14:textFill>
            <w14:solidFill>
              <w14:schemeClr w14:val="tx1"/>
            </w14:solidFill>
          </w14:textFill>
        </w:rPr>
        <w:t>日印发</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等线">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D78A7C">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E34203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2E342038">
                    <w:pPr>
                      <w:pStyle w:val="7"/>
                      <w:rPr>
                        <w:sz w:val="28"/>
                        <w:szCs w:val="28"/>
                      </w:rPr>
                    </w:pP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BDEEF49"/>
    <w:multiLevelType w:val="singleLevel"/>
    <w:tmpl w:val="DBDEEF49"/>
    <w:lvl w:ilvl="0" w:tentative="0">
      <w:start w:val="3"/>
      <w:numFmt w:val="chineseCounting"/>
      <w:suff w:val="nothing"/>
      <w:lvlText w:val="（%1）"/>
      <w:lvlJc w:val="left"/>
      <w:rPr>
        <w:rFonts w:hint="eastAsia" w:ascii="华文楷体" w:hAnsi="华文楷体" w:eastAsia="华文楷体" w:cs="华文楷体"/>
        <w:sz w:val="32"/>
        <w:szCs w:val="32"/>
      </w:rPr>
    </w:lvl>
  </w:abstractNum>
  <w:abstractNum w:abstractNumId="1">
    <w:nsid w:val="4B940A54"/>
    <w:multiLevelType w:val="singleLevel"/>
    <w:tmpl w:val="4B940A54"/>
    <w:lvl w:ilvl="0" w:tentative="0">
      <w:start w:val="4"/>
      <w:numFmt w:val="chineseCounting"/>
      <w:suff w:val="nothing"/>
      <w:lvlText w:val="（%1）"/>
      <w:lvlJc w:val="left"/>
      <w:rPr>
        <w:rFonts w:hint="eastAsia" w:ascii="楷体" w:hAnsi="楷体" w:eastAsia="楷体" w:cs="楷体"/>
        <w:b w:val="0"/>
        <w:bCs w:val="0"/>
        <w:sz w:val="32"/>
        <w:szCs w:val="32"/>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jVjZjliNThiMThmZTZiMTZlZjM4YWI1NWNjNGNiZjYifQ=="/>
  </w:docVars>
  <w:rsids>
    <w:rsidRoot w:val="00BE15C5"/>
    <w:rsid w:val="00096BAA"/>
    <w:rsid w:val="001577BB"/>
    <w:rsid w:val="00157C95"/>
    <w:rsid w:val="001A08E0"/>
    <w:rsid w:val="0023504A"/>
    <w:rsid w:val="00275F15"/>
    <w:rsid w:val="0029260D"/>
    <w:rsid w:val="0030521F"/>
    <w:rsid w:val="00314696"/>
    <w:rsid w:val="00333BAE"/>
    <w:rsid w:val="00351DD5"/>
    <w:rsid w:val="0036799A"/>
    <w:rsid w:val="003F6E8C"/>
    <w:rsid w:val="00565FD0"/>
    <w:rsid w:val="006D5A5C"/>
    <w:rsid w:val="0078439C"/>
    <w:rsid w:val="008169E9"/>
    <w:rsid w:val="008B4F82"/>
    <w:rsid w:val="008C5ED5"/>
    <w:rsid w:val="00977DFE"/>
    <w:rsid w:val="00981820"/>
    <w:rsid w:val="00A74547"/>
    <w:rsid w:val="00B3474C"/>
    <w:rsid w:val="00BB3EEE"/>
    <w:rsid w:val="00BE15C5"/>
    <w:rsid w:val="00C054DA"/>
    <w:rsid w:val="00C23C2B"/>
    <w:rsid w:val="00C769C0"/>
    <w:rsid w:val="00CA00EE"/>
    <w:rsid w:val="00D14C38"/>
    <w:rsid w:val="00D37553"/>
    <w:rsid w:val="00DA6EE3"/>
    <w:rsid w:val="00E76C09"/>
    <w:rsid w:val="00F13EA9"/>
    <w:rsid w:val="00F96E63"/>
    <w:rsid w:val="00FF17CD"/>
    <w:rsid w:val="019C606F"/>
    <w:rsid w:val="033C2BF5"/>
    <w:rsid w:val="04082137"/>
    <w:rsid w:val="04D60042"/>
    <w:rsid w:val="05FD1001"/>
    <w:rsid w:val="064265FE"/>
    <w:rsid w:val="065A7A8E"/>
    <w:rsid w:val="07E80A5E"/>
    <w:rsid w:val="08125FE6"/>
    <w:rsid w:val="09F707CE"/>
    <w:rsid w:val="0A055186"/>
    <w:rsid w:val="0C7A4895"/>
    <w:rsid w:val="0D6D6C1D"/>
    <w:rsid w:val="0EE27BE5"/>
    <w:rsid w:val="109F048E"/>
    <w:rsid w:val="133A3E29"/>
    <w:rsid w:val="134A4ECA"/>
    <w:rsid w:val="1B7C0676"/>
    <w:rsid w:val="1BF2CB73"/>
    <w:rsid w:val="1D61177E"/>
    <w:rsid w:val="1F9C573C"/>
    <w:rsid w:val="22B733D3"/>
    <w:rsid w:val="29D8150D"/>
    <w:rsid w:val="2CF929A0"/>
    <w:rsid w:val="2F1F3E8C"/>
    <w:rsid w:val="2F2B74F6"/>
    <w:rsid w:val="2F7E7F6E"/>
    <w:rsid w:val="2F7F303D"/>
    <w:rsid w:val="3AD90E3C"/>
    <w:rsid w:val="3BFB7ADD"/>
    <w:rsid w:val="3EDBBAD3"/>
    <w:rsid w:val="3EE79A77"/>
    <w:rsid w:val="3F55392E"/>
    <w:rsid w:val="3FC31BD1"/>
    <w:rsid w:val="3FFF09BA"/>
    <w:rsid w:val="445D3A2B"/>
    <w:rsid w:val="466622E2"/>
    <w:rsid w:val="46B26845"/>
    <w:rsid w:val="4A3B72B4"/>
    <w:rsid w:val="4CDD40CE"/>
    <w:rsid w:val="4DD74926"/>
    <w:rsid w:val="501114FC"/>
    <w:rsid w:val="56990422"/>
    <w:rsid w:val="5C1271C4"/>
    <w:rsid w:val="5DFFD6AD"/>
    <w:rsid w:val="5FA70BB0"/>
    <w:rsid w:val="617526E2"/>
    <w:rsid w:val="640E5DD6"/>
    <w:rsid w:val="640F77AC"/>
    <w:rsid w:val="6479615F"/>
    <w:rsid w:val="65980358"/>
    <w:rsid w:val="67927E4C"/>
    <w:rsid w:val="68387D94"/>
    <w:rsid w:val="69CC12A6"/>
    <w:rsid w:val="6E1A4AAF"/>
    <w:rsid w:val="6FD159E5"/>
    <w:rsid w:val="6FEE6D0C"/>
    <w:rsid w:val="70EA0941"/>
    <w:rsid w:val="71FFDCEE"/>
    <w:rsid w:val="737F42A4"/>
    <w:rsid w:val="776575C6"/>
    <w:rsid w:val="77A04D8F"/>
    <w:rsid w:val="77A23F56"/>
    <w:rsid w:val="77FB60A4"/>
    <w:rsid w:val="78CC1696"/>
    <w:rsid w:val="795254DD"/>
    <w:rsid w:val="79F6371A"/>
    <w:rsid w:val="7CE53CE8"/>
    <w:rsid w:val="7D4F8FD3"/>
    <w:rsid w:val="7E5356DB"/>
    <w:rsid w:val="7F5DA376"/>
    <w:rsid w:val="7F6C2C5A"/>
    <w:rsid w:val="7F7C8CD3"/>
    <w:rsid w:val="7F7CE8F3"/>
    <w:rsid w:val="7FD6261A"/>
    <w:rsid w:val="97FFBFF7"/>
    <w:rsid w:val="AFDFA893"/>
    <w:rsid w:val="B5FB4F10"/>
    <w:rsid w:val="B6FB1ACB"/>
    <w:rsid w:val="BBFD157B"/>
    <w:rsid w:val="BBFFB394"/>
    <w:rsid w:val="BDB9872E"/>
    <w:rsid w:val="CF77A9DB"/>
    <w:rsid w:val="DBAFDD4B"/>
    <w:rsid w:val="DBD5EE8A"/>
    <w:rsid w:val="DF671AB1"/>
    <w:rsid w:val="E7FD0A82"/>
    <w:rsid w:val="EF6F4B52"/>
    <w:rsid w:val="EFEB112C"/>
    <w:rsid w:val="F3FD86CF"/>
    <w:rsid w:val="F4FE1E3B"/>
    <w:rsid w:val="FBF70573"/>
    <w:rsid w:val="FBFE7E8F"/>
    <w:rsid w:val="FC7D141F"/>
    <w:rsid w:val="FE9F31A0"/>
    <w:rsid w:val="FEF950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5">
    <w:name w:val="heading 4"/>
    <w:basedOn w:val="1"/>
    <w:next w:val="1"/>
    <w:unhideWhenUsed/>
    <w:qFormat/>
    <w:uiPriority w:val="9"/>
    <w:pPr>
      <w:keepNext/>
      <w:keepLines/>
      <w:adjustRightInd w:val="0"/>
      <w:snapToGrid w:val="0"/>
      <w:jc w:val="left"/>
      <w:outlineLvl w:val="3"/>
    </w:pPr>
    <w:rPr>
      <w:rFonts w:cstheme="majorBidi"/>
      <w:b/>
      <w:bCs/>
      <w:szCs w:val="28"/>
    </w:rPr>
  </w:style>
  <w:style w:type="character" w:default="1" w:styleId="12">
    <w:name w:val="Default Paragraph Font"/>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3"/>
    <w:qFormat/>
    <w:uiPriority w:val="0"/>
    <w:pPr>
      <w:ind w:firstLine="420" w:firstLineChars="200"/>
    </w:pPr>
    <w:rPr>
      <w:rFonts w:ascii="Times New Roman" w:hAnsi="Times New Roman" w:eastAsia="宋体"/>
      <w:szCs w:val="24"/>
    </w:rPr>
  </w:style>
  <w:style w:type="paragraph" w:styleId="3">
    <w:name w:val="Body Text First Indent 2"/>
    <w:basedOn w:val="4"/>
    <w:next w:val="1"/>
    <w:qFormat/>
    <w:uiPriority w:val="0"/>
    <w:pPr>
      <w:adjustRightInd w:val="0"/>
      <w:ind w:firstLine="420"/>
      <w:textAlignment w:val="baseline"/>
    </w:pPr>
    <w:rPr>
      <w:rFonts w:ascii="宋体" w:hAnsi="宋体"/>
      <w:sz w:val="18"/>
      <w:szCs w:val="18"/>
    </w:rPr>
  </w:style>
  <w:style w:type="paragraph" w:styleId="4">
    <w:name w:val="Body Text Indent"/>
    <w:basedOn w:val="1"/>
    <w:next w:val="1"/>
    <w:qFormat/>
    <w:uiPriority w:val="0"/>
    <w:pPr>
      <w:spacing w:after="120"/>
      <w:ind w:left="420" w:leftChars="200"/>
    </w:pPr>
    <w:rPr>
      <w:rFonts w:ascii="Times New Roman" w:hAnsi="Times New Roman" w:eastAsia="宋体" w:cs="Times New Roman"/>
      <w:szCs w:val="20"/>
    </w:rPr>
  </w:style>
  <w:style w:type="paragraph" w:styleId="6">
    <w:name w:val="annotation text"/>
    <w:basedOn w:val="1"/>
    <w:link w:val="23"/>
    <w:semiHidden/>
    <w:unhideWhenUsed/>
    <w:qFormat/>
    <w:uiPriority w:val="99"/>
    <w:pPr>
      <w:jc w:val="left"/>
    </w:pPr>
  </w:style>
  <w:style w:type="paragraph" w:styleId="7">
    <w:name w:val="footer"/>
    <w:basedOn w:val="1"/>
    <w:qFormat/>
    <w:uiPriority w:val="0"/>
    <w:pPr>
      <w:tabs>
        <w:tab w:val="center" w:pos="4153"/>
        <w:tab w:val="right" w:pos="8306"/>
      </w:tabs>
      <w:snapToGrid w:val="0"/>
      <w:jc w:val="left"/>
    </w:pPr>
    <w:rPr>
      <w:rFonts w:ascii="Times New Roman" w:hAnsi="Times New Roman" w:eastAsia="宋体" w:cs="Times New Roman"/>
      <w:sz w:val="18"/>
    </w:rPr>
  </w:style>
  <w:style w:type="paragraph" w:styleId="8">
    <w:name w:val="header"/>
    <w:basedOn w:val="1"/>
    <w:link w:val="19"/>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39"/>
    <w:pPr>
      <w:tabs>
        <w:tab w:val="left" w:pos="284"/>
        <w:tab w:val="right" w:leader="dot" w:pos="8296"/>
      </w:tabs>
    </w:pPr>
  </w:style>
  <w:style w:type="paragraph" w:styleId="10">
    <w:name w:val="annotation subject"/>
    <w:basedOn w:val="6"/>
    <w:next w:val="6"/>
    <w:link w:val="24"/>
    <w:semiHidden/>
    <w:unhideWhenUsed/>
    <w:qFormat/>
    <w:uiPriority w:val="99"/>
    <w:rPr>
      <w:b/>
      <w:bCs/>
    </w:rPr>
  </w:style>
  <w:style w:type="character" w:styleId="13">
    <w:name w:val="Hyperlink"/>
    <w:basedOn w:val="12"/>
    <w:unhideWhenUsed/>
    <w:qFormat/>
    <w:uiPriority w:val="99"/>
    <w:rPr>
      <w:color w:val="0563C1" w:themeColor="hyperlink"/>
      <w:u w:val="single"/>
      <w14:textFill>
        <w14:solidFill>
          <w14:schemeClr w14:val="hlink"/>
        </w14:solidFill>
      </w14:textFill>
    </w:rPr>
  </w:style>
  <w:style w:type="character" w:styleId="14">
    <w:name w:val="annotation reference"/>
    <w:basedOn w:val="12"/>
    <w:semiHidden/>
    <w:unhideWhenUsed/>
    <w:qFormat/>
    <w:uiPriority w:val="99"/>
    <w:rPr>
      <w:sz w:val="21"/>
      <w:szCs w:val="21"/>
    </w:rPr>
  </w:style>
  <w:style w:type="paragraph" w:customStyle="1" w:styleId="15">
    <w:name w:val="Default"/>
    <w:basedOn w:val="16"/>
    <w:next w:val="1"/>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16">
    <w:name w:val="纯文本1"/>
    <w:basedOn w:val="1"/>
    <w:qFormat/>
    <w:uiPriority w:val="0"/>
    <w:rPr>
      <w:rFonts w:ascii="宋体" w:hAnsi="Courier New"/>
      <w:szCs w:val="20"/>
    </w:rPr>
  </w:style>
  <w:style w:type="paragraph" w:customStyle="1" w:styleId="17">
    <w:name w:val="正文1"/>
    <w:basedOn w:val="15"/>
    <w:next w:val="1"/>
    <w:qFormat/>
    <w:uiPriority w:val="0"/>
    <w:pPr>
      <w:tabs>
        <w:tab w:val="left" w:pos="0"/>
        <w:tab w:val="left" w:pos="7012"/>
      </w:tabs>
      <w:autoSpaceDE w:val="0"/>
      <w:autoSpaceDN w:val="0"/>
      <w:spacing w:beforeLines="25" w:afterLines="25" w:line="360" w:lineRule="auto"/>
      <w:ind w:firstLine="480" w:firstLineChars="200"/>
    </w:pPr>
    <w:rPr>
      <w:rFonts w:ascii="宋体" w:hAnsi="Calibri" w:cs="宋体"/>
      <w:color w:val="000000"/>
      <w:sz w:val="24"/>
      <w:szCs w:val="24"/>
    </w:rPr>
  </w:style>
  <w:style w:type="character" w:customStyle="1" w:styleId="18">
    <w:name w:val="未处理的提及1"/>
    <w:basedOn w:val="12"/>
    <w:semiHidden/>
    <w:unhideWhenUsed/>
    <w:qFormat/>
    <w:uiPriority w:val="99"/>
    <w:rPr>
      <w:color w:val="605E5C"/>
      <w:shd w:val="clear" w:color="auto" w:fill="E1DFDD"/>
    </w:rPr>
  </w:style>
  <w:style w:type="character" w:customStyle="1" w:styleId="19">
    <w:name w:val="页眉 字符"/>
    <w:basedOn w:val="12"/>
    <w:link w:val="8"/>
    <w:qFormat/>
    <w:uiPriority w:val="99"/>
    <w:rPr>
      <w:kern w:val="2"/>
      <w:sz w:val="18"/>
      <w:szCs w:val="18"/>
    </w:rPr>
  </w:style>
  <w:style w:type="paragraph" w:customStyle="1" w:styleId="20">
    <w:name w:val="表文"/>
    <w:basedOn w:val="1"/>
    <w:qFormat/>
    <w:uiPriority w:val="0"/>
    <w:pPr>
      <w:overflowPunct w:val="0"/>
      <w:spacing w:line="440" w:lineRule="exact"/>
      <w:jc w:val="center"/>
      <w:textAlignment w:val="baseline"/>
    </w:pPr>
    <w:rPr>
      <w:rFonts w:ascii="Arial" w:hAnsi="Arial" w:eastAsia="宋体" w:cs="Times New Roman"/>
      <w:szCs w:val="20"/>
    </w:rPr>
  </w:style>
  <w:style w:type="paragraph" w:customStyle="1" w:styleId="21">
    <w:name w:val="样式 (符号) 宋体 小四 行距: 1.5 倍行距"/>
    <w:basedOn w:val="1"/>
    <w:qFormat/>
    <w:uiPriority w:val="0"/>
    <w:pPr>
      <w:spacing w:line="360" w:lineRule="auto"/>
      <w:ind w:firstLine="200" w:firstLineChars="200"/>
    </w:pPr>
    <w:rPr>
      <w:rFonts w:ascii="Times New Roman" w:hAnsi="Times New Roman" w:eastAsia="宋体" w:cs="宋体"/>
      <w:sz w:val="24"/>
      <w:szCs w:val="24"/>
    </w:rPr>
  </w:style>
  <w:style w:type="paragraph" w:styleId="22">
    <w:name w:val="List Paragraph"/>
    <w:basedOn w:val="1"/>
    <w:qFormat/>
    <w:uiPriority w:val="99"/>
    <w:pPr>
      <w:ind w:firstLine="420" w:firstLineChars="200"/>
    </w:pPr>
  </w:style>
  <w:style w:type="character" w:customStyle="1" w:styleId="23">
    <w:name w:val="批注文字 字符"/>
    <w:basedOn w:val="12"/>
    <w:link w:val="6"/>
    <w:semiHidden/>
    <w:qFormat/>
    <w:uiPriority w:val="99"/>
    <w:rPr>
      <w:kern w:val="2"/>
      <w:sz w:val="21"/>
      <w:szCs w:val="22"/>
    </w:rPr>
  </w:style>
  <w:style w:type="character" w:customStyle="1" w:styleId="24">
    <w:name w:val="批注主题 字符"/>
    <w:basedOn w:val="23"/>
    <w:link w:val="10"/>
    <w:semiHidden/>
    <w:qFormat/>
    <w:uiPriority w:val="99"/>
    <w:rPr>
      <w:b/>
      <w:bCs/>
      <w:kern w:val="2"/>
      <w:sz w:val="21"/>
      <w:szCs w:val="22"/>
    </w:rPr>
  </w:style>
  <w:style w:type="paragraph" w:customStyle="1" w:styleId="25">
    <w:name w:val="高-正文"/>
    <w:basedOn w:val="1"/>
    <w:qFormat/>
    <w:uiPriority w:val="0"/>
    <w:pPr>
      <w:topLinePunct/>
      <w:adjustRightInd w:val="0"/>
      <w:snapToGrid w:val="0"/>
      <w:spacing w:line="480" w:lineRule="exact"/>
      <w:ind w:firstLine="600"/>
    </w:pPr>
    <w:rPr>
      <w:rFonts w:ascii="等线" w:hAnsi="等线" w:eastAsia="等线"/>
    </w:rPr>
  </w:style>
  <w:style w:type="paragraph" w:customStyle="1" w:styleId="26">
    <w:name w:val="报告书正文"/>
    <w:basedOn w:val="1"/>
    <w:qFormat/>
    <w:uiPriority w:val="0"/>
    <w:pPr>
      <w:adjustRightInd w:val="0"/>
      <w:snapToGrid w:val="0"/>
      <w:spacing w:line="360" w:lineRule="auto"/>
      <w:ind w:firstLine="425" w:firstLineChars="200"/>
      <w:textAlignment w:val="baseline"/>
    </w:pPr>
    <w:rPr>
      <w:rFonts w:ascii="Arial" w:hAnsi="Arial"/>
      <w:kern w:val="0"/>
      <w:sz w:val="24"/>
      <w:szCs w:val="22"/>
      <w:lang w:eastAsia="en-US" w:bidi="en-US"/>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4</Pages>
  <Words>1731</Words>
  <Characters>1821</Characters>
  <Lines>19</Lines>
  <Paragraphs>5</Paragraphs>
  <TotalTime>15</TotalTime>
  <ScaleCrop>false</ScaleCrop>
  <LinksUpToDate>false</LinksUpToDate>
  <CharactersWithSpaces>1834</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2023-02-04T01:32:00Z</dcterms:created>
  <dc:creator>hui hui</dc:creator>
  <cp:lastModifiedBy>ོʚ 中ོ然ོ ɞ</cp:lastModifiedBy>
  <cp:lastPrinted>2023-02-04T01:39:00Z</cp:lastPrinted>
  <dcterms:modified xsi:type="dcterms:W3CDTF">2025-07-21T02:55:23Z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CFDD8F0723673BF37260776851CD4689</vt:lpwstr>
  </property>
  <property fmtid="{D5CDD505-2E9C-101B-9397-08002B2CF9AE}" pid="4" name="KSOTemplateDocerSaveRecord">
    <vt:lpwstr>eyJoZGlkIjoiNTk0MDc0MWE2MzMxMjkwZmE5ODU4OGMzYzc5YjkzMTAiLCJ1c2VySWQiOiI1NDkxMDYxNjAifQ==</vt:lpwstr>
  </property>
</Properties>
</file>