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410B70">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bookmarkStart w:id="0" w:name="_Hlk124747957"/>
    </w:p>
    <w:p w14:paraId="50C1E157">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48DCD4E5">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0370232E">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3BB1B7FA">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62C07DAA">
      <w:pPr>
        <w:pStyle w:val="27"/>
        <w:keepNext w:val="0"/>
        <w:keepLines w:val="0"/>
        <w:pageBreakBefore w:val="0"/>
        <w:kinsoku/>
        <w:wordWrap/>
        <w:overflowPunct/>
        <w:topLinePunct w:val="0"/>
        <w:bidi w:val="0"/>
        <w:spacing w:line="560" w:lineRule="exact"/>
        <w:ind w:left="0" w:leftChars="0" w:firstLine="0" w:firstLineChars="0"/>
        <w:rPr>
          <w:rFonts w:hint="eastAsia"/>
          <w:sz w:val="32"/>
          <w:szCs w:val="32"/>
          <w:highlight w:val="yellow"/>
        </w:rPr>
      </w:pPr>
    </w:p>
    <w:p w14:paraId="7839D0F6">
      <w:pPr>
        <w:keepNext w:val="0"/>
        <w:keepLines w:val="0"/>
        <w:pageBreakBefore w:val="0"/>
        <w:kinsoku/>
        <w:wordWrap/>
        <w:overflowPunct/>
        <w:topLinePunct w:val="0"/>
        <w:bidi w:val="0"/>
        <w:snapToGrid w:val="0"/>
        <w:spacing w:line="560" w:lineRule="exact"/>
        <w:ind w:left="0" w:leftChars="0" w:firstLine="0" w:firstLineChars="0"/>
        <w:jc w:val="left"/>
        <w:rPr>
          <w:rFonts w:hint="eastAsia"/>
          <w:color w:val="auto"/>
          <w:sz w:val="32"/>
          <w:szCs w:val="32"/>
        </w:rPr>
      </w:pPr>
    </w:p>
    <w:p w14:paraId="032916D6">
      <w:pPr>
        <w:autoSpaceDE w:val="0"/>
        <w:autoSpaceDN w:val="0"/>
        <w:adjustRightInd w:val="0"/>
        <w:snapToGrid w:val="0"/>
        <w:spacing w:line="560" w:lineRule="exact"/>
        <w:jc w:val="center"/>
        <w:rPr>
          <w:rFonts w:ascii="仿宋_GB2312" w:hAnsi="Times New Roman" w:eastAsia="仿宋_GB2312" w:cs="Arial"/>
          <w:color w:val="auto"/>
          <w:sz w:val="32"/>
          <w:szCs w:val="32"/>
          <w:highlight w:val="none"/>
          <w:lang w:bidi="en-US"/>
        </w:rPr>
      </w:pPr>
      <w:r>
        <w:rPr>
          <w:rFonts w:hint="eastAsia" w:ascii="仿宋_GB2312" w:hAnsi="Times New Roman" w:eastAsia="仿宋_GB2312" w:cs="Arial"/>
          <w:color w:val="auto"/>
          <w:sz w:val="32"/>
          <w:szCs w:val="32"/>
          <w:lang w:bidi="en-US"/>
        </w:rPr>
        <w:t>锡署环审书〔</w:t>
      </w:r>
      <w:r>
        <w:rPr>
          <w:rFonts w:hint="eastAsia" w:ascii="仿宋_GB2312" w:hAnsi="Times New Roman" w:eastAsia="仿宋_GB2312" w:cs="Arial"/>
          <w:color w:val="auto"/>
          <w:sz w:val="32"/>
          <w:szCs w:val="32"/>
          <w:highlight w:val="none"/>
          <w:lang w:bidi="en-US"/>
        </w:rPr>
        <w:t>202</w:t>
      </w:r>
      <w:r>
        <w:rPr>
          <w:rFonts w:hint="eastAsia" w:ascii="仿宋_GB2312" w:hAnsi="Times New Roman" w:eastAsia="仿宋_GB2312" w:cs="Arial"/>
          <w:color w:val="auto"/>
          <w:sz w:val="32"/>
          <w:szCs w:val="32"/>
          <w:highlight w:val="none"/>
          <w:lang w:val="en-US" w:eastAsia="zh-CN" w:bidi="en-US"/>
        </w:rPr>
        <w:t>5</w:t>
      </w:r>
      <w:r>
        <w:rPr>
          <w:rFonts w:hint="eastAsia" w:ascii="仿宋_GB2312" w:hAnsi="Times New Roman" w:eastAsia="仿宋_GB2312" w:cs="Arial"/>
          <w:color w:val="auto"/>
          <w:sz w:val="32"/>
          <w:szCs w:val="32"/>
          <w:highlight w:val="none"/>
          <w:lang w:bidi="en-US"/>
        </w:rPr>
        <w:t>〕</w:t>
      </w:r>
      <w:r>
        <w:rPr>
          <w:rFonts w:hint="eastAsia" w:ascii="仿宋_GB2312" w:hAnsi="Times New Roman" w:eastAsia="仿宋_GB2312" w:cs="Arial"/>
          <w:color w:val="auto"/>
          <w:sz w:val="32"/>
          <w:szCs w:val="32"/>
          <w:highlight w:val="none"/>
          <w:lang w:val="en-US" w:eastAsia="zh-CN" w:bidi="en-US"/>
        </w:rPr>
        <w:t>28</w:t>
      </w:r>
      <w:r>
        <w:rPr>
          <w:rFonts w:hint="eastAsia" w:ascii="仿宋_GB2312" w:hAnsi="Times New Roman" w:eastAsia="仿宋_GB2312" w:cs="Arial"/>
          <w:color w:val="auto"/>
          <w:sz w:val="32"/>
          <w:szCs w:val="32"/>
          <w:highlight w:val="none"/>
          <w:lang w:bidi="en-US"/>
        </w:rPr>
        <w:t>号</w:t>
      </w:r>
    </w:p>
    <w:p w14:paraId="7877A644">
      <w:pPr>
        <w:adjustRightInd w:val="0"/>
        <w:snapToGrid w:val="0"/>
        <w:spacing w:line="360" w:lineRule="auto"/>
        <w:jc w:val="center"/>
        <w:rPr>
          <w:b/>
          <w:bCs/>
          <w:color w:val="auto"/>
          <w:sz w:val="32"/>
          <w:szCs w:val="32"/>
          <w:highlight w:val="none"/>
        </w:rPr>
      </w:pPr>
    </w:p>
    <w:p w14:paraId="71F605E6">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锡林郭勒盟生态环境局</w:t>
      </w:r>
    </w:p>
    <w:bookmarkEnd w:id="0"/>
    <w:p w14:paraId="51E7731B">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关于锡林郭勒盟银泰矿业开发有限责任公司镶黄旗那仁乌拉矿区钨铋银多金属矿</w:t>
      </w:r>
    </w:p>
    <w:p w14:paraId="6347E412">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75万吨/年采选建设项目环境影响</w:t>
      </w:r>
    </w:p>
    <w:p w14:paraId="186B1C86">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报告书的批复</w:t>
      </w:r>
    </w:p>
    <w:p w14:paraId="14F1B1ED">
      <w:pPr>
        <w:autoSpaceDE w:val="0"/>
        <w:autoSpaceDN w:val="0"/>
        <w:adjustRightInd w:val="0"/>
        <w:snapToGrid w:val="0"/>
        <w:spacing w:line="520" w:lineRule="exact"/>
        <w:rPr>
          <w:rFonts w:ascii="仿宋_GB2312" w:hAnsi="仿宋_GB2312" w:eastAsia="仿宋_GB2312" w:cs="仿宋_GB2312"/>
          <w:color w:val="auto"/>
          <w:sz w:val="32"/>
          <w:szCs w:val="32"/>
          <w:lang w:bidi="en-US"/>
        </w:rPr>
      </w:pPr>
    </w:p>
    <w:p w14:paraId="562AA2AD">
      <w:pPr>
        <w:keepNext w:val="0"/>
        <w:keepLines w:val="0"/>
        <w:pageBreakBefore w:val="0"/>
        <w:widowControl w:val="0"/>
        <w:kinsoku/>
        <w:wordWrap/>
        <w:overflowPunct/>
        <w:autoSpaceDE w:val="0"/>
        <w:autoSpaceDN w:val="0"/>
        <w:bidi w:val="0"/>
        <w:adjustRightInd w:val="0"/>
        <w:snapToGrid w:val="0"/>
        <w:spacing w:line="560" w:lineRule="exact"/>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highlight w:val="none"/>
          <w:lang w:val="en-US" w:eastAsia="zh-CN"/>
        </w:rPr>
        <w:t>锡林郭勒盟银泰矿业开发有限责任公司</w:t>
      </w:r>
      <w:r>
        <w:rPr>
          <w:rFonts w:hint="eastAsia" w:ascii="仿宋_GB2312" w:hAnsi="仿宋_GB2312" w:eastAsia="仿宋_GB2312" w:cs="仿宋_GB2312"/>
          <w:color w:val="auto"/>
          <w:sz w:val="32"/>
          <w:szCs w:val="32"/>
          <w:lang w:bidi="en-US"/>
        </w:rPr>
        <w:t>：</w:t>
      </w:r>
    </w:p>
    <w:p w14:paraId="65044B96">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你单位报送的《</w:t>
      </w:r>
      <w:r>
        <w:rPr>
          <w:rFonts w:hint="eastAsia" w:ascii="仿宋_GB2312" w:hAnsi="仿宋_GB2312" w:eastAsia="仿宋_GB2312" w:cs="仿宋_GB2312"/>
          <w:color w:val="auto"/>
          <w:sz w:val="32"/>
          <w:szCs w:val="32"/>
          <w:lang w:val="en-US" w:eastAsia="zh-CN" w:bidi="en-US"/>
        </w:rPr>
        <w:t>锡林郭勒盟银泰矿业开发有限责任公司镶黄旗那仁乌拉矿区钨铋银多金属矿 75 万吨/年采选建设项目</w:t>
      </w:r>
      <w:r>
        <w:rPr>
          <w:rFonts w:hint="eastAsia" w:ascii="仿宋_GB2312" w:hAnsi="仿宋_GB2312" w:eastAsia="仿宋_GB2312" w:cs="仿宋_GB2312"/>
          <w:color w:val="auto"/>
          <w:sz w:val="32"/>
          <w:szCs w:val="32"/>
          <w:lang w:bidi="en-US"/>
        </w:rPr>
        <w:t>环境影响报告书》（</w:t>
      </w:r>
      <w:r>
        <w:rPr>
          <w:rFonts w:hint="eastAsia" w:ascii="仿宋_GB2312" w:hAnsi="仿宋_GB2312" w:eastAsia="仿宋_GB2312" w:cs="仿宋_GB2312"/>
          <w:color w:val="auto"/>
          <w:sz w:val="32"/>
          <w:szCs w:val="32"/>
          <w:lang w:eastAsia="zh-Hans" w:bidi="en-US"/>
        </w:rPr>
        <w:t>以下简称《报告书》</w:t>
      </w:r>
      <w:r>
        <w:rPr>
          <w:rFonts w:hint="eastAsia" w:ascii="仿宋_GB2312" w:hAnsi="仿宋_GB2312" w:eastAsia="仿宋_GB2312" w:cs="仿宋_GB2312"/>
          <w:color w:val="auto"/>
          <w:sz w:val="32"/>
          <w:szCs w:val="32"/>
          <w:lang w:bidi="en-US"/>
        </w:rPr>
        <w:t>）收悉。经研究，批复如下：</w:t>
      </w:r>
    </w:p>
    <w:p w14:paraId="352670D9">
      <w:pPr>
        <w:keepNext w:val="0"/>
        <w:keepLines w:val="0"/>
        <w:pageBreakBefore w:val="0"/>
        <w:numPr>
          <w:ilvl w:val="0"/>
          <w:numId w:val="1"/>
        </w:numPr>
        <w:kinsoku/>
        <w:wordWrap/>
        <w:overflowPunct/>
        <w:topLinePunct w:val="0"/>
        <w:autoSpaceDE/>
        <w:autoSpaceDN/>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lang w:val="en-US" w:eastAsia="zh-CN" w:bidi="en-US"/>
        </w:rPr>
        <w:t>锡林郭勒盟银泰矿业开发有限责任公司镶黄旗那仁乌拉矿区钨铋银多金属矿 75 万吨/年采选建设项目位于锡林郭勒盟镶黄旗东部，行政区划隶属镶黄旗巴音塔拉镇，地理坐标为东经114°31′05″～114°32′47″，北纬42°23′31″～42°24′40″。</w:t>
      </w:r>
      <w:r>
        <w:rPr>
          <w:rFonts w:hint="eastAsia" w:ascii="仿宋_GB2312" w:hAnsi="仿宋_GB2312" w:eastAsia="仿宋_GB2312" w:cs="仿宋_GB2312"/>
          <w:color w:val="auto"/>
          <w:sz w:val="32"/>
          <w:szCs w:val="32"/>
          <w:highlight w:val="none"/>
          <w:lang w:val="en-US" w:eastAsia="zh-CN"/>
        </w:rPr>
        <w:t>项目采用地下开采方式，原矿由矿山井下采场供矿，划分为东、西两个采区，采选规模为75万吨/年，矿山主要产品为钨精矿，钨金属量合计为89954.18吨，其中探明资源量为5885.55吨，控制资源量为60869.53吨，推断资源量为23199.10吨。Ⅰ、Ⅱ矿段产品方案包括铜精矿（含银、铋）、铅精矿（含银、铋）、锌精矿（含银）、硫精矿及重选钨精矿；Ⅲ矿段产品方案为银铋混合精矿、硫精矿及重选钨精矿。本项目选矿石量为2500吨/日，因Ⅰ、Ⅱ矿段与Ⅲ矿段矿石性质差异显著，选矿厂设置为两个系列：一系列处理Ⅲ矿段，生产规模为2200吨/日，主要伴生金属为铋、银，锌、铜、铅含量较低；二系列处理Ⅰ、Ⅱ矿段，生产规模为300吨/日，主要金属为铜、铅、锌、银，铋含量相对较低。Ⅰ、Ⅱ矿段服务年限为13.2年，Ⅲ矿段服务年限为14.4年，矿山整体服务年限为14.3年。</w:t>
      </w:r>
    </w:p>
    <w:p w14:paraId="063BD4E5">
      <w:pPr>
        <w:keepNext w:val="0"/>
        <w:keepLines w:val="0"/>
        <w:pageBreakBefore w:val="0"/>
        <w:numPr>
          <w:ilvl w:val="0"/>
          <w:numId w:val="0"/>
        </w:numPr>
        <w:kinsoku/>
        <w:wordWrap/>
        <w:overflowPunct/>
        <w:topLinePunct w:val="0"/>
        <w:autoSpaceDE/>
        <w:autoSpaceDN/>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Ⅰ、Ⅱ矿段重点重金属排放总量共72.36kg/a，按照涉重金属总量“等量替代”的原则，该项目涉重点金属总量从东乌旗山金阿尔哈达矿业有限公司选厂除尘系统改造工程所削减的重点重金属排放量中使用，项目已完成重金属指标的置换。</w:t>
      </w:r>
    </w:p>
    <w:p w14:paraId="3509B553">
      <w:pPr>
        <w:keepNext w:val="0"/>
        <w:keepLines w:val="0"/>
        <w:pageBreakBefore w:val="0"/>
        <w:numPr>
          <w:ilvl w:val="0"/>
          <w:numId w:val="0"/>
        </w:numPr>
        <w:kinsoku/>
        <w:wordWrap/>
        <w:overflowPunct/>
        <w:topLinePunct w:val="0"/>
        <w:autoSpaceDE/>
        <w:autoSpaceDN/>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highlight w:val="none"/>
          <w:lang w:val="en-US" w:eastAsia="zh-CN"/>
        </w:rPr>
        <w:t>《报告书》认为，在全面落实各项生态保护和污染防治措施的前提下，项目建设对环境的不利</w:t>
      </w:r>
      <w:r>
        <w:rPr>
          <w:rFonts w:hint="eastAsia" w:ascii="仿宋_GB2312" w:hAnsi="仿宋_GB2312" w:eastAsia="仿宋_GB2312" w:cs="仿宋_GB2312"/>
          <w:color w:val="auto"/>
          <w:kern w:val="2"/>
          <w:sz w:val="32"/>
          <w:szCs w:val="32"/>
          <w:lang w:val="en-US" w:eastAsia="zh-CN" w:bidi="ar-SA"/>
        </w:rPr>
        <w:t>影响能够得到一定的缓解和控制。我局原则同意本项目按照《报告书》所列的建设项目性质、规模、地点和拟采取的污染防治措施及下述要求进行建设。</w:t>
      </w:r>
    </w:p>
    <w:p w14:paraId="477C0002">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二、项目在设计、建设和运营过程中还应做好以下工作。</w:t>
      </w:r>
    </w:p>
    <w:p w14:paraId="325BDAEC">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en-US"/>
        </w:rPr>
      </w:pPr>
      <w:r>
        <w:rPr>
          <w:rFonts w:hint="eastAsia" w:ascii="楷体" w:hAnsi="楷体" w:eastAsia="楷体" w:cs="楷体"/>
          <w:color w:val="auto"/>
          <w:kern w:val="2"/>
          <w:sz w:val="32"/>
          <w:szCs w:val="32"/>
          <w:highlight w:val="none"/>
          <w:lang w:val="en-US" w:eastAsia="zh-CN" w:bidi="en-US"/>
        </w:rPr>
        <w:t>生态保护措施。</w:t>
      </w:r>
      <w:r>
        <w:rPr>
          <w:rFonts w:hint="eastAsia" w:ascii="仿宋_GB2312" w:hAnsi="仿宋_GB2312" w:eastAsia="仿宋_GB2312" w:cs="仿宋_GB2312"/>
          <w:color w:val="auto"/>
          <w:kern w:val="2"/>
          <w:sz w:val="32"/>
          <w:szCs w:val="32"/>
          <w:highlight w:val="none"/>
          <w:lang w:val="en-US" w:eastAsia="zh-CN" w:bidi="en-US"/>
        </w:rPr>
        <w:t>严格按照《报告书》提出的开采范围进行开采。新剥离表土单独堆存用于生态恢复。</w:t>
      </w:r>
      <w:r>
        <w:rPr>
          <w:rFonts w:hint="eastAsia" w:ascii="仿宋_GB2312" w:hAnsi="仿宋_GB2312" w:eastAsia="仿宋_GB2312" w:cs="仿宋_GB2312"/>
          <w:color w:val="000000"/>
          <w:kern w:val="2"/>
          <w:sz w:val="32"/>
          <w:szCs w:val="32"/>
          <w:lang w:val="en-US" w:eastAsia="zh-CN" w:bidi="ar-SA"/>
        </w:rPr>
        <w:t>施工过程中发现文物的，应当保护现场，立即报告当地文物保护部门，由文物保护部门依法依规进行处理。</w:t>
      </w:r>
      <w:r>
        <w:rPr>
          <w:rFonts w:hint="eastAsia" w:ascii="仿宋_GB2312" w:hAnsi="仿宋_GB2312" w:eastAsia="仿宋_GB2312" w:cs="仿宋_GB2312"/>
          <w:color w:val="auto"/>
          <w:kern w:val="2"/>
          <w:sz w:val="32"/>
          <w:szCs w:val="32"/>
          <w:highlight w:val="none"/>
          <w:lang w:val="en-US" w:eastAsia="zh-CN" w:bidi="en-US"/>
        </w:rPr>
        <w:t>及时开展生态修复，按照“边开采、边修复”的原则，在统筹考虑生物多样性、防沙治沙等要求的基础上，编制生态保护及修复方案。占用草地应依法履行相关手续。建立生态监测系统，加强生态影响长期跟踪监测，根据监测结果，采取优化措施减缓不利生态影响。</w:t>
      </w:r>
    </w:p>
    <w:p w14:paraId="0BDC00C1">
      <w:pPr>
        <w:pStyle w:val="5"/>
        <w:keepNext w:val="0"/>
        <w:keepLines w:val="0"/>
        <w:pageBreakBefore w:val="0"/>
        <w:widowControl w:val="0"/>
        <w:numPr>
          <w:ilvl w:val="0"/>
          <w:numId w:val="2"/>
        </w:numPr>
        <w:kinsoku/>
        <w:wordWrap/>
        <w:overflowPunct/>
        <w:topLinePunct w:val="0"/>
        <w:autoSpaceDE/>
        <w:autoSpaceDN/>
        <w:bidi w:val="0"/>
        <w:adjustRightInd w:val="0"/>
        <w:snapToGrid/>
        <w:spacing w:after="0" w:line="560" w:lineRule="exact"/>
        <w:ind w:left="0" w:leftChars="0" w:firstLine="640" w:firstLineChars="200"/>
        <w:jc w:val="both"/>
        <w:textAlignment w:val="baseline"/>
        <w:rPr>
          <w:rFonts w:hint="eastAsia" w:ascii="仿宋_GB2312" w:hAnsi="仿宋_GB2312" w:eastAsia="仿宋_GB2312" w:cs="仿宋_GB2312"/>
          <w:color w:val="auto"/>
          <w:kern w:val="2"/>
          <w:sz w:val="32"/>
          <w:szCs w:val="32"/>
          <w:highlight w:val="none"/>
          <w:lang w:val="en-US" w:eastAsia="zh-CN" w:bidi="en-US"/>
        </w:rPr>
      </w:pPr>
      <w:r>
        <w:rPr>
          <w:rFonts w:hint="eastAsia" w:ascii="楷体" w:hAnsi="楷体" w:eastAsia="楷体" w:cs="楷体"/>
          <w:color w:val="auto"/>
          <w:kern w:val="2"/>
          <w:sz w:val="32"/>
          <w:szCs w:val="32"/>
          <w:highlight w:val="none"/>
          <w:lang w:val="en-US" w:eastAsia="zh-CN" w:bidi="en-US"/>
        </w:rPr>
        <w:t>严格落实各项大气污染防治措施。</w:t>
      </w:r>
      <w:r>
        <w:rPr>
          <w:rFonts w:hint="eastAsia" w:ascii="仿宋" w:hAnsi="仿宋" w:eastAsia="仿宋" w:cs="仿宋_GB2312"/>
          <w:sz w:val="32"/>
          <w:szCs w:val="32"/>
        </w:rPr>
        <w:t>井下岩凿采取</w:t>
      </w:r>
      <w:r>
        <w:rPr>
          <w:rFonts w:ascii="仿宋" w:hAnsi="仿宋" w:eastAsia="仿宋" w:cs="仿宋_GB2312"/>
          <w:sz w:val="32"/>
          <w:szCs w:val="32"/>
        </w:rPr>
        <w:t>湿式凿岩</w:t>
      </w:r>
      <w:r>
        <w:rPr>
          <w:rFonts w:hint="eastAsia" w:ascii="仿宋_GB2312" w:hAnsi="仿宋_GB2312" w:eastAsia="仿宋_GB2312" w:cs="仿宋_GB2312"/>
          <w:color w:val="auto"/>
          <w:kern w:val="2"/>
          <w:sz w:val="32"/>
          <w:szCs w:val="32"/>
          <w:highlight w:val="none"/>
          <w:lang w:val="en-US" w:eastAsia="zh-CN" w:bidi="en-US"/>
        </w:rPr>
        <w:t>、</w:t>
      </w:r>
      <w:r>
        <w:rPr>
          <w:rFonts w:hint="eastAsia" w:ascii="仿宋" w:hAnsi="仿宋" w:eastAsia="仿宋" w:cs="微软雅黑"/>
          <w:sz w:val="32"/>
          <w:szCs w:val="32"/>
        </w:rPr>
        <w:t>喷雾</w:t>
      </w:r>
      <w:r>
        <w:rPr>
          <w:rFonts w:hint="eastAsia" w:ascii="仿宋" w:hAnsi="仿宋" w:eastAsia="仿宋" w:cs="___WRD_EMBED_SUB_44"/>
          <w:sz w:val="32"/>
          <w:szCs w:val="32"/>
        </w:rPr>
        <w:t>洒水等措施</w:t>
      </w:r>
      <w:r>
        <w:rPr>
          <w:rFonts w:hint="eastAsia" w:ascii="仿宋" w:hAnsi="仿宋" w:eastAsia="仿宋" w:cs="___WRD_EMBED_SUB_44"/>
          <w:sz w:val="32"/>
          <w:szCs w:val="32"/>
          <w:lang w:eastAsia="zh-CN"/>
        </w:rPr>
        <w:t>。</w:t>
      </w:r>
      <w:r>
        <w:rPr>
          <w:rFonts w:hint="eastAsia" w:ascii="仿宋_GB2312" w:hAnsi="仿宋_GB2312" w:eastAsia="仿宋_GB2312" w:cs="仿宋_GB2312"/>
          <w:b w:val="0"/>
          <w:bCs w:val="0"/>
          <w:color w:val="auto"/>
          <w:kern w:val="2"/>
          <w:sz w:val="32"/>
          <w:szCs w:val="32"/>
          <w:highlight w:val="none"/>
          <w:lang w:val="en-US" w:eastAsia="zh-CN" w:bidi="en-US"/>
        </w:rPr>
        <w:t>粗碎车间采用喷淋洒水与集气罩联合方式除尘，废气经集气管道引入干式除尘器处理后满足《铅、锌工业污染物排放标准》（GB25466-2010）中大气污染物排放限值经排气筒排放；细碎及筛分车间设置喷淋系统与干式除尘器组合装置，车间封闭并设置集气罩；粉矿仓、缓冲仓和磨矿车间均采用烧结板干式除尘器或高效布袋除尘器处理废气，排放浓度满足排放标准要</w:t>
      </w:r>
      <w:r>
        <w:rPr>
          <w:rFonts w:hint="eastAsia" w:ascii="仿宋_GB2312" w:hAnsi="仿宋_GB2312" w:eastAsia="仿宋_GB2312" w:cs="仿宋_GB2312"/>
          <w:b w:val="0"/>
          <w:bCs w:val="0"/>
          <w:color w:val="000000" w:themeColor="text1"/>
          <w:kern w:val="2"/>
          <w:sz w:val="32"/>
          <w:szCs w:val="32"/>
          <w:highlight w:val="none"/>
          <w:lang w:val="en-US" w:eastAsia="zh-CN" w:bidi="en-US"/>
          <w14:textFill>
            <w14:solidFill>
              <w14:schemeClr w14:val="tx1"/>
            </w14:solidFill>
          </w14:textFill>
        </w:rPr>
        <w:t>求。充填站下料、破碎过程产生粉尘经集气罩收集后，经袋式除尘器处理满足</w:t>
      </w:r>
      <w:r>
        <w:rPr>
          <w:rFonts w:hint="eastAsia" w:ascii="仿宋_GB2312" w:hAnsi="仿宋_GB2312" w:eastAsia="仿宋_GB2312" w:cs="仿宋_GB2312"/>
          <w:b w:val="0"/>
          <w:bCs w:val="0"/>
          <w:color w:val="auto"/>
          <w:kern w:val="2"/>
          <w:sz w:val="32"/>
          <w:szCs w:val="32"/>
          <w:highlight w:val="none"/>
          <w:lang w:val="en-US" w:eastAsia="zh-CN" w:bidi="en-US"/>
        </w:rPr>
        <w:t>《铅、锌工业污染物排放标准》（GB25466-2010）</w:t>
      </w:r>
      <w:r>
        <w:rPr>
          <w:rFonts w:hint="eastAsia" w:ascii="仿宋_GB2312" w:hAnsi="仿宋_GB2312" w:eastAsia="仿宋_GB2312" w:cs="仿宋_GB2312"/>
          <w:b w:val="0"/>
          <w:bCs w:val="0"/>
          <w:color w:val="000000" w:themeColor="text1"/>
          <w:kern w:val="2"/>
          <w:sz w:val="32"/>
          <w:szCs w:val="32"/>
          <w:highlight w:val="none"/>
          <w:lang w:val="en-US" w:eastAsia="zh-CN" w:bidi="en-US"/>
          <w14:textFill>
            <w14:solidFill>
              <w14:schemeClr w14:val="tx1"/>
            </w14:solidFill>
          </w14:textFill>
        </w:rPr>
        <w:t>中有组织废气二级排放标准限值要求后由排气筒排放。</w:t>
      </w:r>
      <w:r>
        <w:rPr>
          <w:rFonts w:hint="eastAsia" w:ascii="仿宋_GB2312" w:hAnsi="仿宋_GB2312" w:eastAsia="仿宋_GB2312" w:cs="仿宋_GB2312"/>
          <w:b w:val="0"/>
          <w:bCs w:val="0"/>
          <w:color w:val="auto"/>
          <w:kern w:val="2"/>
          <w:sz w:val="32"/>
          <w:szCs w:val="32"/>
          <w:highlight w:val="none"/>
          <w:lang w:val="en-US" w:eastAsia="zh-CN" w:bidi="en-US"/>
        </w:rPr>
        <w:t>尾矿库干滩区多点放矿、洒水抑尘，临时废石堆场使用洒水设备定期抑尘。充填站水泥仓设有滤芯除尘器，粉尘经除尘后由排气筒排放，搅拌槽为全封闭结构。</w:t>
      </w:r>
      <w:r>
        <w:rPr>
          <w:rFonts w:hint="eastAsia" w:ascii="仿宋_GB2312" w:hAnsi="仿宋_GB2312" w:eastAsia="仿宋_GB2312" w:cs="仿宋_GB2312"/>
          <w:color w:val="000000"/>
          <w:sz w:val="32"/>
          <w:szCs w:val="32"/>
        </w:rPr>
        <w:t>车辆</w:t>
      </w:r>
      <w:r>
        <w:rPr>
          <w:rFonts w:hint="eastAsia" w:ascii="仿宋_GB2312" w:hAnsi="仿宋_GB2312" w:eastAsia="仿宋_GB2312" w:cs="仿宋_GB2312"/>
          <w:sz w:val="32"/>
          <w:szCs w:val="32"/>
        </w:rPr>
        <w:t>运输过程中规范行车路线，物料外运时对运输车辆加盖遮布，减少大风天气扬尘产生量，对运输道路定期洒水，并保持道路清洁，以降低扬尘的产生。</w:t>
      </w:r>
    </w:p>
    <w:p w14:paraId="7324C052">
      <w:pPr>
        <w:pStyle w:val="5"/>
        <w:keepNext w:val="0"/>
        <w:keepLines w:val="0"/>
        <w:pageBreakBefore w:val="0"/>
        <w:widowControl w:val="0"/>
        <w:numPr>
          <w:ilvl w:val="0"/>
          <w:numId w:val="2"/>
        </w:numPr>
        <w:kinsoku/>
        <w:wordWrap/>
        <w:overflowPunct/>
        <w:topLinePunct w:val="0"/>
        <w:autoSpaceDE/>
        <w:autoSpaceDN/>
        <w:bidi w:val="0"/>
        <w:adjustRightInd w:val="0"/>
        <w:snapToGrid/>
        <w:spacing w:after="0" w:line="560" w:lineRule="exact"/>
        <w:ind w:left="0" w:leftChars="0" w:firstLine="640" w:firstLineChars="200"/>
        <w:jc w:val="both"/>
        <w:textAlignment w:val="baseline"/>
        <w:rPr>
          <w:rFonts w:hint="eastAsia" w:ascii="仿宋_GB2312" w:hAnsi="仿宋_GB2312" w:eastAsia="仿宋_GB2312" w:cs="仿宋_GB2312"/>
          <w:b w:val="0"/>
          <w:bCs w:val="0"/>
          <w:color w:val="auto"/>
          <w:kern w:val="2"/>
          <w:sz w:val="32"/>
          <w:szCs w:val="32"/>
          <w:highlight w:val="none"/>
          <w:lang w:val="en-US" w:eastAsia="zh-CN" w:bidi="en-US"/>
        </w:rPr>
      </w:pPr>
      <w:r>
        <w:rPr>
          <w:rFonts w:hint="eastAsia" w:ascii="楷体" w:hAnsi="楷体" w:eastAsia="楷体" w:cs="楷体"/>
          <w:color w:val="auto"/>
          <w:kern w:val="2"/>
          <w:sz w:val="32"/>
          <w:szCs w:val="32"/>
          <w:highlight w:val="none"/>
          <w:lang w:val="en-US" w:eastAsia="zh-CN" w:bidi="en-US"/>
        </w:rPr>
        <w:t>严格落实各项水污染防治措施。</w:t>
      </w:r>
      <w:r>
        <w:rPr>
          <w:rFonts w:hint="eastAsia" w:ascii="仿宋_GB2312" w:hAnsi="仿宋_GB2312" w:eastAsia="仿宋_GB2312" w:cs="仿宋_GB2312"/>
          <w:color w:val="auto"/>
          <w:kern w:val="2"/>
          <w:sz w:val="32"/>
          <w:szCs w:val="32"/>
          <w:highlight w:val="none"/>
          <w:lang w:val="en-US" w:eastAsia="zh-CN" w:bidi="en-US"/>
        </w:rPr>
        <w:t>矿井涌水经井下水仓收集并沉淀处理后达到《铅、锌工业污染物排放标准》（GB25466-2010），部分回用于采矿作业，其余输送至选矿厂作为生产用水，不外排；选矿产生的废水和尾矿库回水全部循环使用，不外排；生活污水经</w:t>
      </w:r>
      <w:r>
        <w:rPr>
          <w:rFonts w:hint="eastAsia" w:ascii="仿宋_GB2312" w:hAnsi="仿宋_GB2312" w:eastAsia="仿宋_GB2312" w:cs="仿宋_GB2312"/>
          <w:b w:val="0"/>
          <w:bCs w:val="0"/>
          <w:color w:val="auto"/>
          <w:kern w:val="2"/>
          <w:sz w:val="32"/>
          <w:szCs w:val="32"/>
          <w:highlight w:val="none"/>
          <w:lang w:val="en-US" w:eastAsia="zh-CN" w:bidi="en-US"/>
        </w:rPr>
        <w:t>一体化污水处理设施处理满足《污水综合排放标准》一级排放标准及《城市污水再生利用 城市杂用水水质》（GB/T18920-2002）绿化及道路清扫用水要求后用于厂区绿化及洒水降尘，不外排</w:t>
      </w:r>
      <w:r>
        <w:rPr>
          <w:rFonts w:hint="eastAsia" w:ascii="仿宋_GB2312" w:hAnsi="仿宋_GB2312" w:eastAsia="仿宋_GB2312" w:cs="仿宋_GB2312"/>
          <w:color w:val="auto"/>
          <w:kern w:val="2"/>
          <w:sz w:val="32"/>
          <w:szCs w:val="32"/>
          <w:highlight w:val="none"/>
          <w:lang w:val="en-US" w:eastAsia="zh-CN" w:bidi="en-US"/>
        </w:rPr>
        <w:t>。</w:t>
      </w:r>
    </w:p>
    <w:p w14:paraId="2B2DEBB1">
      <w:pPr>
        <w:pStyle w:val="5"/>
        <w:keepNext w:val="0"/>
        <w:keepLines w:val="0"/>
        <w:pageBreakBefore w:val="0"/>
        <w:widowControl w:val="0"/>
        <w:numPr>
          <w:ilvl w:val="0"/>
          <w:numId w:val="2"/>
        </w:numPr>
        <w:kinsoku/>
        <w:wordWrap/>
        <w:overflowPunct/>
        <w:topLinePunct w:val="0"/>
        <w:autoSpaceDE/>
        <w:autoSpaceDN/>
        <w:bidi w:val="0"/>
        <w:adjustRightInd w:val="0"/>
        <w:snapToGrid/>
        <w:spacing w:after="0" w:line="560" w:lineRule="exact"/>
        <w:ind w:left="0" w:leftChars="0" w:firstLine="640" w:firstLineChars="200"/>
        <w:jc w:val="both"/>
        <w:textAlignment w:val="baseline"/>
        <w:rPr>
          <w:rFonts w:hint="eastAsia" w:ascii="仿宋_GB2312" w:hAnsi="仿宋_GB2312" w:eastAsia="仿宋_GB2312" w:cs="仿宋_GB2312"/>
          <w:color w:val="auto"/>
          <w:kern w:val="2"/>
          <w:sz w:val="32"/>
          <w:szCs w:val="32"/>
          <w:highlight w:val="none"/>
          <w:lang w:val="en-US" w:eastAsia="zh-CN" w:bidi="en-US"/>
        </w:rPr>
      </w:pPr>
      <w:r>
        <w:rPr>
          <w:rFonts w:hint="eastAsia" w:ascii="楷体" w:hAnsi="楷体" w:eastAsia="楷体" w:cs="楷体"/>
          <w:b w:val="0"/>
          <w:bCs w:val="0"/>
          <w:color w:val="000000"/>
          <w:sz w:val="32"/>
          <w:szCs w:val="32"/>
          <w:highlight w:val="none"/>
          <w:lang w:val="en-US" w:eastAsia="zh-CN"/>
        </w:rPr>
        <w:t>严格落实噪声防治措施。</w:t>
      </w:r>
      <w:r>
        <w:rPr>
          <w:rFonts w:hint="eastAsia" w:ascii="仿宋_GB2312" w:hAnsi="仿宋_GB2312" w:eastAsia="仿宋_GB2312" w:cs="仿宋_GB2312"/>
          <w:color w:val="auto"/>
          <w:kern w:val="2"/>
          <w:sz w:val="32"/>
          <w:szCs w:val="32"/>
          <w:highlight w:val="none"/>
          <w:lang w:val="en-US" w:eastAsia="zh-CN" w:bidi="en-US"/>
        </w:rPr>
        <w:t>运营期噪声主要为</w:t>
      </w:r>
      <w:r>
        <w:rPr>
          <w:rFonts w:hint="eastAsia" w:ascii="仿宋_GB2312" w:hAnsi="仿宋_GB2312" w:eastAsia="仿宋_GB2312" w:cs="仿宋_GB2312"/>
          <w:b w:val="0"/>
          <w:bCs w:val="0"/>
          <w:color w:val="auto"/>
          <w:kern w:val="2"/>
          <w:sz w:val="32"/>
          <w:szCs w:val="32"/>
          <w:highlight w:val="none"/>
          <w:lang w:val="en-US" w:eastAsia="zh-CN" w:bidi="en-US"/>
        </w:rPr>
        <w:t>采矿作业、选矿作业和运输车辆所带来的交通噪声的影响。采矿作业噪声源主要为矿井通风机房、空压机房、提升机房及井下凿岩爆破等；选矿作业噪声源主要为破碎机、湿式球磨机、浮选机、过滤机及水泵等设备。</w:t>
      </w:r>
      <w:r>
        <w:rPr>
          <w:rFonts w:hint="eastAsia" w:ascii="仿宋_GB2312" w:hAnsi="仿宋_GB2312" w:eastAsia="仿宋_GB2312" w:cs="仿宋_GB2312"/>
          <w:color w:val="auto"/>
          <w:kern w:val="2"/>
          <w:sz w:val="32"/>
          <w:szCs w:val="32"/>
          <w:highlight w:val="none"/>
          <w:lang w:val="en-US" w:eastAsia="zh-CN" w:bidi="en-US"/>
        </w:rPr>
        <w:t>针对各噪声源特征进行消声、减振、合理布局等措施，确保厂界噪声可满足《工业企业厂界环境噪声排放标准》（GB12348-2008）2类标准的要求。</w:t>
      </w:r>
    </w:p>
    <w:p w14:paraId="3BE1F32C">
      <w:pPr>
        <w:pStyle w:val="5"/>
        <w:keepNext w:val="0"/>
        <w:keepLines w:val="0"/>
        <w:pageBreakBefore w:val="0"/>
        <w:widowControl w:val="0"/>
        <w:numPr>
          <w:ilvl w:val="0"/>
          <w:numId w:val="2"/>
        </w:numPr>
        <w:kinsoku/>
        <w:wordWrap/>
        <w:overflowPunct/>
        <w:topLinePunct w:val="0"/>
        <w:autoSpaceDE/>
        <w:autoSpaceDN/>
        <w:bidi w:val="0"/>
        <w:adjustRightInd w:val="0"/>
        <w:snapToGrid/>
        <w:spacing w:after="0" w:line="560" w:lineRule="exact"/>
        <w:ind w:left="0" w:leftChars="0" w:firstLine="640" w:firstLineChars="200"/>
        <w:jc w:val="both"/>
        <w:textAlignment w:val="baseline"/>
        <w:rPr>
          <w:rFonts w:hint="eastAsia" w:ascii="仿宋_GB2312" w:hAnsi="仿宋_GB2312" w:eastAsia="仿宋_GB2312" w:cs="仿宋_GB2312"/>
          <w:b w:val="0"/>
          <w:bCs w:val="0"/>
          <w:color w:val="auto"/>
          <w:kern w:val="2"/>
          <w:sz w:val="32"/>
          <w:szCs w:val="32"/>
          <w:highlight w:val="none"/>
          <w:lang w:val="en-US" w:eastAsia="zh-CN" w:bidi="en-US"/>
        </w:rPr>
      </w:pPr>
      <w:r>
        <w:rPr>
          <w:rFonts w:hint="eastAsia" w:ascii="楷体" w:hAnsi="楷体" w:eastAsia="楷体" w:cs="楷体"/>
          <w:color w:val="auto"/>
          <w:kern w:val="2"/>
          <w:sz w:val="32"/>
          <w:szCs w:val="32"/>
          <w:highlight w:val="none"/>
          <w:lang w:val="en-US" w:eastAsia="zh-CN" w:bidi="en-US"/>
        </w:rPr>
        <w:t>严格落实固体废物污染防治措施。</w:t>
      </w:r>
      <w:r>
        <w:rPr>
          <w:rFonts w:hint="eastAsia" w:ascii="仿宋_GB2312" w:hAnsi="仿宋_GB2312" w:eastAsia="仿宋_GB2312" w:cs="仿宋_GB2312"/>
          <w:b w:val="0"/>
          <w:bCs w:val="0"/>
          <w:color w:val="auto"/>
          <w:kern w:val="2"/>
          <w:sz w:val="32"/>
          <w:szCs w:val="32"/>
          <w:highlight w:val="none"/>
          <w:lang w:val="en-US" w:eastAsia="zh-CN" w:bidi="en-US"/>
        </w:rPr>
        <w:t>项目固体废弃物主要包括采矿废石、选厂尾矿、除尘灰、废矿物油、污水处理污泥、废包装物等。采矿产生的废石全部堆存于采矿工业场地南侧废石场。选矿厂各车间除尘器收集的除尘灰暂存于灰斗内，后送入磨浮工段回用于选矿。尾矿经检测为一般工业固废，部分用于充填采空区，剩余尾矿入尾矿库堆存。废矿物油和废油桶暂存于标准化危废暂存间内，定期交由有资质单位处理。生活垃圾集中收集于垃圾箱和污水处理装置产生的污泥均由环卫部门统一清运处理。</w:t>
      </w:r>
      <w:r>
        <w:rPr>
          <w:rFonts w:hint="eastAsia" w:ascii="仿宋_GB2312" w:hAnsi="仿宋_GB2312" w:eastAsia="仿宋_GB2312" w:cs="仿宋_GB2312"/>
          <w:color w:val="auto"/>
          <w:kern w:val="2"/>
          <w:sz w:val="32"/>
          <w:szCs w:val="32"/>
          <w:highlight w:val="none"/>
          <w:lang w:val="en-US" w:eastAsia="zh-CN" w:bidi="en-US"/>
        </w:rPr>
        <w:t>各类药剂的包装袋和包装桶，暂存后外售处理或者返回厂家统一处理</w:t>
      </w:r>
      <w:r>
        <w:rPr>
          <w:rFonts w:hint="eastAsia" w:ascii="仿宋_GB2312" w:hAnsi="仿宋_GB2312" w:eastAsia="仿宋_GB2312" w:cs="仿宋_GB2312"/>
          <w:b w:val="0"/>
          <w:bCs w:val="0"/>
          <w:color w:val="auto"/>
          <w:kern w:val="2"/>
          <w:sz w:val="32"/>
          <w:szCs w:val="32"/>
          <w:highlight w:val="none"/>
          <w:lang w:val="en-US" w:eastAsia="zh-CN" w:bidi="en-US"/>
        </w:rPr>
        <w:t>。基建期剥离的表土集中堆放于选厂东侧表土场，作为后期覆土材料使用。</w:t>
      </w:r>
    </w:p>
    <w:p w14:paraId="6E3A76A4">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楷体" w:hAnsi="楷体" w:eastAsia="楷体" w:cs="楷体"/>
          <w:b w:val="0"/>
          <w:bCs w:val="0"/>
          <w:color w:val="000000"/>
          <w:sz w:val="32"/>
          <w:szCs w:val="32"/>
          <w:highlight w:val="none"/>
          <w:lang w:val="en-US" w:eastAsia="zh-CN"/>
        </w:rPr>
        <w:t>严格落实土壤和地下水污染防治措施。</w:t>
      </w:r>
      <w:r>
        <w:rPr>
          <w:rFonts w:hint="eastAsia" w:ascii="仿宋_GB2312" w:hAnsi="仿宋_GB2312" w:eastAsia="仿宋_GB2312" w:cs="仿宋_GB2312"/>
          <w:color w:val="000000"/>
          <w:kern w:val="2"/>
          <w:sz w:val="32"/>
          <w:szCs w:val="32"/>
          <w:lang w:val="en-US" w:eastAsia="zh-CN" w:bidi="ar-SA"/>
        </w:rPr>
        <w:t>严格执行“源头控制</w:t>
      </w:r>
      <w:r>
        <w:rPr>
          <w:rFonts w:hint="eastAsia" w:ascii="仿宋_GB2312" w:hAnsi="仿宋_GB2312" w:eastAsia="仿宋_GB2312" w:cs="仿宋_GB2312"/>
          <w:color w:val="auto"/>
          <w:kern w:val="2"/>
          <w:sz w:val="32"/>
          <w:szCs w:val="32"/>
          <w:highlight w:val="none"/>
          <w:lang w:val="en-US" w:eastAsia="zh-CN" w:bidi="en-US"/>
        </w:rPr>
        <w:t>、分区防控、污染监控、应急响应”相结合的原则。危废暂存间、选矿循环水池等各水池为重点防渗区，选矿工业场地、废石场、尾矿库、生活污水处理站等为一般防渗区，危废暂存间按照《危险废物贮存污染控制标准》（GB18597-2023）建设；办公生活区、采矿工业场地等进行</w:t>
      </w:r>
      <w:r>
        <w:rPr>
          <w:rFonts w:hint="eastAsia" w:ascii="仿宋_GB2312" w:hAnsi="仿宋_GB2312" w:eastAsia="仿宋_GB2312" w:cs="仿宋_GB2312"/>
          <w:color w:val="000000"/>
          <w:kern w:val="2"/>
          <w:sz w:val="32"/>
          <w:szCs w:val="32"/>
          <w:lang w:val="en-US" w:eastAsia="zh-CN" w:bidi="ar-SA"/>
        </w:rPr>
        <w:t>简单防渗。</w:t>
      </w:r>
    </w:p>
    <w:p w14:paraId="467E6DFD">
      <w:pPr>
        <w:pStyle w:val="5"/>
        <w:keepNext w:val="0"/>
        <w:keepLines w:val="0"/>
        <w:pageBreakBefore w:val="0"/>
        <w:widowControl w:val="0"/>
        <w:numPr>
          <w:ilvl w:val="0"/>
          <w:numId w:val="0"/>
        </w:numPr>
        <w:kinsoku/>
        <w:wordWrap/>
        <w:overflowPunct/>
        <w:topLinePunct w:val="0"/>
        <w:autoSpaceDE/>
        <w:autoSpaceDN/>
        <w:bidi w:val="0"/>
        <w:adjustRightInd w:val="0"/>
        <w:snapToGrid/>
        <w:spacing w:after="0" w:line="560" w:lineRule="exact"/>
        <w:ind w:left="0" w:leftChars="0" w:firstLine="640" w:firstLineChars="200"/>
        <w:jc w:val="both"/>
        <w:textAlignment w:val="baseline"/>
        <w:rPr>
          <w:rFonts w:hint="eastAsia" w:ascii="仿宋_GB2312" w:hAnsi="仿宋_GB2312" w:eastAsia="仿宋_GB2312" w:cs="仿宋_GB2312"/>
          <w:color w:val="auto"/>
          <w:kern w:val="2"/>
          <w:sz w:val="32"/>
          <w:szCs w:val="32"/>
          <w:highlight w:val="none"/>
          <w:lang w:val="en-US" w:eastAsia="zh-CN" w:bidi="en-US"/>
        </w:rPr>
      </w:pPr>
      <w:r>
        <w:rPr>
          <w:rFonts w:hint="eastAsia" w:ascii="楷体" w:hAnsi="楷体" w:eastAsia="楷体" w:cs="楷体"/>
          <w:color w:val="auto"/>
          <w:kern w:val="2"/>
          <w:sz w:val="32"/>
          <w:szCs w:val="32"/>
          <w:highlight w:val="none"/>
          <w:lang w:val="en-US" w:eastAsia="zh-CN" w:bidi="en-US"/>
        </w:rPr>
        <w:t>（七）强化各项环境风险防范措施。</w:t>
      </w:r>
      <w:r>
        <w:rPr>
          <w:rFonts w:hint="eastAsia" w:ascii="仿宋_GB2312" w:hAnsi="仿宋_GB2312" w:eastAsia="仿宋_GB2312" w:cs="仿宋_GB2312"/>
          <w:color w:val="000000"/>
          <w:kern w:val="2"/>
          <w:sz w:val="32"/>
          <w:szCs w:val="32"/>
          <w:lang w:val="en-US" w:eastAsia="zh-CN" w:bidi="ar-SA"/>
        </w:rPr>
        <w:t>落实环保设施安全生产工作，建立环保设备设施台账和维护管理制度。按照规范要求存放风险物质；加强生产过程设备的管理与维修，防止跑、冒、滴、漏现象的发生；建立完善的环境管理制度和事故应急措施，制定切实可行的环境风险应急预案，加强对危废暂存间的管理；严格落实风险防范措施和应急预案，切实杜绝环境风险事故。</w:t>
      </w:r>
    </w:p>
    <w:p w14:paraId="0A96187D">
      <w:pPr>
        <w:keepNext w:val="0"/>
        <w:keepLines w:val="0"/>
        <w:pageBreakBefore w:val="0"/>
        <w:widowControl w:val="0"/>
        <w:numPr>
          <w:ilvl w:val="0"/>
          <w:numId w:val="0"/>
        </w:numPr>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楷体" w:hAnsi="楷体" w:eastAsia="楷体" w:cs="楷体"/>
          <w:color w:val="auto"/>
          <w:kern w:val="2"/>
          <w:sz w:val="32"/>
          <w:szCs w:val="32"/>
          <w:highlight w:val="none"/>
          <w:lang w:val="en-US" w:eastAsia="zh-CN" w:bidi="en-US"/>
        </w:rPr>
        <w:t>（八）</w:t>
      </w:r>
      <w:r>
        <w:rPr>
          <w:rFonts w:hint="eastAsia" w:ascii="楷体" w:hAnsi="楷体" w:eastAsia="楷体" w:cs="楷体"/>
          <w:color w:val="auto"/>
          <w:sz w:val="32"/>
          <w:szCs w:val="32"/>
          <w:highlight w:val="none"/>
          <w:lang w:bidi="en-US"/>
        </w:rPr>
        <w:t>严格落实运营期污染源监测计划。</w:t>
      </w:r>
      <w:r>
        <w:rPr>
          <w:rFonts w:hint="eastAsia" w:ascii="仿宋_GB2312" w:hAnsi="仿宋_GB2312" w:eastAsia="仿宋_GB2312" w:cs="仿宋_GB2312"/>
          <w:color w:val="000000"/>
          <w:kern w:val="2"/>
          <w:sz w:val="32"/>
          <w:szCs w:val="32"/>
          <w:lang w:val="en-US" w:eastAsia="zh-CN" w:bidi="ar-SA"/>
        </w:rPr>
        <w:t>按照国家和地方有关规定设置规范的污染物排放口，并设立标志牌。按照相关标准、规范等要求，落实《报告书》提出的环境管理及监测计划。强化污染源与无组织排放源管理，制定自行监测方案，落实环境管理与监测计划，按规定开展自行监测和信息公开。各排气筒应按照规范要求预留永久性监测口和采样监测平台。如出现污染物超标排放情况，应立即查明原因并采取进一步污染物减排措施。</w:t>
      </w:r>
    </w:p>
    <w:p w14:paraId="676CE4EC">
      <w:pPr>
        <w:keepNext w:val="0"/>
        <w:keepLines w:val="0"/>
        <w:pageBreakBefore w:val="0"/>
        <w:widowControl w:val="0"/>
        <w:numPr>
          <w:ilvl w:val="0"/>
          <w:numId w:val="0"/>
        </w:numPr>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三、项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14:paraId="15E2C510">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四、我局委托锡林郭勒盟生态环境局</w:t>
      </w:r>
      <w:r>
        <w:rPr>
          <w:rFonts w:hint="eastAsia" w:ascii="仿宋_GB2312" w:hAnsi="仿宋_GB2312" w:eastAsia="仿宋_GB2312" w:cs="仿宋_GB2312"/>
          <w:color w:val="auto"/>
          <w:sz w:val="32"/>
          <w:szCs w:val="32"/>
          <w:lang w:val="en-US" w:eastAsia="zh-CN" w:bidi="en-US"/>
        </w:rPr>
        <w:t>东乌</w:t>
      </w:r>
      <w:r>
        <w:rPr>
          <w:rFonts w:hint="eastAsia" w:ascii="仿宋_GB2312" w:hAnsi="仿宋_GB2312" w:eastAsia="仿宋_GB2312" w:cs="仿宋_GB2312"/>
          <w:color w:val="auto"/>
          <w:sz w:val="32"/>
          <w:szCs w:val="32"/>
          <w:lang w:bidi="en-US"/>
        </w:rPr>
        <w:t>珠穆沁旗</w:t>
      </w:r>
      <w:r>
        <w:rPr>
          <w:rFonts w:hint="eastAsia" w:ascii="仿宋_GB2312" w:hAnsi="仿宋_GB2312" w:eastAsia="仿宋_GB2312" w:cs="仿宋_GB2312"/>
          <w:color w:val="auto"/>
          <w:sz w:val="32"/>
          <w:szCs w:val="32"/>
          <w:lang w:eastAsia="zh-CN" w:bidi="en-US"/>
        </w:rPr>
        <w:t>分局</w:t>
      </w:r>
      <w:r>
        <w:rPr>
          <w:rFonts w:hint="eastAsia" w:ascii="仿宋_GB2312" w:hAnsi="仿宋_GB2312" w:eastAsia="仿宋_GB2312" w:cs="仿宋_GB2312"/>
          <w:color w:val="auto"/>
          <w:sz w:val="32"/>
          <w:szCs w:val="32"/>
          <w:lang w:bidi="en-US"/>
        </w:rPr>
        <w:t>对该项目各项污染防治措施落实情况进行监督检查和管理。</w:t>
      </w:r>
    </w:p>
    <w:p w14:paraId="25CBDE4A">
      <w:pPr>
        <w:rPr>
          <w:rFonts w:hint="eastAsia"/>
          <w:color w:val="auto"/>
        </w:rPr>
      </w:pPr>
    </w:p>
    <w:p w14:paraId="377AD54A">
      <w:pPr>
        <w:rPr>
          <w:rFonts w:hint="eastAsia"/>
          <w:color w:val="auto"/>
        </w:rPr>
      </w:pPr>
    </w:p>
    <w:p w14:paraId="0B06401E">
      <w:pPr>
        <w:keepNext w:val="0"/>
        <w:keepLines w:val="0"/>
        <w:pageBreakBefore w:val="0"/>
        <w:widowControl w:val="0"/>
        <w:kinsoku/>
        <w:wordWrap/>
        <w:overflowPunct/>
        <w:autoSpaceDE w:val="0"/>
        <w:autoSpaceDN w:val="0"/>
        <w:bidi w:val="0"/>
        <w:adjustRightInd w:val="0"/>
        <w:snapToGrid w:val="0"/>
        <w:spacing w:line="560" w:lineRule="exact"/>
        <w:ind w:firstLine="4160" w:firstLineChars="13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r>
        <w:rPr>
          <w:rFonts w:hint="eastAsia" w:ascii="仿宋_GB2312" w:hAnsi="仿宋_GB2312" w:eastAsia="仿宋_GB2312" w:cs="仿宋_GB2312"/>
          <w:color w:val="auto"/>
          <w:sz w:val="32"/>
          <w:szCs w:val="32"/>
          <w:lang w:bidi="en-US"/>
        </w:rPr>
        <w:t>锡</w:t>
      </w:r>
      <w:r>
        <w:rPr>
          <w:rFonts w:hint="eastAsia" w:ascii="仿宋_GB2312" w:hAnsi="仿宋_GB2312" w:eastAsia="仿宋_GB2312" w:cs="仿宋_GB2312"/>
          <w:color w:val="000000" w:themeColor="text1"/>
          <w:sz w:val="32"/>
          <w:szCs w:val="32"/>
          <w:lang w:bidi="en-US"/>
          <w14:textFill>
            <w14:solidFill>
              <w14:schemeClr w14:val="tx1"/>
            </w14:solidFill>
          </w14:textFill>
        </w:rPr>
        <w:t>林</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郭勒盟生态环境局</w:t>
      </w:r>
    </w:p>
    <w:p w14:paraId="7E813C7B">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202</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5</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年</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7</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月</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22</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日</w:t>
      </w:r>
    </w:p>
    <w:p w14:paraId="7F5B06BB">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p>
    <w:p w14:paraId="12708566">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p>
    <w:p w14:paraId="1818C16E">
      <w:pPr>
        <w:pStyle w:val="2"/>
        <w:rPr>
          <w:rFonts w:hint="eastAsia"/>
        </w:rPr>
      </w:pPr>
    </w:p>
    <w:p w14:paraId="1486C4A4">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p>
    <w:p w14:paraId="5DB0F8EE">
      <w:pPr>
        <w:pStyle w:val="2"/>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p>
    <w:p w14:paraId="58E8A121">
      <w:pPr>
        <w:pStyle w:val="2"/>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bookmarkStart w:id="1" w:name="_GoBack"/>
      <w:bookmarkEnd w:id="1"/>
    </w:p>
    <w:p w14:paraId="1412B9AE">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p>
    <w:p w14:paraId="4752DE1F">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p>
    <w:p w14:paraId="11E7793D">
      <w:pPr>
        <w:pStyle w:val="16"/>
        <w:keepNext w:val="0"/>
        <w:keepLines w:val="0"/>
        <w:pageBreakBefore w:val="0"/>
        <w:widowControl w:val="0"/>
        <w:kinsoku/>
        <w:wordWrap/>
        <w:overflowPunct/>
        <w:topLinePunct w:val="0"/>
        <w:bidi w:val="0"/>
        <w:snapToGrid/>
        <w:spacing w:line="500" w:lineRule="exact"/>
        <w:jc w:val="both"/>
        <w:textAlignment w:val="auto"/>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pPr>
      <w:r>
        <w:rPr>
          <w:rFonts w:hint="eastAsia" w:ascii="仿宋" w:hAnsi="仿宋" w:eastAsia="仿宋" w:cs="仿宋"/>
          <w:color w:val="000000" w:themeColor="text1"/>
          <w:kern w:val="2"/>
          <w:sz w:val="28"/>
          <w:szCs w:val="28"/>
          <w:highlight w:val="none"/>
          <w:lang w:bidi="en-US"/>
          <w14:textFill>
            <w14:solidFill>
              <w14:schemeClr w14:val="tx1"/>
            </w14:solidFill>
          </w14:textFill>
        </w:rPr>
        <w:t>抄送：盟生态环境综合行政执法支队</w:t>
      </w: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w:t>
      </w:r>
      <w:r>
        <w:rPr>
          <w:rFonts w:hint="eastAsia" w:ascii="仿宋" w:hAnsi="仿宋" w:eastAsia="仿宋" w:cs="仿宋"/>
          <w:color w:val="000000" w:themeColor="text1"/>
          <w:kern w:val="2"/>
          <w:sz w:val="28"/>
          <w:szCs w:val="28"/>
          <w:highlight w:val="none"/>
          <w:lang w:bidi="en-US"/>
          <w14:textFill>
            <w14:solidFill>
              <w14:schemeClr w14:val="tx1"/>
            </w14:solidFill>
          </w14:textFill>
        </w:rPr>
        <w:t>盟生态环境局</w:t>
      </w:r>
      <w:r>
        <w:rPr>
          <w:rFonts w:hint="eastAsia" w:ascii="仿宋" w:hAnsi="仿宋" w:eastAsia="仿宋" w:cs="仿宋"/>
          <w:color w:val="000000" w:themeColor="text1"/>
          <w:kern w:val="2"/>
          <w:sz w:val="28"/>
          <w:szCs w:val="28"/>
          <w:highlight w:val="none"/>
          <w:lang w:val="en-US" w:eastAsia="zh-CN" w:bidi="en-US"/>
          <w14:textFill>
            <w14:solidFill>
              <w14:schemeClr w14:val="tx1"/>
            </w14:solidFill>
          </w14:textFill>
        </w:rPr>
        <w:t>东</w:t>
      </w: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乌珠穆沁旗分局</w:t>
      </w:r>
    </w:p>
    <w:p w14:paraId="495F0FCE">
      <w:pPr>
        <w:keepNext w:val="0"/>
        <w:keepLines w:val="0"/>
        <w:pageBreakBefore w:val="0"/>
        <w:widowControl w:val="0"/>
        <w:pBdr>
          <w:top w:val="single" w:color="auto" w:sz="4" w:space="1"/>
          <w:left w:val="none" w:color="auto" w:sz="0" w:space="4"/>
          <w:bottom w:val="single" w:color="auto" w:sz="4" w:space="1"/>
          <w:right w:val="none" w:color="auto" w:sz="0" w:space="4"/>
        </w:pBdr>
        <w:kinsoku/>
        <w:wordWrap/>
        <w:overflowPunct/>
        <w:topLinePunct w:val="0"/>
        <w:bidi w:val="0"/>
        <w:snapToGrid/>
        <w:spacing w:line="500" w:lineRule="exact"/>
        <w:textAlignment w:val="auto"/>
        <w:rPr>
          <w:rFonts w:hint="eastAsia" w:ascii="仿宋" w:hAnsi="仿宋" w:eastAsia="仿宋" w:cs="仿宋"/>
          <w:color w:val="000000" w:themeColor="text1"/>
          <w:sz w:val="28"/>
          <w:szCs w:val="28"/>
          <w:highlight w:val="none"/>
          <w14:textFill>
            <w14:solidFill>
              <w14:schemeClr w14:val="tx1"/>
            </w14:solidFill>
          </w14:textFill>
        </w:rPr>
      </w:pPr>
      <w:r>
        <w:rPr>
          <w:rFonts w:hint="eastAsia" w:ascii="仿宋" w:hAnsi="仿宋" w:eastAsia="仿宋" w:cs="仿宋"/>
          <w:color w:val="000000" w:themeColor="text1"/>
          <w:sz w:val="28"/>
          <w:szCs w:val="28"/>
          <w:highlight w:val="none"/>
          <w14:textFill>
            <w14:solidFill>
              <w14:schemeClr w14:val="tx1"/>
            </w14:solidFill>
          </w14:textFill>
        </w:rPr>
        <w:t>锡林郭勒盟生态环境局办公室             202</w:t>
      </w:r>
      <w:r>
        <w:rPr>
          <w:rFonts w:hint="eastAsia" w:ascii="仿宋" w:hAnsi="仿宋" w:eastAsia="仿宋" w:cs="仿宋"/>
          <w:color w:val="000000" w:themeColor="text1"/>
          <w:sz w:val="28"/>
          <w:szCs w:val="28"/>
          <w:highlight w:val="none"/>
          <w:lang w:val="en-US" w:eastAsia="zh-CN"/>
          <w14:textFill>
            <w14:solidFill>
              <w14:schemeClr w14:val="tx1"/>
            </w14:solidFill>
          </w14:textFill>
        </w:rPr>
        <w:t>5</w:t>
      </w:r>
      <w:r>
        <w:rPr>
          <w:rFonts w:hint="eastAsia" w:ascii="仿宋" w:hAnsi="仿宋" w:eastAsia="仿宋" w:cs="仿宋"/>
          <w:color w:val="000000" w:themeColor="text1"/>
          <w:sz w:val="28"/>
          <w:szCs w:val="28"/>
          <w:highlight w:val="none"/>
          <w14:textFill>
            <w14:solidFill>
              <w14:schemeClr w14:val="tx1"/>
            </w14:solidFill>
          </w14:textFill>
        </w:rPr>
        <w:t>年</w:t>
      </w:r>
      <w:r>
        <w:rPr>
          <w:rFonts w:hint="eastAsia" w:ascii="仿宋" w:hAnsi="仿宋" w:eastAsia="仿宋" w:cs="仿宋"/>
          <w:color w:val="000000" w:themeColor="text1"/>
          <w:sz w:val="28"/>
          <w:szCs w:val="28"/>
          <w:highlight w:val="none"/>
          <w:lang w:val="en-US" w:eastAsia="zh-CN"/>
          <w14:textFill>
            <w14:solidFill>
              <w14:schemeClr w14:val="tx1"/>
            </w14:solidFill>
          </w14:textFill>
        </w:rPr>
        <w:t>7</w:t>
      </w:r>
      <w:r>
        <w:rPr>
          <w:rFonts w:hint="eastAsia" w:ascii="仿宋" w:hAnsi="仿宋" w:eastAsia="仿宋" w:cs="仿宋"/>
          <w:color w:val="000000" w:themeColor="text1"/>
          <w:sz w:val="28"/>
          <w:szCs w:val="28"/>
          <w:highlight w:val="none"/>
          <w14:textFill>
            <w14:solidFill>
              <w14:schemeClr w14:val="tx1"/>
            </w14:solidFill>
          </w14:textFill>
        </w:rPr>
        <w:t>月</w:t>
      </w:r>
      <w:r>
        <w:rPr>
          <w:rFonts w:hint="eastAsia" w:ascii="仿宋" w:hAnsi="仿宋" w:eastAsia="仿宋" w:cs="仿宋"/>
          <w:color w:val="000000" w:themeColor="text1"/>
          <w:sz w:val="28"/>
          <w:szCs w:val="28"/>
          <w:highlight w:val="none"/>
          <w:lang w:val="en-US" w:eastAsia="zh-CN"/>
          <w14:textFill>
            <w14:solidFill>
              <w14:schemeClr w14:val="tx1"/>
            </w14:solidFill>
          </w14:textFill>
        </w:rPr>
        <w:t>22</w:t>
      </w:r>
      <w:r>
        <w:rPr>
          <w:rFonts w:hint="eastAsia" w:ascii="仿宋" w:hAnsi="仿宋" w:eastAsia="仿宋" w:cs="仿宋"/>
          <w:color w:val="000000" w:themeColor="text1"/>
          <w:sz w:val="28"/>
          <w:szCs w:val="28"/>
          <w:highlight w:val="none"/>
          <w14:textFill>
            <w14:solidFill>
              <w14:schemeClr w14:val="tx1"/>
            </w14:solidFill>
          </w14:textFill>
        </w:rPr>
        <w:t>日印发</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roman"/>
    <w:pitch w:val="default"/>
    <w:sig w:usb0="E0002AFF" w:usb1="C0007841" w:usb2="00000009" w:usb3="00000000" w:csb0="400001FF" w:csb1="FFFF0000"/>
  </w:font>
  <w:font w:name="宋体">
    <w:panose1 w:val="02010600030101010101"/>
    <w:charset w:val="88"/>
    <w:family w:val="script"/>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___WRD_EMBED_SUB_44">
    <w:altName w:val="微软雅黑"/>
    <w:panose1 w:val="00000000000000000000"/>
    <w:charset w:val="86"/>
    <w:family w:val="modern"/>
    <w:pitch w:val="default"/>
    <w:sig w:usb0="00000000" w:usb1="00000000" w:usb2="00000010" w:usb3="00000000" w:csb0="00040000"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21E10F">
    <w:pPr>
      <w:pStyle w:val="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8AC9DD">
                          <w:pPr>
                            <w:pStyle w:val="8"/>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4E8AC9DD">
                    <w:pPr>
                      <w:pStyle w:val="8"/>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F8FFAD"/>
    <w:multiLevelType w:val="singleLevel"/>
    <w:tmpl w:val="81F8FFAD"/>
    <w:lvl w:ilvl="0" w:tentative="0">
      <w:start w:val="1"/>
      <w:numFmt w:val="chineseCounting"/>
      <w:suff w:val="nothing"/>
      <w:lvlText w:val="（%1）"/>
      <w:lvlJc w:val="left"/>
      <w:rPr>
        <w:rFonts w:hint="eastAsia" w:ascii="楷体" w:hAnsi="楷体" w:eastAsia="楷体" w:cs="楷体"/>
      </w:rPr>
    </w:lvl>
  </w:abstractNum>
  <w:abstractNum w:abstractNumId="1">
    <w:nsid w:val="EFAF0953"/>
    <w:multiLevelType w:val="singleLevel"/>
    <w:tmpl w:val="EFAF0953"/>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VjZjliNThiMThmZTZiMTZlZjM4YWI1NWNjNGNiZjYifQ=="/>
  </w:docVars>
  <w:rsids>
    <w:rsidRoot w:val="00BE15C5"/>
    <w:rsid w:val="00096BAA"/>
    <w:rsid w:val="001577BB"/>
    <w:rsid w:val="00157C95"/>
    <w:rsid w:val="001A08E0"/>
    <w:rsid w:val="0023504A"/>
    <w:rsid w:val="00275F15"/>
    <w:rsid w:val="0029260D"/>
    <w:rsid w:val="0030521F"/>
    <w:rsid w:val="00314696"/>
    <w:rsid w:val="00333BAE"/>
    <w:rsid w:val="00351DD5"/>
    <w:rsid w:val="0036799A"/>
    <w:rsid w:val="003F6E8C"/>
    <w:rsid w:val="00565FD0"/>
    <w:rsid w:val="006D5A5C"/>
    <w:rsid w:val="0078439C"/>
    <w:rsid w:val="008169E9"/>
    <w:rsid w:val="008B4F82"/>
    <w:rsid w:val="008C5ED5"/>
    <w:rsid w:val="00977DFE"/>
    <w:rsid w:val="00981820"/>
    <w:rsid w:val="00A74547"/>
    <w:rsid w:val="00B3474C"/>
    <w:rsid w:val="00BB3EEE"/>
    <w:rsid w:val="00BE15C5"/>
    <w:rsid w:val="00C054DA"/>
    <w:rsid w:val="00C23C2B"/>
    <w:rsid w:val="00C769C0"/>
    <w:rsid w:val="00CA00EE"/>
    <w:rsid w:val="00D14C38"/>
    <w:rsid w:val="00D37553"/>
    <w:rsid w:val="00DA6EE3"/>
    <w:rsid w:val="00E76C09"/>
    <w:rsid w:val="00F13EA9"/>
    <w:rsid w:val="00F96E63"/>
    <w:rsid w:val="00FF17CD"/>
    <w:rsid w:val="019C606F"/>
    <w:rsid w:val="033C2BF5"/>
    <w:rsid w:val="04082137"/>
    <w:rsid w:val="04D60042"/>
    <w:rsid w:val="05FD1001"/>
    <w:rsid w:val="064265FE"/>
    <w:rsid w:val="065A7A8E"/>
    <w:rsid w:val="07E80A5E"/>
    <w:rsid w:val="08125FE6"/>
    <w:rsid w:val="09F707CE"/>
    <w:rsid w:val="0A055186"/>
    <w:rsid w:val="0BE60BC1"/>
    <w:rsid w:val="0C7A4895"/>
    <w:rsid w:val="0D6D6C1D"/>
    <w:rsid w:val="0EE27BE5"/>
    <w:rsid w:val="109F048E"/>
    <w:rsid w:val="133A3E29"/>
    <w:rsid w:val="134A4ECA"/>
    <w:rsid w:val="17634E35"/>
    <w:rsid w:val="1B7C0676"/>
    <w:rsid w:val="1BF2CB73"/>
    <w:rsid w:val="1D450EF0"/>
    <w:rsid w:val="1D61177E"/>
    <w:rsid w:val="1F9C573C"/>
    <w:rsid w:val="22B733D3"/>
    <w:rsid w:val="29D8150D"/>
    <w:rsid w:val="2CF929A0"/>
    <w:rsid w:val="2F1F3E8C"/>
    <w:rsid w:val="2F2B74F6"/>
    <w:rsid w:val="2F7E7F6E"/>
    <w:rsid w:val="2F7F303D"/>
    <w:rsid w:val="31644D19"/>
    <w:rsid w:val="33042538"/>
    <w:rsid w:val="37DB3B17"/>
    <w:rsid w:val="37DFB9CE"/>
    <w:rsid w:val="3AD90E3C"/>
    <w:rsid w:val="3BFB7ADD"/>
    <w:rsid w:val="3EDBBAD3"/>
    <w:rsid w:val="3FC31BD1"/>
    <w:rsid w:val="42332E3A"/>
    <w:rsid w:val="445D3A2B"/>
    <w:rsid w:val="466622E2"/>
    <w:rsid w:val="46B26845"/>
    <w:rsid w:val="4A3B72B4"/>
    <w:rsid w:val="4CDD40CE"/>
    <w:rsid w:val="4FFB87F7"/>
    <w:rsid w:val="501114FC"/>
    <w:rsid w:val="56990422"/>
    <w:rsid w:val="5A2F7CF6"/>
    <w:rsid w:val="5C1271C4"/>
    <w:rsid w:val="5DF7C719"/>
    <w:rsid w:val="5DFFD6AD"/>
    <w:rsid w:val="5FA70BB0"/>
    <w:rsid w:val="60664926"/>
    <w:rsid w:val="617526E2"/>
    <w:rsid w:val="640E5DD6"/>
    <w:rsid w:val="640F77AC"/>
    <w:rsid w:val="6479615F"/>
    <w:rsid w:val="65980358"/>
    <w:rsid w:val="67927E4C"/>
    <w:rsid w:val="68387D94"/>
    <w:rsid w:val="69CC12A6"/>
    <w:rsid w:val="6BD00E31"/>
    <w:rsid w:val="6E1A4AAF"/>
    <w:rsid w:val="6FD159E5"/>
    <w:rsid w:val="6FEE6D0C"/>
    <w:rsid w:val="70EA0941"/>
    <w:rsid w:val="71FFDCEE"/>
    <w:rsid w:val="737F42A4"/>
    <w:rsid w:val="75DFDB4B"/>
    <w:rsid w:val="776575C6"/>
    <w:rsid w:val="77A04D8F"/>
    <w:rsid w:val="77A23F56"/>
    <w:rsid w:val="77FB60A4"/>
    <w:rsid w:val="78CC1696"/>
    <w:rsid w:val="795254DD"/>
    <w:rsid w:val="79F6371A"/>
    <w:rsid w:val="7B74E570"/>
    <w:rsid w:val="7C7FDDB9"/>
    <w:rsid w:val="7CE53CE8"/>
    <w:rsid w:val="7E5356DB"/>
    <w:rsid w:val="7F012016"/>
    <w:rsid w:val="7F5DA376"/>
    <w:rsid w:val="7F6C2C5A"/>
    <w:rsid w:val="7F7C8CD3"/>
    <w:rsid w:val="7F7CE8F3"/>
    <w:rsid w:val="7F9F8E51"/>
    <w:rsid w:val="7FD6261A"/>
    <w:rsid w:val="7FDD5E1F"/>
    <w:rsid w:val="92CD1A93"/>
    <w:rsid w:val="979EC8C1"/>
    <w:rsid w:val="97FFBFF7"/>
    <w:rsid w:val="9AD73E0D"/>
    <w:rsid w:val="AFDFA893"/>
    <w:rsid w:val="B6FB1ACB"/>
    <w:rsid w:val="BBD7B086"/>
    <w:rsid w:val="BBFD157B"/>
    <w:rsid w:val="BBFFB394"/>
    <w:rsid w:val="BDB9872E"/>
    <w:rsid w:val="CF77A9DB"/>
    <w:rsid w:val="DBAFDD4B"/>
    <w:rsid w:val="DBD5EE8A"/>
    <w:rsid w:val="DF671AB1"/>
    <w:rsid w:val="DF7B31B7"/>
    <w:rsid w:val="DFBDCEE2"/>
    <w:rsid w:val="DFF844CC"/>
    <w:rsid w:val="E7FD0A82"/>
    <w:rsid w:val="EF6F4B52"/>
    <w:rsid w:val="EFEB112C"/>
    <w:rsid w:val="F3FD86CF"/>
    <w:rsid w:val="F4FE1E3B"/>
    <w:rsid w:val="F87F4D24"/>
    <w:rsid w:val="FC7D141F"/>
    <w:rsid w:val="FE9F31A0"/>
    <w:rsid w:val="FFDD1C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4"/>
    <w:basedOn w:val="1"/>
    <w:next w:val="1"/>
    <w:unhideWhenUsed/>
    <w:qFormat/>
    <w:uiPriority w:val="9"/>
    <w:pPr>
      <w:keepNext/>
      <w:keepLines/>
      <w:adjustRightInd w:val="0"/>
      <w:snapToGrid w:val="0"/>
      <w:jc w:val="left"/>
      <w:outlineLvl w:val="3"/>
    </w:pPr>
    <w:rPr>
      <w:rFonts w:cstheme="majorBidi"/>
      <w:b/>
      <w:bCs/>
      <w:szCs w:val="28"/>
    </w:rPr>
  </w:style>
  <w:style w:type="character" w:default="1" w:styleId="13">
    <w:name w:val="Default Paragraph Font"/>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customStyle="1" w:styleId="2">
    <w:name w:val="[1]正文"/>
    <w:basedOn w:val="1"/>
    <w:qFormat/>
    <w:uiPriority w:val="0"/>
    <w:rPr>
      <w:rFonts w:ascii="Times New Roman" w:hAnsi="Times New Roman" w:eastAsia="宋体" w:cs="Times New Roman"/>
      <w:color w:val="000000"/>
      <w:szCs w:val="24"/>
    </w:rPr>
  </w:style>
  <w:style w:type="paragraph" w:styleId="4">
    <w:name w:val="Normal Indent"/>
    <w:basedOn w:val="1"/>
    <w:next w:val="5"/>
    <w:qFormat/>
    <w:uiPriority w:val="0"/>
    <w:pPr>
      <w:ind w:firstLine="420" w:firstLineChars="200"/>
    </w:pPr>
    <w:rPr>
      <w:rFonts w:ascii="Times New Roman" w:hAnsi="Times New Roman" w:eastAsia="宋体"/>
      <w:szCs w:val="24"/>
    </w:rPr>
  </w:style>
  <w:style w:type="paragraph" w:styleId="5">
    <w:name w:val="Body Text First Indent 2"/>
    <w:basedOn w:val="6"/>
    <w:next w:val="1"/>
    <w:qFormat/>
    <w:uiPriority w:val="0"/>
    <w:pPr>
      <w:adjustRightInd w:val="0"/>
      <w:ind w:firstLine="420"/>
      <w:textAlignment w:val="baseline"/>
    </w:pPr>
    <w:rPr>
      <w:rFonts w:ascii="宋体" w:hAnsi="宋体"/>
      <w:sz w:val="18"/>
      <w:szCs w:val="18"/>
    </w:rPr>
  </w:style>
  <w:style w:type="paragraph" w:styleId="6">
    <w:name w:val="Body Text Indent"/>
    <w:basedOn w:val="1"/>
    <w:next w:val="1"/>
    <w:qFormat/>
    <w:uiPriority w:val="0"/>
    <w:pPr>
      <w:spacing w:after="120"/>
      <w:ind w:left="420" w:leftChars="200"/>
    </w:pPr>
    <w:rPr>
      <w:rFonts w:ascii="Times New Roman" w:hAnsi="Times New Roman" w:eastAsia="宋体" w:cs="Times New Roman"/>
      <w:szCs w:val="20"/>
    </w:rPr>
  </w:style>
  <w:style w:type="paragraph" w:styleId="7">
    <w:name w:val="annotation text"/>
    <w:basedOn w:val="1"/>
    <w:link w:val="24"/>
    <w:semiHidden/>
    <w:unhideWhenUsed/>
    <w:qFormat/>
    <w:uiPriority w:val="99"/>
    <w:pPr>
      <w:jc w:val="left"/>
    </w:pPr>
  </w:style>
  <w:style w:type="paragraph" w:styleId="8">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9">
    <w:name w:val="header"/>
    <w:basedOn w:val="1"/>
    <w:link w:val="20"/>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qFormat/>
    <w:uiPriority w:val="39"/>
    <w:pPr>
      <w:tabs>
        <w:tab w:val="left" w:pos="284"/>
        <w:tab w:val="right" w:leader="dot" w:pos="8296"/>
      </w:tabs>
    </w:pPr>
  </w:style>
  <w:style w:type="paragraph" w:styleId="11">
    <w:name w:val="annotation subject"/>
    <w:basedOn w:val="7"/>
    <w:next w:val="7"/>
    <w:link w:val="25"/>
    <w:semiHidden/>
    <w:unhideWhenUsed/>
    <w:qFormat/>
    <w:uiPriority w:val="99"/>
    <w:rPr>
      <w:b/>
      <w:bCs/>
    </w:rPr>
  </w:style>
  <w:style w:type="character" w:styleId="14">
    <w:name w:val="Hyperlink"/>
    <w:basedOn w:val="13"/>
    <w:unhideWhenUsed/>
    <w:qFormat/>
    <w:uiPriority w:val="99"/>
    <w:rPr>
      <w:color w:val="0563C1" w:themeColor="hyperlink"/>
      <w:u w:val="single"/>
      <w14:textFill>
        <w14:solidFill>
          <w14:schemeClr w14:val="hlink"/>
        </w14:solidFill>
      </w14:textFill>
    </w:rPr>
  </w:style>
  <w:style w:type="character" w:styleId="15">
    <w:name w:val="annotation reference"/>
    <w:basedOn w:val="13"/>
    <w:semiHidden/>
    <w:unhideWhenUsed/>
    <w:qFormat/>
    <w:uiPriority w:val="99"/>
    <w:rPr>
      <w:sz w:val="21"/>
      <w:szCs w:val="21"/>
    </w:rPr>
  </w:style>
  <w:style w:type="paragraph" w:customStyle="1" w:styleId="16">
    <w:name w:val="Default"/>
    <w:basedOn w:val="17"/>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7">
    <w:name w:val="纯文本1"/>
    <w:basedOn w:val="1"/>
    <w:qFormat/>
    <w:uiPriority w:val="0"/>
    <w:rPr>
      <w:rFonts w:ascii="宋体" w:hAnsi="Courier New"/>
      <w:szCs w:val="20"/>
    </w:rPr>
  </w:style>
  <w:style w:type="paragraph" w:customStyle="1" w:styleId="18">
    <w:name w:val="正文1"/>
    <w:basedOn w:val="16"/>
    <w:next w:val="1"/>
    <w:qFormat/>
    <w:uiPriority w:val="0"/>
    <w:pPr>
      <w:tabs>
        <w:tab w:val="left" w:pos="0"/>
        <w:tab w:val="left" w:pos="7012"/>
      </w:tabs>
      <w:autoSpaceDE w:val="0"/>
      <w:autoSpaceDN w:val="0"/>
      <w:spacing w:beforeLines="25" w:afterLines="25" w:line="360" w:lineRule="auto"/>
      <w:ind w:firstLine="480" w:firstLineChars="200"/>
    </w:pPr>
    <w:rPr>
      <w:rFonts w:ascii="宋体" w:hAnsi="Calibri" w:cs="宋体"/>
      <w:color w:val="000000"/>
      <w:sz w:val="24"/>
      <w:szCs w:val="24"/>
    </w:rPr>
  </w:style>
  <w:style w:type="character" w:customStyle="1" w:styleId="19">
    <w:name w:val="未处理的提及1"/>
    <w:basedOn w:val="13"/>
    <w:semiHidden/>
    <w:unhideWhenUsed/>
    <w:qFormat/>
    <w:uiPriority w:val="99"/>
    <w:rPr>
      <w:color w:val="605E5C"/>
      <w:shd w:val="clear" w:color="auto" w:fill="E1DFDD"/>
    </w:rPr>
  </w:style>
  <w:style w:type="character" w:customStyle="1" w:styleId="20">
    <w:name w:val="页眉 字符"/>
    <w:basedOn w:val="13"/>
    <w:link w:val="9"/>
    <w:qFormat/>
    <w:uiPriority w:val="99"/>
    <w:rPr>
      <w:kern w:val="2"/>
      <w:sz w:val="18"/>
      <w:szCs w:val="18"/>
    </w:rPr>
  </w:style>
  <w:style w:type="paragraph" w:customStyle="1" w:styleId="21">
    <w:name w:val="表文"/>
    <w:basedOn w:val="1"/>
    <w:qFormat/>
    <w:uiPriority w:val="0"/>
    <w:pPr>
      <w:overflowPunct w:val="0"/>
      <w:spacing w:line="440" w:lineRule="exact"/>
      <w:jc w:val="center"/>
      <w:textAlignment w:val="baseline"/>
    </w:pPr>
    <w:rPr>
      <w:rFonts w:ascii="Arial" w:hAnsi="Arial" w:eastAsia="宋体" w:cs="Times New Roman"/>
      <w:szCs w:val="20"/>
    </w:rPr>
  </w:style>
  <w:style w:type="paragraph" w:customStyle="1" w:styleId="22">
    <w:name w:val="样式 (符号) 宋体 小四 行距: 1.5 倍行距"/>
    <w:basedOn w:val="1"/>
    <w:qFormat/>
    <w:uiPriority w:val="0"/>
    <w:pPr>
      <w:spacing w:line="360" w:lineRule="auto"/>
      <w:ind w:firstLine="200" w:firstLineChars="200"/>
    </w:pPr>
    <w:rPr>
      <w:rFonts w:ascii="Times New Roman" w:hAnsi="Times New Roman" w:eastAsia="宋体" w:cs="宋体"/>
      <w:sz w:val="24"/>
      <w:szCs w:val="24"/>
    </w:rPr>
  </w:style>
  <w:style w:type="paragraph" w:styleId="23">
    <w:name w:val="List Paragraph"/>
    <w:basedOn w:val="1"/>
    <w:qFormat/>
    <w:uiPriority w:val="99"/>
    <w:pPr>
      <w:ind w:firstLine="420" w:firstLineChars="200"/>
    </w:pPr>
  </w:style>
  <w:style w:type="character" w:customStyle="1" w:styleId="24">
    <w:name w:val="批注文字 字符"/>
    <w:basedOn w:val="13"/>
    <w:link w:val="7"/>
    <w:semiHidden/>
    <w:qFormat/>
    <w:uiPriority w:val="99"/>
    <w:rPr>
      <w:kern w:val="2"/>
      <w:sz w:val="21"/>
      <w:szCs w:val="22"/>
    </w:rPr>
  </w:style>
  <w:style w:type="character" w:customStyle="1" w:styleId="25">
    <w:name w:val="批注主题 字符"/>
    <w:basedOn w:val="24"/>
    <w:link w:val="11"/>
    <w:semiHidden/>
    <w:qFormat/>
    <w:uiPriority w:val="99"/>
    <w:rPr>
      <w:b/>
      <w:bCs/>
      <w:kern w:val="2"/>
      <w:sz w:val="21"/>
      <w:szCs w:val="22"/>
    </w:rPr>
  </w:style>
  <w:style w:type="paragraph" w:customStyle="1" w:styleId="26">
    <w:name w:val="高-正文"/>
    <w:basedOn w:val="1"/>
    <w:qFormat/>
    <w:uiPriority w:val="0"/>
    <w:pPr>
      <w:topLinePunct/>
      <w:adjustRightInd w:val="0"/>
      <w:snapToGrid w:val="0"/>
      <w:spacing w:line="480" w:lineRule="exact"/>
      <w:ind w:firstLine="600"/>
    </w:pPr>
    <w:rPr>
      <w:rFonts w:ascii="等线" w:hAnsi="等线" w:eastAsia="等线"/>
    </w:rPr>
  </w:style>
  <w:style w:type="paragraph" w:customStyle="1" w:styleId="27">
    <w:name w:val="报告书正文"/>
    <w:basedOn w:val="1"/>
    <w:qFormat/>
    <w:uiPriority w:val="0"/>
    <w:pPr>
      <w:adjustRightInd w:val="0"/>
      <w:snapToGrid w:val="0"/>
      <w:spacing w:line="360" w:lineRule="auto"/>
      <w:ind w:firstLine="425" w:firstLineChars="200"/>
      <w:textAlignment w:val="baseline"/>
    </w:pPr>
    <w:rPr>
      <w:rFonts w:ascii="Arial" w:hAnsi="Arial"/>
      <w:kern w:val="0"/>
      <w:sz w:val="24"/>
      <w:szCs w:val="22"/>
      <w:lang w:eastAsia="en-US" w:bidi="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Pages>
  <Words>2919</Words>
  <Characters>3089</Characters>
  <Lines>19</Lines>
  <Paragraphs>5</Paragraphs>
  <TotalTime>1</TotalTime>
  <ScaleCrop>false</ScaleCrop>
  <LinksUpToDate>false</LinksUpToDate>
  <CharactersWithSpaces>3108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2023-02-05T09:32:00Z</dcterms:created>
  <dc:creator>hui hui</dc:creator>
  <cp:lastModifiedBy>ོʚ 中ོ然ོ ɞ</cp:lastModifiedBy>
  <cp:lastPrinted>2023-02-05T09:39:00Z</cp:lastPrinted>
  <dcterms:modified xsi:type="dcterms:W3CDTF">2025-07-22T07:54:22Z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75EE75FA936D4A039C4447A6D21605ED_13</vt:lpwstr>
  </property>
  <property fmtid="{D5CDD505-2E9C-101B-9397-08002B2CF9AE}" pid="4" name="KSOTemplateDocerSaveRecord">
    <vt:lpwstr>eyJoZGlkIjoiNTk0MDc0MWE2MzMxMjkwZmE5ODU4OGMzYzc5YjkzMTAiLCJ1c2VySWQiOiI1NDkxMDYxNjAifQ==</vt:lpwstr>
  </property>
</Properties>
</file>