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AAAF18">
      <w:pPr>
        <w:spacing w:line="598" w:lineRule="exact"/>
        <w:jc w:val="center"/>
        <w:rPr>
          <w:rFonts w:ascii="仿宋_GB2312" w:hAnsi="仿宋_GB2312" w:eastAsia="仿宋_GB2312" w:cs="仿宋_GB2312"/>
          <w:sz w:val="32"/>
          <w:szCs w:val="32"/>
        </w:rPr>
      </w:pPr>
    </w:p>
    <w:p w14:paraId="0CE63F02">
      <w:pPr>
        <w:spacing w:line="598" w:lineRule="exact"/>
        <w:jc w:val="center"/>
        <w:rPr>
          <w:rFonts w:ascii="仿宋_GB2312" w:hAnsi="仿宋_GB2312" w:eastAsia="仿宋_GB2312" w:cs="仿宋_GB2312"/>
          <w:sz w:val="32"/>
          <w:szCs w:val="32"/>
        </w:rPr>
      </w:pPr>
    </w:p>
    <w:p w14:paraId="5D2BFCD3">
      <w:pPr>
        <w:spacing w:line="598" w:lineRule="exact"/>
        <w:rPr>
          <w:rFonts w:ascii="仿宋_GB2312" w:hAnsi="仿宋_GB2312" w:eastAsia="仿宋_GB2312" w:cs="仿宋_GB2312"/>
          <w:sz w:val="32"/>
          <w:szCs w:val="32"/>
        </w:rPr>
      </w:pPr>
    </w:p>
    <w:p w14:paraId="52AC3DAC">
      <w:pPr>
        <w:spacing w:line="598" w:lineRule="exact"/>
        <w:rPr>
          <w:rFonts w:ascii="仿宋_GB2312" w:hAnsi="仿宋_GB2312" w:eastAsia="仿宋_GB2312" w:cs="仿宋_GB2312"/>
          <w:sz w:val="32"/>
          <w:szCs w:val="32"/>
        </w:rPr>
      </w:pPr>
    </w:p>
    <w:p w14:paraId="6396ECB8">
      <w:pPr>
        <w:spacing w:line="598"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西环审表〔202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号</w:t>
      </w:r>
    </w:p>
    <w:p w14:paraId="41D51514">
      <w:pPr>
        <w:spacing w:line="598" w:lineRule="exact"/>
        <w:jc w:val="center"/>
        <w:rPr>
          <w:rFonts w:ascii="仿宋_GB2312" w:hAnsi="仿宋_GB2312" w:eastAsia="仿宋_GB2312" w:cs="仿宋_GB2312"/>
          <w:sz w:val="32"/>
          <w:szCs w:val="32"/>
        </w:rPr>
      </w:pPr>
    </w:p>
    <w:p w14:paraId="1DEAF0A5">
      <w:pPr>
        <w:widowControl/>
        <w:spacing w:line="700" w:lineRule="exact"/>
        <w:jc w:val="center"/>
        <w:textAlignment w:val="baseline"/>
        <w:rPr>
          <w:rFonts w:hint="eastAsia" w:ascii="方正小标宋简体" w:hAnsi="Times New Roman" w:eastAsia="方正小标宋简体" w:cs="方正小标宋简体"/>
          <w:bCs/>
          <w:sz w:val="44"/>
          <w:szCs w:val="44"/>
        </w:rPr>
      </w:pPr>
      <w:r>
        <w:rPr>
          <w:rFonts w:hint="eastAsia" w:ascii="方正小标宋简体" w:hAnsi="Times New Roman" w:eastAsia="方正小标宋简体" w:cs="方正小标宋简体"/>
          <w:bCs/>
          <w:sz w:val="44"/>
          <w:szCs w:val="44"/>
        </w:rPr>
        <w:t>锡林郭勒盟生态环境局</w:t>
      </w:r>
    </w:p>
    <w:p w14:paraId="6E0A815D">
      <w:pPr>
        <w:spacing w:line="800" w:lineRule="exact"/>
        <w:jc w:val="center"/>
        <w:rPr>
          <w:rFonts w:hint="eastAsia"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spacing w:val="-11"/>
          <w:sz w:val="44"/>
          <w:szCs w:val="44"/>
          <w:lang w:val="en-US" w:eastAsia="zh-CN"/>
        </w:rPr>
        <w:t>关于</w:t>
      </w:r>
      <w:r>
        <w:rPr>
          <w:rFonts w:hint="eastAsia" w:ascii="方正小标宋简体" w:hAnsi="Times New Roman" w:eastAsia="方正小标宋简体" w:cs="方正小标宋简体"/>
          <w:bCs/>
          <w:sz w:val="44"/>
          <w:szCs w:val="44"/>
          <w:lang w:val="en-US" w:eastAsia="zh-CN"/>
        </w:rPr>
        <w:t>内蒙古白音华海州露天煤矿有限公司煤质提升智能化改造项目</w:t>
      </w:r>
      <w:r>
        <w:rPr>
          <w:rFonts w:hint="eastAsia" w:ascii="方正小标宋简体" w:hAnsi="方正小标宋简体" w:eastAsia="方正小标宋简体" w:cs="方正小标宋简体"/>
          <w:spacing w:val="-11"/>
          <w:sz w:val="44"/>
          <w:szCs w:val="44"/>
        </w:rPr>
        <w:t>环境影响报告表的批复</w:t>
      </w:r>
    </w:p>
    <w:p w14:paraId="27084458">
      <w:pPr>
        <w:spacing w:line="598" w:lineRule="exact"/>
        <w:rPr>
          <w:rFonts w:ascii="仿宋_GB2312" w:hAnsi="仿宋_GB2312" w:eastAsia="仿宋_GB2312" w:cs="仿宋_GB2312"/>
          <w:sz w:val="32"/>
          <w:szCs w:val="32"/>
        </w:rPr>
      </w:pPr>
    </w:p>
    <w:p w14:paraId="352F5D31">
      <w:pPr>
        <w:keepNext w:val="0"/>
        <w:keepLines w:val="0"/>
        <w:pageBreakBefore w:val="0"/>
        <w:widowControl w:val="0"/>
        <w:kinsoku/>
        <w:wordWrap/>
        <w:overflowPunct/>
        <w:topLinePunct w:val="0"/>
        <w:autoSpaceDE/>
        <w:autoSpaceDN/>
        <w:bidi w:val="0"/>
        <w:adjustRightInd/>
        <w:snapToGrid/>
        <w:spacing w:line="600" w:lineRule="atLeast"/>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auto"/>
          <w:sz w:val="32"/>
          <w:szCs w:val="32"/>
          <w:lang w:val="en-US" w:eastAsia="zh-CN"/>
        </w:rPr>
        <w:t>内蒙古白音华海州露天煤矿有限公司</w:t>
      </w:r>
      <w:r>
        <w:rPr>
          <w:rFonts w:hint="eastAsia" w:ascii="仿宋_GB2312" w:hAnsi="仿宋_GB2312" w:eastAsia="仿宋_GB2312" w:cs="仿宋_GB2312"/>
          <w:color w:val="000000" w:themeColor="text1"/>
          <w:sz w:val="32"/>
          <w:szCs w:val="32"/>
          <w14:textFill>
            <w14:solidFill>
              <w14:schemeClr w14:val="tx1"/>
            </w14:solidFill>
          </w14:textFill>
        </w:rPr>
        <w:t>：</w:t>
      </w:r>
    </w:p>
    <w:p w14:paraId="36F4F183">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atLeas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你单位报送的</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内蒙古白音华海州露天煤矿有限公司煤质提升智能化改造项目环境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000000" w:themeColor="text1"/>
          <w:sz w:val="32"/>
          <w:szCs w:val="32"/>
          <w14:textFill>
            <w14:solidFill>
              <w14:schemeClr w14:val="tx1"/>
            </w14:solidFill>
          </w14:textFill>
        </w:rPr>
        <w:t>（以下简称《报告表》）已收悉。由锡林郭勒盟生态环境局西乌旗分局委托内蒙古环保投资集团有限公司锡林郭勒盟分公司对《报告表》进行了技术评估，出具了评估报告（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锡环投评估表〔2025〕06号</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经</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研究，现批复如下：</w:t>
      </w:r>
    </w:p>
    <w:p w14:paraId="6FC8EFD9">
      <w:pPr>
        <w:pStyle w:val="14"/>
        <w:keepNext w:val="0"/>
        <w:keepLines w:val="0"/>
        <w:pageBreakBefore w:val="0"/>
        <w:widowControl/>
        <w:numPr>
          <w:ilvl w:val="0"/>
          <w:numId w:val="0"/>
        </w:numPr>
        <w:kinsoku/>
        <w:wordWrap/>
        <w:overflowPunct/>
        <w:topLinePunct w:val="0"/>
        <w:autoSpaceDE/>
        <w:autoSpaceDN/>
        <w:bidi w:val="0"/>
        <w:snapToGrid w:val="0"/>
        <w:spacing w:before="0" w:after="0" w:line="600" w:lineRule="atLeast"/>
        <w:ind w:right="0" w:firstLine="640" w:firstLineChars="200"/>
        <w:textAlignment w:val="auto"/>
        <w:outlineLvl w:val="9"/>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本项目位于</w:t>
      </w:r>
      <w:r>
        <w:rPr>
          <w:rFonts w:hint="default" w:ascii="Times New Roman" w:hAnsi="Times New Roman" w:eastAsia="仿宋_GB2312" w:cs="Times New Roman"/>
          <w:color w:val="auto"/>
          <w:sz w:val="32"/>
          <w:szCs w:val="32"/>
          <w:lang w:val="en-US" w:eastAsia="zh-CN"/>
        </w:rPr>
        <w:t>锡林郭勒盟西乌珠穆沁旗</w:t>
      </w:r>
      <w:r>
        <w:rPr>
          <w:rFonts w:hint="eastAsia" w:ascii="Times New Roman" w:hAnsi="Times New Roman" w:eastAsia="仿宋_GB2312" w:cs="Times New Roman"/>
          <w:color w:val="auto"/>
          <w:sz w:val="32"/>
          <w:szCs w:val="32"/>
          <w:lang w:val="en-US" w:eastAsia="zh-CN"/>
        </w:rPr>
        <w:t>内蒙古白音华海州露天煤矿有限公司白音华四号矿矿区范围内</w:t>
      </w:r>
      <w:r>
        <w:rPr>
          <w:rFonts w:hint="default" w:ascii="Times New Roman" w:hAnsi="Times New Roman" w:eastAsia="仿宋_GB2312" w:cs="Times New Roman"/>
          <w:color w:val="auto"/>
          <w:sz w:val="32"/>
          <w:szCs w:val="32"/>
          <w:lang w:val="en-US" w:eastAsia="zh-CN"/>
        </w:rPr>
        <w:t>。本次拟对白音华四号矿配套选煤厂进行技术改造，</w:t>
      </w:r>
      <w:r>
        <w:rPr>
          <w:rFonts w:hint="eastAsia" w:ascii="Times New Roman" w:hAnsi="Times New Roman" w:eastAsia="仿宋_GB2312" w:cs="Times New Roman"/>
          <w:color w:val="auto"/>
          <w:sz w:val="32"/>
          <w:szCs w:val="32"/>
          <w:lang w:val="en-US" w:eastAsia="zh-CN"/>
        </w:rPr>
        <w:t>将现有的2台振动筛更换为2台高效智能滚轴筛，新增1台TDS智能选矸设备代替人工选矸，新上2套干选设备。配套新建一座干选车间，占地面积2700m²，主要用于安装2套干选设备及配套辅助设施。车间内主体设备为干选机，配套辅助设施包括物料输送系统（皮带机）、除尘系统（配置布袋除尘器及风机）、电气控制系统等</w:t>
      </w:r>
      <w:r>
        <w:rPr>
          <w:rFonts w:hint="eastAsia" w:eastAsia="仿宋_GB2312" w:cs="Times New Roman"/>
          <w:color w:val="auto"/>
          <w:sz w:val="32"/>
          <w:szCs w:val="32"/>
          <w:lang w:val="en-US" w:eastAsia="zh-CN"/>
        </w:rPr>
        <w:t>。</w:t>
      </w:r>
      <w:r>
        <w:rPr>
          <w:rFonts w:hint="eastAsia" w:ascii="Times New Roman" w:hAnsi="Times New Roman" w:eastAsia="仿宋_GB2312" w:cs="Times New Roman"/>
          <w:color w:val="auto"/>
          <w:sz w:val="32"/>
          <w:szCs w:val="32"/>
          <w:lang w:val="en-US" w:eastAsia="zh-CN"/>
        </w:rPr>
        <w:t>本次技术改造不新增煤炭入选量，选煤厂入选规模为800万吨/年，原煤来源于白音华四号矿井工矿，与现有工程一致。</w:t>
      </w:r>
      <w:r>
        <w:rPr>
          <w:rFonts w:hint="default" w:ascii="Times New Roman" w:hAnsi="Times New Roman" w:eastAsia="仿宋_GB2312" w:cs="Times New Roman"/>
          <w:color w:val="auto"/>
          <w:sz w:val="32"/>
          <w:szCs w:val="32"/>
          <w:lang w:val="en-US" w:eastAsia="zh-CN"/>
        </w:rPr>
        <w:t>项目总投资5118万元，环保投资300万元，占总投资比例的5.86%</w:t>
      </w:r>
      <w:r>
        <w:rPr>
          <w:rFonts w:hint="eastAsia" w:ascii="Times New Roman" w:hAnsi="Times New Roman" w:eastAsia="仿宋_GB2312" w:cs="Times New Roman"/>
          <w:color w:val="auto"/>
          <w:sz w:val="32"/>
          <w:szCs w:val="32"/>
          <w:lang w:val="en-US" w:eastAsia="zh-CN"/>
        </w:rPr>
        <w:t>。</w:t>
      </w:r>
    </w:p>
    <w:p w14:paraId="0218DD85">
      <w:pPr>
        <w:keepNext w:val="0"/>
        <w:keepLines w:val="0"/>
        <w:pageBreakBefore w:val="0"/>
        <w:widowControl w:val="0"/>
        <w:kinsoku/>
        <w:wordWrap/>
        <w:overflowPunct/>
        <w:topLinePunct w:val="0"/>
        <w:autoSpaceDE/>
        <w:autoSpaceDN/>
        <w:bidi w:val="0"/>
        <w:spacing w:line="600" w:lineRule="atLeast"/>
        <w:ind w:firstLine="640" w:firstLineChars="200"/>
        <w:textAlignment w:val="auto"/>
        <w:rPr>
          <w:rFonts w:hint="eastAsia" w:ascii="Times New Roman" w:hAnsi="Times New Roman" w:eastAsia="仿宋_GB2312" w:cs="Times New Roman"/>
          <w:color w:val="auto"/>
          <w:kern w:val="0"/>
          <w:sz w:val="32"/>
          <w:szCs w:val="32"/>
          <w:lang w:val="en-US" w:eastAsia="zh-CN" w:bidi="ar-SA"/>
        </w:rPr>
      </w:pPr>
      <w:r>
        <w:rPr>
          <w:rFonts w:hint="eastAsia" w:ascii="Times New Roman" w:hAnsi="Times New Roman" w:eastAsia="仿宋_GB2312" w:cs="Times New Roman"/>
          <w:color w:val="auto"/>
          <w:kern w:val="0"/>
          <w:sz w:val="32"/>
          <w:szCs w:val="32"/>
          <w:lang w:val="en-US" w:eastAsia="zh-CN" w:bidi="ar-SA"/>
        </w:rPr>
        <w:t>《报告表》认为，</w:t>
      </w:r>
      <w:r>
        <w:rPr>
          <w:rFonts w:hint="default" w:ascii="Times New Roman" w:hAnsi="Times New Roman" w:eastAsia="仿宋_GB2312" w:cs="Times New Roman"/>
          <w:color w:val="auto"/>
          <w:kern w:val="0"/>
          <w:sz w:val="32"/>
          <w:szCs w:val="32"/>
          <w:lang w:val="en-US" w:eastAsia="zh-CN" w:bidi="ar-SA"/>
        </w:rPr>
        <w:t>该项目为选煤厂技改项目，根据中华人民共和国国家发展和改革委员会2024年第7号令《</w:t>
      </w:r>
      <w:r>
        <w:rPr>
          <w:rFonts w:hint="default" w:ascii="Times New Roman" w:hAnsi="Times New Roman" w:eastAsia="仿宋_GB2312" w:cs="Times New Roman"/>
          <w:color w:val="auto"/>
          <w:kern w:val="0"/>
          <w:sz w:val="32"/>
          <w:szCs w:val="32"/>
          <w:lang w:val="en-US" w:eastAsia="zh-CN" w:bidi="ar-SA"/>
        </w:rPr>
        <w:fldChar w:fldCharType="begin"/>
      </w:r>
      <w:r>
        <w:rPr>
          <w:rFonts w:hint="default" w:ascii="Times New Roman" w:hAnsi="Times New Roman" w:eastAsia="仿宋_GB2312" w:cs="Times New Roman"/>
          <w:color w:val="auto"/>
          <w:kern w:val="0"/>
          <w:sz w:val="32"/>
          <w:szCs w:val="32"/>
          <w:lang w:val="en-US" w:eastAsia="zh-CN" w:bidi="ar-SA"/>
        </w:rPr>
        <w:instrText xml:space="preserve">HYPERLINK "http://www.gov.cn/gzdt/att/att/site1/20110426/001e3741a2cc0f20bacd01.pdf" \t "_blank" \o "http://www.gov.cn/gzdt/att/att/site1/20110426/001e3741a2cc0f20bacd01.pdf"</w:instrText>
      </w:r>
      <w:r>
        <w:rPr>
          <w:rFonts w:hint="default" w:ascii="Times New Roman" w:hAnsi="Times New Roman" w:eastAsia="仿宋_GB2312" w:cs="Times New Roman"/>
          <w:color w:val="auto"/>
          <w:kern w:val="0"/>
          <w:sz w:val="32"/>
          <w:szCs w:val="32"/>
          <w:lang w:val="en-US" w:eastAsia="zh-CN" w:bidi="ar-SA"/>
        </w:rPr>
        <w:fldChar w:fldCharType="separate"/>
      </w:r>
      <w:r>
        <w:rPr>
          <w:rFonts w:hint="default" w:ascii="Times New Roman" w:hAnsi="Times New Roman" w:eastAsia="仿宋_GB2312" w:cs="Times New Roman"/>
          <w:color w:val="auto"/>
          <w:kern w:val="0"/>
          <w:sz w:val="32"/>
          <w:szCs w:val="32"/>
          <w:lang w:val="en-US" w:eastAsia="zh-CN" w:bidi="ar-SA"/>
        </w:rPr>
        <w:t>产业结构调整指导目录（2024年本）</w:t>
      </w:r>
      <w:r>
        <w:rPr>
          <w:rFonts w:hint="default" w:ascii="Times New Roman" w:hAnsi="Times New Roman" w:eastAsia="仿宋_GB2312" w:cs="Times New Roman"/>
          <w:color w:val="auto"/>
          <w:kern w:val="0"/>
          <w:sz w:val="32"/>
          <w:szCs w:val="32"/>
          <w:lang w:val="en-US" w:eastAsia="zh-CN" w:bidi="ar-SA"/>
        </w:rPr>
        <w:fldChar w:fldCharType="end"/>
      </w:r>
      <w:r>
        <w:rPr>
          <w:rFonts w:hint="default" w:ascii="Times New Roman" w:hAnsi="Times New Roman" w:eastAsia="仿宋_GB2312" w:cs="Times New Roman"/>
          <w:color w:val="auto"/>
          <w:kern w:val="0"/>
          <w:sz w:val="32"/>
          <w:szCs w:val="32"/>
          <w:lang w:val="en-US" w:eastAsia="zh-CN" w:bidi="ar-SA"/>
        </w:rPr>
        <w:t>》的规定中鼓励类第三项“煤炭”中第4款“煤炭清洁高效洗选和洁净型煤技术开发与应用”，属于鼓励类项目，符合国家产业政策。经调查，</w:t>
      </w:r>
      <w:r>
        <w:rPr>
          <w:rFonts w:hint="default" w:ascii="Times New Roman" w:hAnsi="Times New Roman" w:eastAsia="仿宋_GB2312" w:cs="Times New Roman"/>
          <w:color w:val="auto"/>
          <w:kern w:val="0"/>
          <w:sz w:val="32"/>
          <w:szCs w:val="32"/>
          <w:lang w:val="en-US" w:eastAsia="zh-CN" w:bidi="ar-SA"/>
        </w:rPr>
        <w:t>本次技改不新增用地，</w:t>
      </w:r>
      <w:r>
        <w:rPr>
          <w:rFonts w:hint="default" w:ascii="Times New Roman" w:hAnsi="Times New Roman" w:eastAsia="仿宋_GB2312" w:cs="Times New Roman"/>
          <w:color w:val="auto"/>
          <w:kern w:val="0"/>
          <w:sz w:val="32"/>
          <w:szCs w:val="32"/>
          <w:lang w:val="en-US" w:eastAsia="zh-CN" w:bidi="ar-SA"/>
        </w:rPr>
        <w:t>评价范围内无饮用水水源地、自然保护区、风景名胜区等特殊环境敏感区，不涉及重要生态功能区、生态敏感脆弱区、禁止开发区域以及其他各类保护地，根据生态红线的主要划定依据，该项目不涉及生态保护红线范围。根据《锡林郭勒盟生态环境保护委员会办公室关于印发锡林郭勒盟“三线一单”生态环境分区管控意见修改单和锡林郭勒盟生态环境准入清单的通知》（锡环委办发〔2024〕1号）中西乌珠穆沁旗生态环境准入清单，项目符合环境准入清单要求。在原选煤厂内进行改造。该项目产生的废气主要为选煤过程中产生的颗粒物，由各自除尘器处理后经排气筒排放；固废主要为除尘器收集的粉尘和煤矸石，除尘器收集的粉尘掺入精煤外售，煤矸石全部用于井田沉陷区和露天采坑回填，不外排。</w:t>
      </w:r>
      <w:r>
        <w:rPr>
          <w:rFonts w:hint="eastAsia" w:ascii="Times New Roman" w:hAnsi="Times New Roman" w:eastAsia="仿宋_GB2312" w:cs="Times New Roman"/>
          <w:color w:val="auto"/>
          <w:kern w:val="0"/>
          <w:sz w:val="32"/>
          <w:szCs w:val="32"/>
          <w:lang w:val="en-US" w:eastAsia="zh-CN" w:bidi="ar-SA"/>
        </w:rPr>
        <w:t>综上，该项目符合“三线一单”及准入要求。</w:t>
      </w:r>
    </w:p>
    <w:p w14:paraId="629C5919">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atLeast"/>
        <w:ind w:firstLine="640" w:firstLineChars="200"/>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二、项目在设计、建设和运营过程中应做好以下工作：</w:t>
      </w:r>
    </w:p>
    <w:p w14:paraId="38CD170A">
      <w:pPr>
        <w:keepNext w:val="0"/>
        <w:keepLines w:val="0"/>
        <w:pageBreakBefore w:val="0"/>
        <w:widowControl/>
        <w:kinsoku/>
        <w:wordWrap/>
        <w:overflowPunct/>
        <w:topLinePunct w:val="0"/>
        <w:autoSpaceDE/>
        <w:autoSpaceDN/>
        <w:bidi w:val="0"/>
        <w:adjustRightInd/>
        <w:snapToGrid/>
        <w:spacing w:line="600" w:lineRule="atLeast"/>
        <w:ind w:firstLine="640" w:firstLineChars="200"/>
        <w:jc w:val="left"/>
        <w:textAlignment w:val="auto"/>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1、大气污染防治方面。</w:t>
      </w:r>
      <w:r>
        <w:rPr>
          <w:rFonts w:hint="eastAsia" w:ascii="仿宋_GB2312" w:hAnsi="仿宋_GB2312" w:eastAsia="仿宋_GB2312" w:cs="仿宋_GB2312"/>
          <w:color w:val="auto"/>
          <w:kern w:val="0"/>
          <w:sz w:val="32"/>
          <w:szCs w:val="32"/>
          <w:lang w:val="en-US" w:eastAsia="zh-CN" w:bidi="ar"/>
        </w:rPr>
        <w:t>项目施工期主要大气污染物为施工、运输及装卸过程中产生的扬尘等</w:t>
      </w:r>
      <w:r>
        <w:rPr>
          <w:rFonts w:hint="eastAsia" w:ascii="仿宋_GB2312" w:hAnsi="仿宋_GB2312" w:eastAsia="仿宋_GB2312" w:cs="仿宋_GB2312"/>
          <w:color w:val="auto"/>
          <w:sz w:val="32"/>
          <w:szCs w:val="32"/>
          <w:lang w:val="en-US" w:eastAsia="zh-CN"/>
        </w:rPr>
        <w:t>。建设单位和施工单位对</w:t>
      </w:r>
      <w:r>
        <w:rPr>
          <w:rFonts w:hint="default" w:ascii="Times New Roman" w:hAnsi="Times New Roman" w:eastAsia="仿宋_GB2312" w:cs="Times New Roman"/>
          <w:sz w:val="32"/>
          <w:szCs w:val="32"/>
          <w:lang w:val="en-US" w:eastAsia="zh-CN"/>
        </w:rPr>
        <w:t>基础开挖等过程，应洒水使作业面保持一定的湿度；对施工场地内松散、干涸的表土，经常洒水防止扬尘；加强回填土方堆放场的管理，采取土方表面压实、定期喷水、覆盖等措施；不需要的泥土、建筑材料弃渣应及时运走；加强施工区域的管理，建筑材料的堆场应定点定位，不宜设在居住区的上风向，根据风速，采取相应的防尘措施，对散料堆场采用水喷淋防尘，或用蓬布遮盖散料堆。</w:t>
      </w:r>
    </w:p>
    <w:p w14:paraId="223AC098">
      <w:pPr>
        <w:keepNext w:val="0"/>
        <w:keepLines w:val="0"/>
        <w:pageBreakBefore w:val="0"/>
        <w:widowControl/>
        <w:kinsoku/>
        <w:wordWrap/>
        <w:overflowPunct/>
        <w:topLinePunct w:val="0"/>
        <w:autoSpaceDE/>
        <w:autoSpaceDN/>
        <w:bidi w:val="0"/>
        <w:adjustRightInd/>
        <w:snapToGrid/>
        <w:spacing w:line="600" w:lineRule="atLeast"/>
        <w:jc w:val="left"/>
        <w:textAlignment w:val="auto"/>
        <w:rPr>
          <w:rFonts w:hint="eastAsia" w:ascii="Times New Roman" w:hAnsi="Times New Roman" w:eastAsia="仿宋_GB2312" w:cs="Times New Roman"/>
          <w:sz w:val="32"/>
          <w:szCs w:val="32"/>
          <w:lang w:val="en-US" w:eastAsia="zh-CN"/>
        </w:rPr>
      </w:pPr>
      <w:r>
        <w:rPr>
          <w:rFonts w:hint="eastAsia" w:eastAsia="仿宋_GB2312" w:cs="Times New Roman"/>
          <w:sz w:val="32"/>
          <w:szCs w:val="32"/>
          <w:lang w:val="en-US" w:eastAsia="zh-CN"/>
        </w:rPr>
        <w:t>运营期</w:t>
      </w:r>
      <w:r>
        <w:rPr>
          <w:rFonts w:hint="default" w:ascii="Times New Roman" w:hAnsi="Times New Roman" w:eastAsia="仿宋_GB2312" w:cs="Times New Roman"/>
          <w:sz w:val="32"/>
          <w:szCs w:val="32"/>
          <w:lang w:val="en-US" w:eastAsia="zh-CN"/>
        </w:rPr>
        <w:t>产生的废气主要集中于</w:t>
      </w:r>
      <w:r>
        <w:rPr>
          <w:rFonts w:hint="eastAsia" w:eastAsia="仿宋_GB2312" w:cs="Times New Roman"/>
          <w:sz w:val="32"/>
          <w:szCs w:val="32"/>
          <w:lang w:val="en-US" w:eastAsia="zh-CN"/>
        </w:rPr>
        <w:t>干选机、转载点产生的粉尘。建设单位应建设封闭式</w:t>
      </w:r>
      <w:r>
        <w:rPr>
          <w:rFonts w:hint="default" w:ascii="Times New Roman" w:hAnsi="Times New Roman" w:eastAsia="仿宋_GB2312" w:cs="Times New Roman"/>
          <w:sz w:val="32"/>
          <w:szCs w:val="32"/>
          <w:lang w:val="en-US" w:eastAsia="zh-CN"/>
        </w:rPr>
        <w:t>干选车间，</w:t>
      </w:r>
      <w:r>
        <w:rPr>
          <w:rFonts w:hint="eastAsia" w:ascii="Times New Roman" w:hAnsi="Times New Roman" w:eastAsia="仿宋_GB2312" w:cs="Times New Roman"/>
          <w:sz w:val="32"/>
          <w:szCs w:val="32"/>
          <w:lang w:val="en-US" w:eastAsia="zh-CN"/>
        </w:rPr>
        <w:t>干选</w:t>
      </w:r>
      <w:r>
        <w:rPr>
          <w:rFonts w:hint="eastAsia" w:eastAsia="仿宋_GB2312" w:cs="Times New Roman"/>
          <w:sz w:val="32"/>
          <w:szCs w:val="32"/>
          <w:lang w:val="en-US" w:eastAsia="zh-CN"/>
        </w:rPr>
        <w:t>机</w:t>
      </w:r>
      <w:r>
        <w:rPr>
          <w:rFonts w:hint="eastAsia" w:ascii="Times New Roman" w:hAnsi="Times New Roman" w:eastAsia="仿宋_GB2312" w:cs="Times New Roman"/>
          <w:sz w:val="32"/>
          <w:szCs w:val="32"/>
          <w:lang w:val="en-US" w:eastAsia="zh-CN"/>
        </w:rPr>
        <w:t>产生的粉尘</w:t>
      </w:r>
      <w:r>
        <w:rPr>
          <w:rFonts w:hint="eastAsia" w:eastAsia="仿宋_GB2312" w:cs="Times New Roman"/>
          <w:sz w:val="32"/>
          <w:szCs w:val="32"/>
          <w:lang w:val="en-US" w:eastAsia="zh-CN"/>
        </w:rPr>
        <w:t>应设置集气罩，并</w:t>
      </w:r>
      <w:r>
        <w:rPr>
          <w:rFonts w:hint="default" w:ascii="Times New Roman" w:hAnsi="Times New Roman" w:eastAsia="仿宋_GB2312" w:cs="Times New Roman"/>
          <w:sz w:val="32"/>
          <w:szCs w:val="32"/>
          <w:lang w:val="en-US" w:eastAsia="zh-CN"/>
        </w:rPr>
        <w:t>采用布袋除尘器，经处理</w:t>
      </w:r>
      <w:r>
        <w:rPr>
          <w:rFonts w:hint="eastAsia" w:eastAsia="仿宋_GB2312" w:cs="Times New Roman"/>
          <w:sz w:val="32"/>
          <w:szCs w:val="32"/>
          <w:lang w:val="en-US" w:eastAsia="zh-CN"/>
        </w:rPr>
        <w:t>达标</w:t>
      </w:r>
      <w:r>
        <w:rPr>
          <w:rFonts w:hint="default" w:ascii="Times New Roman" w:hAnsi="Times New Roman" w:eastAsia="仿宋_GB2312" w:cs="Times New Roman"/>
          <w:sz w:val="32"/>
          <w:szCs w:val="32"/>
          <w:lang w:val="en-US" w:eastAsia="zh-CN"/>
        </w:rPr>
        <w:t>后，</w:t>
      </w:r>
      <w:r>
        <w:rPr>
          <w:rFonts w:hint="eastAsia" w:ascii="Times New Roman" w:hAnsi="Times New Roman" w:eastAsia="仿宋_GB2312" w:cs="Times New Roman"/>
          <w:sz w:val="32"/>
          <w:szCs w:val="32"/>
          <w:lang w:val="en-US" w:eastAsia="zh-CN"/>
        </w:rPr>
        <w:t>由15m高排气筒排放；转载点处</w:t>
      </w:r>
      <w:r>
        <w:rPr>
          <w:rFonts w:hint="eastAsia" w:eastAsia="仿宋_GB2312" w:cs="Times New Roman"/>
          <w:sz w:val="32"/>
          <w:szCs w:val="32"/>
          <w:lang w:val="en-US" w:eastAsia="zh-CN"/>
        </w:rPr>
        <w:t>应</w:t>
      </w:r>
      <w:r>
        <w:rPr>
          <w:rFonts w:hint="eastAsia" w:ascii="Times New Roman" w:hAnsi="Times New Roman" w:eastAsia="仿宋_GB2312" w:cs="Times New Roman"/>
          <w:sz w:val="32"/>
          <w:szCs w:val="32"/>
          <w:lang w:val="en-US" w:eastAsia="zh-CN"/>
        </w:rPr>
        <w:t>采用布袋除尘器</w:t>
      </w:r>
      <w:r>
        <w:rPr>
          <w:rFonts w:hint="default" w:ascii="Times New Roman" w:hAnsi="Times New Roman" w:eastAsia="仿宋_GB2312" w:cs="Times New Roman"/>
          <w:sz w:val="32"/>
          <w:szCs w:val="32"/>
          <w:lang w:val="en-US" w:eastAsia="zh-CN"/>
        </w:rPr>
        <w:t>，经处理</w:t>
      </w:r>
      <w:r>
        <w:rPr>
          <w:rFonts w:hint="eastAsia" w:eastAsia="仿宋_GB2312" w:cs="Times New Roman"/>
          <w:sz w:val="32"/>
          <w:szCs w:val="32"/>
          <w:lang w:val="en-US" w:eastAsia="zh-CN"/>
        </w:rPr>
        <w:t>达标</w:t>
      </w:r>
      <w:r>
        <w:rPr>
          <w:rFonts w:hint="default" w:ascii="Times New Roman" w:hAnsi="Times New Roman" w:eastAsia="仿宋_GB2312" w:cs="Times New Roman"/>
          <w:sz w:val="32"/>
          <w:szCs w:val="32"/>
          <w:lang w:val="en-US" w:eastAsia="zh-CN"/>
        </w:rPr>
        <w:t>后</w:t>
      </w:r>
      <w:r>
        <w:rPr>
          <w:rFonts w:hint="eastAsia" w:ascii="Times New Roman" w:hAnsi="Times New Roman" w:eastAsia="仿宋_GB2312" w:cs="Times New Roman"/>
          <w:sz w:val="32"/>
          <w:szCs w:val="32"/>
          <w:lang w:val="en-US" w:eastAsia="zh-CN"/>
        </w:rPr>
        <w:t>由除尘器排风口排放。</w:t>
      </w:r>
    </w:p>
    <w:p w14:paraId="06BE9500">
      <w:pPr>
        <w:keepNext w:val="0"/>
        <w:keepLines w:val="0"/>
        <w:pageBreakBefore w:val="0"/>
        <w:widowControl w:val="0"/>
        <w:kinsoku/>
        <w:wordWrap/>
        <w:overflowPunct/>
        <w:topLinePunct w:val="0"/>
        <w:autoSpaceDE/>
        <w:autoSpaceDN/>
        <w:bidi w:val="0"/>
        <w:adjustRightInd w:val="0"/>
        <w:snapToGrid w:val="0"/>
        <w:spacing w:line="600" w:lineRule="atLeast"/>
        <w:ind w:firstLine="640" w:firstLineChars="200"/>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2、水污染防治措施。施工期废水主要为</w:t>
      </w:r>
      <w:r>
        <w:rPr>
          <w:rFonts w:hint="default" w:ascii="仿宋_GB2312" w:hAnsi="仿宋_GB2312" w:eastAsia="仿宋_GB2312" w:cs="仿宋_GB2312"/>
          <w:color w:val="auto"/>
          <w:kern w:val="0"/>
          <w:sz w:val="32"/>
          <w:szCs w:val="32"/>
          <w:highlight w:val="none"/>
          <w:lang w:val="en-US" w:eastAsia="zh-CN" w:bidi="ar-SA"/>
        </w:rPr>
        <w:t>运输各种物料车辆冲洗过程产生的少量施工废水及施工人员生活污水</w:t>
      </w:r>
      <w:r>
        <w:rPr>
          <w:rFonts w:hint="eastAsia" w:ascii="仿宋_GB2312" w:hAnsi="仿宋_GB2312" w:eastAsia="仿宋_GB2312" w:cs="仿宋_GB2312"/>
          <w:color w:val="auto"/>
          <w:kern w:val="0"/>
          <w:sz w:val="32"/>
          <w:szCs w:val="32"/>
          <w:highlight w:val="none"/>
          <w:lang w:val="en-US" w:eastAsia="zh-CN" w:bidi="ar-SA"/>
        </w:rPr>
        <w:t>等。施工单位</w:t>
      </w:r>
      <w:r>
        <w:rPr>
          <w:rFonts w:hint="default" w:ascii="Times New Roman" w:hAnsi="Times New Roman" w:eastAsia="仿宋_GB2312" w:cs="Times New Roman"/>
          <w:color w:val="auto"/>
          <w:kern w:val="2"/>
          <w:sz w:val="32"/>
          <w:szCs w:val="32"/>
          <w:lang w:val="en-US" w:eastAsia="zh-CN" w:bidi="ar-SA"/>
        </w:rPr>
        <w:t>严格执行《建设工程施工场地文明施工及环境管理暂行规定》，对地面排水应进行有组织设计、收集回用；严禁将施工废水直接外排，施工废水经沉淀后全部用于厂区洒水抑尘。施工人员生活污水依托煤矿工业场地原有生活污水处理站处理。</w:t>
      </w:r>
      <w:r>
        <w:rPr>
          <w:rFonts w:hint="eastAsia" w:eastAsia="仿宋_GB2312" w:cs="Times New Roman"/>
          <w:color w:val="auto"/>
          <w:kern w:val="2"/>
          <w:sz w:val="32"/>
          <w:szCs w:val="32"/>
          <w:lang w:val="en-US" w:eastAsia="zh-CN" w:bidi="ar-SA"/>
        </w:rPr>
        <w:t>营运期</w:t>
      </w:r>
      <w:r>
        <w:rPr>
          <w:rFonts w:hint="default" w:ascii="Times New Roman" w:hAnsi="Times New Roman" w:eastAsia="仿宋_GB2312" w:cs="Times New Roman"/>
          <w:color w:val="auto"/>
          <w:kern w:val="2"/>
          <w:sz w:val="32"/>
          <w:szCs w:val="32"/>
          <w:highlight w:val="none"/>
          <w:lang w:val="en-US" w:eastAsia="zh-CN" w:bidi="ar-SA"/>
        </w:rPr>
        <w:t>废水主要为员工生活污水，本次技改不新增劳动定员，不新增生活污水量。</w:t>
      </w:r>
    </w:p>
    <w:p w14:paraId="127BE4A7">
      <w:pPr>
        <w:keepNext w:val="0"/>
        <w:keepLines w:val="0"/>
        <w:pageBreakBefore w:val="0"/>
        <w:widowControl w:val="0"/>
        <w:kinsoku/>
        <w:wordWrap/>
        <w:overflowPunct/>
        <w:topLinePunct w:val="0"/>
        <w:autoSpaceDE/>
        <w:autoSpaceDN/>
        <w:bidi w:val="0"/>
        <w:spacing w:line="600" w:lineRule="atLeast"/>
        <w:ind w:firstLine="640" w:firstLineChars="200"/>
        <w:textAlignment w:val="auto"/>
        <w:rPr>
          <w:rFonts w:hint="default" w:ascii="Times New Roman" w:hAnsi="Times New Roman" w:eastAsia="仿宋_GB2312" w:cs="Times New Roman"/>
          <w:sz w:val="32"/>
          <w:szCs w:val="32"/>
          <w:lang w:val="en-US" w:eastAsia="zh-CN"/>
        </w:rPr>
      </w:pPr>
      <w:r>
        <w:rPr>
          <w:rFonts w:hint="eastAsia" w:ascii="仿宋_GB2312" w:hAnsi="仿宋_GB2312" w:eastAsia="仿宋_GB2312" w:cs="仿宋_GB2312"/>
          <w:color w:val="auto"/>
          <w:kern w:val="0"/>
          <w:sz w:val="32"/>
          <w:szCs w:val="32"/>
          <w:highlight w:val="none"/>
          <w:lang w:val="en-US" w:eastAsia="zh-CN" w:bidi="ar-SA"/>
        </w:rPr>
        <w:t>3、固废污染防治措施。</w:t>
      </w:r>
      <w:r>
        <w:rPr>
          <w:rFonts w:hint="default" w:ascii="Times New Roman" w:hAnsi="Times New Roman" w:eastAsia="仿宋_GB2312" w:cs="Times New Roman"/>
          <w:color w:val="auto"/>
          <w:kern w:val="2"/>
          <w:sz w:val="32"/>
          <w:szCs w:val="32"/>
          <w:highlight w:val="none"/>
          <w:lang w:val="en-US" w:eastAsia="zh-CN" w:bidi="ar-SA"/>
        </w:rPr>
        <w:t>施工期固体废物主要为施工人员生活垃圾和改造工程产生的建筑垃圾</w:t>
      </w:r>
      <w:r>
        <w:rPr>
          <w:rFonts w:hint="eastAsia" w:eastAsia="仿宋_GB2312" w:cs="Times New Roman"/>
          <w:color w:val="auto"/>
          <w:kern w:val="2"/>
          <w:sz w:val="32"/>
          <w:szCs w:val="32"/>
          <w:highlight w:val="none"/>
          <w:lang w:val="en-US" w:eastAsia="zh-CN" w:bidi="ar-SA"/>
        </w:rPr>
        <w:t>等</w:t>
      </w:r>
      <w:r>
        <w:rPr>
          <w:rFonts w:hint="default"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sz w:val="32"/>
          <w:szCs w:val="32"/>
          <w:lang w:val="en-US" w:eastAsia="zh-CN"/>
        </w:rPr>
        <w:t>建筑垃圾</w:t>
      </w:r>
      <w:r>
        <w:rPr>
          <w:rFonts w:hint="eastAsia" w:eastAsia="仿宋_GB2312" w:cs="Times New Roman"/>
          <w:sz w:val="32"/>
          <w:szCs w:val="32"/>
          <w:lang w:val="en-US" w:eastAsia="zh-CN"/>
        </w:rPr>
        <w:t>应及时清运至住</w:t>
      </w:r>
      <w:r>
        <w:rPr>
          <w:rFonts w:hint="default" w:ascii="Times New Roman" w:hAnsi="Times New Roman" w:eastAsia="仿宋_GB2312" w:cs="Times New Roman"/>
          <w:sz w:val="32"/>
          <w:szCs w:val="32"/>
          <w:lang w:val="en-US" w:eastAsia="zh-CN"/>
        </w:rPr>
        <w:t>建部门规定的</w:t>
      </w:r>
      <w:r>
        <w:rPr>
          <w:rFonts w:hint="eastAsia" w:eastAsia="仿宋_GB2312" w:cs="Times New Roman"/>
          <w:sz w:val="32"/>
          <w:szCs w:val="32"/>
          <w:lang w:val="en-US" w:eastAsia="zh-CN"/>
        </w:rPr>
        <w:t>消纳场处置</w:t>
      </w:r>
      <w:r>
        <w:rPr>
          <w:rFonts w:hint="default" w:ascii="Times New Roman" w:hAnsi="Times New Roman" w:eastAsia="仿宋_GB2312" w:cs="Times New Roman"/>
          <w:sz w:val="32"/>
          <w:szCs w:val="32"/>
          <w:lang w:val="en-US" w:eastAsia="zh-CN"/>
        </w:rPr>
        <w:t>；生活垃圾集中收集后交由当地环卫部门统一收集处置。</w:t>
      </w:r>
      <w:r>
        <w:rPr>
          <w:rFonts w:hint="default" w:ascii="Times New Roman" w:hAnsi="Times New Roman" w:eastAsia="仿宋_GB2312" w:cs="Times New Roman"/>
          <w:sz w:val="32"/>
          <w:szCs w:val="32"/>
          <w:highlight w:val="none"/>
          <w:lang w:val="en-US" w:eastAsia="zh-CN"/>
        </w:rPr>
        <w:t>运营期项目产生的固体废弃物主要为生活垃圾、选煤过程产生的煤矸石、废气处理除尘收集的煤尘和</w:t>
      </w:r>
      <w:r>
        <w:rPr>
          <w:rFonts w:hint="default" w:ascii="Times New Roman" w:hAnsi="Times New Roman" w:eastAsia="仿宋_GB2312" w:cs="Times New Roman"/>
          <w:sz w:val="32"/>
          <w:szCs w:val="32"/>
          <w:lang w:val="en-US" w:eastAsia="zh-CN"/>
        </w:rPr>
        <w:t>设备维修产生的废矿物油</w:t>
      </w:r>
      <w:r>
        <w:rPr>
          <w:rFonts w:hint="eastAsia" w:eastAsia="仿宋_GB2312" w:cs="Times New Roman"/>
          <w:sz w:val="32"/>
          <w:szCs w:val="32"/>
          <w:lang w:val="en-US" w:eastAsia="zh-CN"/>
        </w:rPr>
        <w:t>等</w:t>
      </w:r>
      <w:r>
        <w:rPr>
          <w:rFonts w:hint="default" w:ascii="Times New Roman" w:hAnsi="Times New Roman" w:eastAsia="仿宋_GB2312" w:cs="Times New Roman"/>
          <w:sz w:val="32"/>
          <w:szCs w:val="32"/>
          <w:lang w:val="en-US" w:eastAsia="zh-CN"/>
        </w:rPr>
        <w:t>。生活垃圾统一收集于垃圾桶，由环卫部门</w:t>
      </w:r>
      <w:r>
        <w:rPr>
          <w:rFonts w:hint="eastAsia" w:eastAsia="仿宋_GB2312" w:cs="Times New Roman"/>
          <w:sz w:val="32"/>
          <w:szCs w:val="32"/>
          <w:lang w:val="en-US" w:eastAsia="zh-CN"/>
        </w:rPr>
        <w:t>定期</w:t>
      </w:r>
      <w:r>
        <w:rPr>
          <w:rFonts w:hint="default" w:ascii="Times New Roman" w:hAnsi="Times New Roman" w:eastAsia="仿宋_GB2312" w:cs="Times New Roman"/>
          <w:sz w:val="32"/>
          <w:szCs w:val="32"/>
          <w:lang w:val="en-US" w:eastAsia="zh-CN"/>
        </w:rPr>
        <w:t>处理。</w:t>
      </w:r>
      <w:r>
        <w:rPr>
          <w:rFonts w:hint="eastAsia" w:eastAsia="仿宋_GB2312" w:cs="Times New Roman"/>
          <w:sz w:val="32"/>
          <w:szCs w:val="32"/>
          <w:lang w:val="en-US" w:eastAsia="zh-CN"/>
        </w:rPr>
        <w:t>产生的</w:t>
      </w:r>
      <w:r>
        <w:rPr>
          <w:rFonts w:hint="default" w:ascii="Times New Roman" w:hAnsi="Times New Roman" w:eastAsia="仿宋_GB2312" w:cs="Times New Roman"/>
          <w:sz w:val="32"/>
          <w:szCs w:val="32"/>
          <w:lang w:val="en-US" w:eastAsia="zh-CN"/>
        </w:rPr>
        <w:t>选煤矸石</w:t>
      </w:r>
      <w:r>
        <w:rPr>
          <w:rFonts w:hint="eastAsia" w:eastAsia="仿宋_GB2312" w:cs="Times New Roman"/>
          <w:sz w:val="32"/>
          <w:szCs w:val="32"/>
          <w:lang w:val="en-US" w:eastAsia="zh-CN"/>
        </w:rPr>
        <w:t>应</w:t>
      </w:r>
      <w:r>
        <w:rPr>
          <w:rFonts w:hint="default" w:ascii="Times New Roman" w:hAnsi="Times New Roman" w:eastAsia="仿宋_GB2312" w:cs="Times New Roman"/>
          <w:sz w:val="32"/>
          <w:szCs w:val="32"/>
          <w:lang w:val="en-US" w:eastAsia="zh-CN"/>
        </w:rPr>
        <w:t>全部用于井田沉陷区和露天采坑回填。除尘器收集的煤尘掺入精煤外售。</w:t>
      </w:r>
      <w:r>
        <w:rPr>
          <w:rFonts w:hint="eastAsia" w:eastAsia="仿宋_GB2312" w:cs="Times New Roman"/>
          <w:sz w:val="32"/>
          <w:szCs w:val="32"/>
          <w:lang w:val="en-US" w:eastAsia="zh-CN"/>
        </w:rPr>
        <w:t>设备产生的</w:t>
      </w:r>
      <w:r>
        <w:rPr>
          <w:rFonts w:hint="default" w:ascii="Times New Roman" w:hAnsi="Times New Roman" w:eastAsia="仿宋_GB2312" w:cs="Times New Roman"/>
          <w:sz w:val="32"/>
          <w:szCs w:val="32"/>
          <w:lang w:val="en-US" w:eastAsia="zh-CN"/>
        </w:rPr>
        <w:t>废矿物油属于危险废物 ，产生后收集于储油桶中，</w:t>
      </w:r>
      <w:r>
        <w:rPr>
          <w:rFonts w:hint="default" w:ascii="Times New Roman" w:hAnsi="Times New Roman" w:eastAsia="仿宋_GB2312" w:cs="Times New Roman"/>
          <w:color w:val="auto"/>
          <w:kern w:val="2"/>
          <w:sz w:val="32"/>
          <w:szCs w:val="32"/>
          <w:lang w:val="en-US" w:eastAsia="zh-CN"/>
        </w:rPr>
        <w:t>依托煤矿已建成的危废暂存间</w:t>
      </w:r>
      <w:r>
        <w:rPr>
          <w:rFonts w:hint="default" w:ascii="Times New Roman" w:hAnsi="Times New Roman" w:eastAsia="仿宋_GB2312" w:cs="Times New Roman"/>
          <w:sz w:val="32"/>
          <w:szCs w:val="32"/>
          <w:lang w:val="en-US" w:eastAsia="zh-CN"/>
        </w:rPr>
        <w:t>，定期交由</w:t>
      </w:r>
      <w:r>
        <w:rPr>
          <w:rFonts w:hint="eastAsia" w:eastAsia="仿宋_GB2312" w:cs="Times New Roman"/>
          <w:sz w:val="32"/>
          <w:szCs w:val="32"/>
          <w:lang w:val="en-US" w:eastAsia="zh-CN"/>
        </w:rPr>
        <w:t>有资质单位处置</w:t>
      </w:r>
      <w:r>
        <w:rPr>
          <w:rFonts w:hint="default" w:ascii="Times New Roman" w:hAnsi="Times New Roman" w:eastAsia="仿宋_GB2312" w:cs="Times New Roman"/>
          <w:sz w:val="32"/>
          <w:szCs w:val="32"/>
          <w:lang w:val="en-US" w:eastAsia="zh-CN"/>
        </w:rPr>
        <w:t>。</w:t>
      </w:r>
    </w:p>
    <w:p w14:paraId="3AE31031">
      <w:pPr>
        <w:pStyle w:val="13"/>
        <w:keepNext w:val="0"/>
        <w:keepLines w:val="0"/>
        <w:pageBreakBefore w:val="0"/>
        <w:numPr>
          <w:ilvl w:val="0"/>
          <w:numId w:val="0"/>
        </w:numPr>
        <w:kinsoku/>
        <w:wordWrap/>
        <w:overflowPunct/>
        <w:topLinePunct w:val="0"/>
        <w:autoSpaceDE/>
        <w:autoSpaceDN/>
        <w:bidi w:val="0"/>
        <w:adjustRightInd w:val="0"/>
        <w:snapToGrid w:val="0"/>
        <w:spacing w:line="600" w:lineRule="atLeast"/>
        <w:ind w:firstLine="640" w:firstLineChars="200"/>
        <w:textAlignment w:val="auto"/>
        <w:rPr>
          <w:rFonts w:hint="default" w:ascii="Times New Roman" w:hAnsi="Times New Roman" w:eastAsia="仿宋_GB2312" w:cs="Times New Roman"/>
          <w:color w:val="auto"/>
          <w:kern w:val="2"/>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4、噪声污染防治措施。施工单位应</w:t>
      </w:r>
      <w:r>
        <w:rPr>
          <w:rFonts w:hint="default" w:ascii="Times New Roman" w:hAnsi="Times New Roman" w:eastAsia="仿宋_GB2312" w:cs="Times New Roman"/>
          <w:color w:val="auto"/>
          <w:kern w:val="2"/>
          <w:sz w:val="32"/>
          <w:szCs w:val="32"/>
          <w:lang w:val="en-US" w:eastAsia="zh-CN" w:bidi="ar-SA"/>
        </w:rPr>
        <w:t>通过选用低噪声设备，加强设备管理，定期保养，对建筑物外部采用围挡</w:t>
      </w:r>
      <w:r>
        <w:rPr>
          <w:rFonts w:hint="default" w:ascii="Times New Roman" w:hAnsi="Times New Roman" w:eastAsia="仿宋_GB2312" w:cs="Times New Roman"/>
          <w:color w:val="auto"/>
          <w:kern w:val="2"/>
          <w:sz w:val="32"/>
          <w:szCs w:val="32"/>
          <w:highlight w:val="none"/>
          <w:lang w:val="en-US" w:eastAsia="zh-CN" w:bidi="ar-SA"/>
        </w:rPr>
        <w:t>，加强工地的噪声管理等措施，</w:t>
      </w:r>
      <w:r>
        <w:rPr>
          <w:rFonts w:hint="eastAsia" w:eastAsia="仿宋_GB2312" w:cs="Times New Roman"/>
          <w:color w:val="auto"/>
          <w:kern w:val="2"/>
          <w:sz w:val="32"/>
          <w:szCs w:val="32"/>
          <w:highlight w:val="none"/>
          <w:lang w:val="en-US" w:eastAsia="zh-CN" w:bidi="ar-SA"/>
        </w:rPr>
        <w:t>最大限度减少对周边环境的影响</w:t>
      </w:r>
      <w:r>
        <w:rPr>
          <w:rFonts w:hint="default" w:ascii="Times New Roman" w:hAnsi="Times New Roman" w:eastAsia="仿宋_GB2312" w:cs="Times New Roman"/>
          <w:color w:val="auto"/>
          <w:kern w:val="2"/>
          <w:sz w:val="32"/>
          <w:szCs w:val="32"/>
          <w:highlight w:val="none"/>
          <w:lang w:val="en-US" w:eastAsia="zh-CN" w:bidi="ar-SA"/>
        </w:rPr>
        <w:t>。</w:t>
      </w:r>
      <w:r>
        <w:rPr>
          <w:rFonts w:hint="eastAsia" w:eastAsia="仿宋_GB2312" w:cs="Times New Roman"/>
          <w:color w:val="auto"/>
          <w:kern w:val="2"/>
          <w:sz w:val="32"/>
          <w:szCs w:val="32"/>
          <w:highlight w:val="none"/>
          <w:lang w:val="en-US" w:eastAsia="zh-CN" w:bidi="ar-SA"/>
        </w:rPr>
        <w:t>建设单位应在</w:t>
      </w:r>
      <w:r>
        <w:rPr>
          <w:rFonts w:hint="default" w:ascii="仿宋_GB2312" w:hAnsi="仿宋_GB2312" w:eastAsia="仿宋_GB2312" w:cs="仿宋_GB2312"/>
          <w:color w:val="auto"/>
          <w:kern w:val="0"/>
          <w:sz w:val="32"/>
          <w:szCs w:val="32"/>
          <w:highlight w:val="none"/>
          <w:lang w:val="en-US" w:eastAsia="zh-CN" w:bidi="ar-SA"/>
        </w:rPr>
        <w:t>设备选型中选择可靠先进的低噪声设施</w:t>
      </w:r>
      <w:r>
        <w:rPr>
          <w:rFonts w:hint="eastAsia" w:ascii="仿宋_GB2312" w:hAnsi="仿宋_GB2312" w:eastAsia="仿宋_GB2312" w:cs="仿宋_GB2312"/>
          <w:color w:val="auto"/>
          <w:kern w:val="0"/>
          <w:sz w:val="32"/>
          <w:szCs w:val="32"/>
          <w:highlight w:val="none"/>
          <w:lang w:val="en-US" w:eastAsia="zh-CN" w:bidi="ar-SA"/>
        </w:rPr>
        <w:t>；</w:t>
      </w:r>
      <w:r>
        <w:rPr>
          <w:rFonts w:hint="default" w:ascii="仿宋_GB2312" w:hAnsi="仿宋_GB2312" w:eastAsia="仿宋_GB2312" w:cs="仿宋_GB2312"/>
          <w:color w:val="auto"/>
          <w:kern w:val="0"/>
          <w:sz w:val="32"/>
          <w:szCs w:val="32"/>
          <w:highlight w:val="none"/>
          <w:lang w:val="en-US" w:eastAsia="zh-CN" w:bidi="ar-SA"/>
        </w:rPr>
        <w:t>对于产生较大噪声的设备，在进出口处安装消声器和设隔音操作间，以阻隔噪声的传播</w:t>
      </w:r>
      <w:r>
        <w:rPr>
          <w:rFonts w:hint="eastAsia" w:ascii="仿宋_GB2312" w:hAnsi="仿宋_GB2312" w:eastAsia="仿宋_GB2312" w:cs="仿宋_GB2312"/>
          <w:color w:val="auto"/>
          <w:kern w:val="0"/>
          <w:sz w:val="32"/>
          <w:szCs w:val="32"/>
          <w:highlight w:val="none"/>
          <w:lang w:val="en-US" w:eastAsia="zh-CN" w:bidi="ar-SA"/>
        </w:rPr>
        <w:t>；</w:t>
      </w:r>
      <w:r>
        <w:rPr>
          <w:rFonts w:hint="default" w:ascii="仿宋_GB2312" w:hAnsi="仿宋_GB2312" w:eastAsia="仿宋_GB2312" w:cs="仿宋_GB2312"/>
          <w:color w:val="auto"/>
          <w:kern w:val="0"/>
          <w:sz w:val="32"/>
          <w:szCs w:val="32"/>
          <w:highlight w:val="none"/>
          <w:lang w:val="en-US" w:eastAsia="zh-CN" w:bidi="ar-SA"/>
        </w:rPr>
        <w:t>振动转动设备安装时设置减振支座，包扎阻尼材料，并提高安装质量</w:t>
      </w:r>
      <w:r>
        <w:rPr>
          <w:rFonts w:hint="eastAsia" w:ascii="仿宋_GB2312" w:hAnsi="仿宋_GB2312" w:eastAsia="仿宋_GB2312" w:cs="仿宋_GB2312"/>
          <w:color w:val="auto"/>
          <w:kern w:val="0"/>
          <w:sz w:val="32"/>
          <w:szCs w:val="32"/>
          <w:highlight w:val="none"/>
          <w:lang w:val="en-US" w:eastAsia="zh-CN" w:bidi="ar-SA"/>
        </w:rPr>
        <w:t>；</w:t>
      </w:r>
      <w:r>
        <w:rPr>
          <w:rFonts w:hint="default" w:ascii="仿宋_GB2312" w:hAnsi="仿宋_GB2312" w:eastAsia="仿宋_GB2312" w:cs="仿宋_GB2312"/>
          <w:color w:val="auto"/>
          <w:kern w:val="0"/>
          <w:sz w:val="32"/>
          <w:szCs w:val="32"/>
          <w:highlight w:val="none"/>
          <w:lang w:val="en-US" w:eastAsia="zh-CN" w:bidi="ar-SA"/>
        </w:rPr>
        <w:t>加强操作人员自身保护，发放防噪用品，设隔离操作间，以减轻人员与高噪音设备长期接触。</w:t>
      </w:r>
      <w:r>
        <w:rPr>
          <w:rFonts w:hint="default" w:ascii="Times New Roman" w:hAnsi="Times New Roman" w:eastAsia="仿宋_GB2312" w:cs="Times New Roman"/>
          <w:color w:val="auto"/>
          <w:kern w:val="2"/>
          <w:sz w:val="32"/>
          <w:szCs w:val="32"/>
          <w:highlight w:val="none"/>
          <w:lang w:val="en-US" w:eastAsia="zh-CN" w:bidi="ar-SA"/>
        </w:rPr>
        <w:t>通过落实上述噪声防治措施后，确保厂界噪声符合</w:t>
      </w:r>
      <w:r>
        <w:rPr>
          <w:rFonts w:hint="eastAsia" w:eastAsia="仿宋_GB2312" w:cs="Times New Roman"/>
          <w:color w:val="auto"/>
          <w:kern w:val="2"/>
          <w:sz w:val="32"/>
          <w:szCs w:val="32"/>
          <w:highlight w:val="none"/>
          <w:lang w:val="en-US" w:eastAsia="zh-CN" w:bidi="ar-SA"/>
        </w:rPr>
        <w:t>标准</w:t>
      </w:r>
      <w:r>
        <w:rPr>
          <w:rFonts w:hint="default" w:ascii="Times New Roman" w:hAnsi="Times New Roman" w:eastAsia="仿宋_GB2312" w:cs="Times New Roman"/>
          <w:color w:val="auto"/>
          <w:kern w:val="2"/>
          <w:sz w:val="32"/>
          <w:szCs w:val="32"/>
          <w:highlight w:val="none"/>
          <w:lang w:val="en-US" w:eastAsia="zh-CN" w:bidi="ar-SA"/>
        </w:rPr>
        <w:t>限值要求。</w:t>
      </w:r>
    </w:p>
    <w:p w14:paraId="060AE573">
      <w:pPr>
        <w:keepNext w:val="0"/>
        <w:keepLines w:val="0"/>
        <w:pageBreakBefore w:val="0"/>
        <w:widowControl w:val="0"/>
        <w:kinsoku/>
        <w:wordWrap/>
        <w:overflowPunct/>
        <w:topLinePunct w:val="0"/>
        <w:autoSpaceDE/>
        <w:autoSpaceDN/>
        <w:bidi w:val="0"/>
        <w:adjustRightInd/>
        <w:snapToGrid/>
        <w:spacing w:beforeLines="25" w:line="600" w:lineRule="atLeas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三、项目建设必须严格执行环境保护设施与主体工程同时设计、同时施工、同时投入使用的环境保护“三同时”制度。</w:t>
      </w:r>
    </w:p>
    <w:p w14:paraId="179E521F">
      <w:pPr>
        <w:keepNext w:val="0"/>
        <w:keepLines w:val="0"/>
        <w:pageBreakBefore w:val="0"/>
        <w:widowControl w:val="0"/>
        <w:kinsoku/>
        <w:wordWrap/>
        <w:overflowPunct/>
        <w:topLinePunct w:val="0"/>
        <w:autoSpaceDE/>
        <w:autoSpaceDN/>
        <w:bidi w:val="0"/>
        <w:adjustRightInd/>
        <w:snapToGrid/>
        <w:spacing w:beforeLines="25" w:line="600" w:lineRule="atLeas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（一）要将环境保护措施纳入初步设计报告并落实环保设施投资概算。</w:t>
      </w:r>
    </w:p>
    <w:p w14:paraId="6350172A">
      <w:pPr>
        <w:keepNext w:val="0"/>
        <w:keepLines w:val="0"/>
        <w:pageBreakBefore w:val="0"/>
        <w:widowControl w:val="0"/>
        <w:kinsoku/>
        <w:wordWrap/>
        <w:overflowPunct/>
        <w:topLinePunct w:val="0"/>
        <w:autoSpaceDE/>
        <w:autoSpaceDN/>
        <w:bidi w:val="0"/>
        <w:adjustRightInd/>
        <w:snapToGrid/>
        <w:spacing w:beforeLines="25" w:line="600" w:lineRule="atLeast"/>
        <w:ind w:firstLine="640" w:firstLineChars="200"/>
        <w:textAlignment w:val="auto"/>
        <w:rPr>
          <w:rFonts w:hint="default"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（二）要将环境保护设施建设纳入施工合同，保证环境保护设施建设进度和资金。</w:t>
      </w:r>
    </w:p>
    <w:p w14:paraId="60828A08">
      <w:pPr>
        <w:keepNext w:val="0"/>
        <w:keepLines w:val="0"/>
        <w:pageBreakBefore w:val="0"/>
        <w:widowControl w:val="0"/>
        <w:kinsoku/>
        <w:wordWrap/>
        <w:overflowPunct/>
        <w:topLinePunct w:val="0"/>
        <w:autoSpaceDE/>
        <w:autoSpaceDN/>
        <w:bidi w:val="0"/>
        <w:adjustRightInd/>
        <w:snapToGrid/>
        <w:spacing w:beforeLines="25" w:line="600" w:lineRule="atLeast"/>
        <w:ind w:firstLine="640" w:firstLineChars="200"/>
        <w:textAlignment w:val="auto"/>
        <w:rPr>
          <w:rFonts w:hint="eastAsia" w:ascii="仿宋_GB2312" w:hAnsi="仿宋_GB2312" w:eastAsia="仿宋_GB2312" w:cs="仿宋_GB2312"/>
          <w:color w:val="auto"/>
          <w:kern w:val="0"/>
          <w:sz w:val="32"/>
          <w:szCs w:val="32"/>
          <w:highlight w:val="none"/>
          <w:lang w:val="en-US" w:eastAsia="zh-CN" w:bidi="ar-SA"/>
        </w:rPr>
      </w:pPr>
      <w:r>
        <w:rPr>
          <w:rFonts w:hint="eastAsia" w:ascii="仿宋_GB2312" w:hAnsi="仿宋_GB2312" w:eastAsia="仿宋_GB2312" w:cs="仿宋_GB2312"/>
          <w:color w:val="auto"/>
          <w:kern w:val="0"/>
          <w:sz w:val="32"/>
          <w:szCs w:val="32"/>
          <w:highlight w:val="none"/>
          <w:lang w:val="en-US" w:eastAsia="zh-CN" w:bidi="ar-SA"/>
        </w:rPr>
        <w:t>（三）项目竣工后须按规定程序实施竣工环境保护验收，验收合格后方可正式投运。</w:t>
      </w:r>
    </w:p>
    <w:p w14:paraId="413B8AF2">
      <w:pPr>
        <w:keepNext w:val="0"/>
        <w:keepLines w:val="0"/>
        <w:pageBreakBefore w:val="0"/>
        <w:widowControl w:val="0"/>
        <w:kinsoku/>
        <w:wordWrap/>
        <w:overflowPunct/>
        <w:topLinePunct w:val="0"/>
        <w:autoSpaceDE/>
        <w:autoSpaceDN/>
        <w:bidi w:val="0"/>
        <w:adjustRightInd/>
        <w:snapToGrid/>
        <w:spacing w:beforeLines="25" w:line="600" w:lineRule="atLeast"/>
        <w:ind w:firstLine="640" w:firstLineChars="2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color w:val="auto"/>
          <w:kern w:val="0"/>
          <w:sz w:val="32"/>
          <w:szCs w:val="32"/>
          <w:highlight w:val="none"/>
          <w:lang w:val="en-US" w:eastAsia="zh-CN" w:bidi="ar-SA"/>
        </w:rPr>
        <w:t>四、我局委托锡林郭勒盟生态环境局西乌旗分局对该项目各项污染防治措施落实情况进行监督检查和管理。</w:t>
      </w:r>
    </w:p>
    <w:p w14:paraId="2065F36C">
      <w:pPr>
        <w:pStyle w:val="13"/>
        <w:keepNext w:val="0"/>
        <w:keepLines w:val="0"/>
        <w:pageBreakBefore w:val="0"/>
        <w:kinsoku/>
        <w:wordWrap/>
        <w:overflowPunct/>
        <w:topLinePunct w:val="0"/>
        <w:autoSpaceDE/>
        <w:autoSpaceDN/>
        <w:bidi w:val="0"/>
        <w:spacing w:line="600" w:lineRule="atLeas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51211214">
      <w:pPr>
        <w:pStyle w:val="13"/>
        <w:keepNext w:val="0"/>
        <w:keepLines w:val="0"/>
        <w:pageBreakBefore w:val="0"/>
        <w:kinsoku/>
        <w:wordWrap/>
        <w:overflowPunct/>
        <w:topLinePunct w:val="0"/>
        <w:autoSpaceDE/>
        <w:autoSpaceDN/>
        <w:bidi w:val="0"/>
        <w:spacing w:line="600" w:lineRule="atLeast"/>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p>
    <w:p w14:paraId="68B89A41">
      <w:pPr>
        <w:keepNext w:val="0"/>
        <w:keepLines w:val="0"/>
        <w:pageBreakBefore w:val="0"/>
        <w:widowControl w:val="0"/>
        <w:kinsoku/>
        <w:wordWrap/>
        <w:overflowPunct/>
        <w:topLinePunct w:val="0"/>
        <w:autoSpaceDE/>
        <w:autoSpaceDN/>
        <w:bidi w:val="0"/>
        <w:adjustRightInd/>
        <w:snapToGrid/>
        <w:spacing w:line="600" w:lineRule="exact"/>
        <w:ind w:left="0" w:firstLine="5760" w:firstLineChars="1800"/>
        <w:textAlignment w:val="auto"/>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锡林郭勒盟生态环境局</w:t>
      </w:r>
    </w:p>
    <w:p w14:paraId="4D00C784">
      <w:pPr>
        <w:keepNext w:val="0"/>
        <w:keepLines w:val="0"/>
        <w:pageBreakBefore w:val="0"/>
        <w:widowControl w:val="0"/>
        <w:kinsoku/>
        <w:wordWrap/>
        <w:overflowPunct/>
        <w:topLinePunct w:val="0"/>
        <w:autoSpaceDE/>
        <w:autoSpaceDN/>
        <w:bidi w:val="0"/>
        <w:adjustRightInd/>
        <w:snapToGrid/>
        <w:spacing w:line="600" w:lineRule="exact"/>
        <w:ind w:left="0" w:firstLine="6240" w:firstLineChars="1950"/>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b w:val="0"/>
          <w:bCs w:val="0"/>
          <w:color w:val="000000" w:themeColor="text1"/>
          <w:kern w:val="2"/>
          <w:sz w:val="32"/>
          <w:szCs w:val="32"/>
          <w:highlight w:val="none"/>
          <w:lang w:val="en-US" w:eastAsia="zh-CN" w:bidi="ar-SA"/>
          <w14:textFill>
            <w14:solidFill>
              <w14:schemeClr w14:val="tx1"/>
            </w14:solidFill>
          </w14:textFill>
        </w:rPr>
        <w:t>2025年5月13日</w:t>
      </w:r>
    </w:p>
    <w:p w14:paraId="5B839D8C">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bookmarkStart w:id="0" w:name="_GoBack"/>
      <w:bookmarkEnd w:id="0"/>
    </w:p>
    <w:p w14:paraId="54AA992E">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7464D92C">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2480247E">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7848B5CE">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p>
    <w:p w14:paraId="49107097">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14:paraId="10074274">
      <w:pPr>
        <w:pBdr>
          <w:top w:val="single" w:color="auto" w:sz="4" w:space="1"/>
          <w:left w:val="none" w:color="auto" w:sz="0" w:space="0"/>
          <w:bottom w:val="single" w:color="auto" w:sz="4" w:space="1"/>
          <w:right w:val="none" w:color="auto" w:sz="0" w:space="0"/>
        </w:pBdr>
        <w:spacing w:line="540" w:lineRule="exact"/>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5</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5</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13</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984" w:right="1417" w:bottom="1417" w:left="1417" w:header="851" w:footer="992" w:gutter="0"/>
      <w:cols w:space="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MS Gothic">
    <w:panose1 w:val="020B0609070205080204"/>
    <w:charset w:val="80"/>
    <w:family w:val="modern"/>
    <w:pitch w:val="default"/>
    <w:sig w:usb0="E00002FF" w:usb1="6AC7FDFB" w:usb2="08000012" w:usb3="00000000" w:csb0="4002009F" w:csb1="DFD7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BAEE3C"/>
    <w:multiLevelType w:val="singleLevel"/>
    <w:tmpl w:val="DCBAEE3C"/>
    <w:lvl w:ilvl="0" w:tentative="0">
      <w:start w:val="1"/>
      <w:numFmt w:val="bullet"/>
      <w:pStyle w:val="9"/>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M3MDVmNTBlZDBmNjcxNDhhOTc5YmFjM2ZhOWQzOTkifQ=="/>
  </w:docVars>
  <w:rsids>
    <w:rsidRoot w:val="5EC66ED4"/>
    <w:rsid w:val="002338E7"/>
    <w:rsid w:val="002649C7"/>
    <w:rsid w:val="00485B84"/>
    <w:rsid w:val="008063C5"/>
    <w:rsid w:val="00A041AA"/>
    <w:rsid w:val="00A368D6"/>
    <w:rsid w:val="00A8256E"/>
    <w:rsid w:val="00B41233"/>
    <w:rsid w:val="00B57562"/>
    <w:rsid w:val="00BB67CA"/>
    <w:rsid w:val="00C014C7"/>
    <w:rsid w:val="00F24233"/>
    <w:rsid w:val="00FB66AF"/>
    <w:rsid w:val="017F5C19"/>
    <w:rsid w:val="018E255D"/>
    <w:rsid w:val="079D0356"/>
    <w:rsid w:val="08292EF0"/>
    <w:rsid w:val="09665DE7"/>
    <w:rsid w:val="09881D2A"/>
    <w:rsid w:val="0A302749"/>
    <w:rsid w:val="0A6D250B"/>
    <w:rsid w:val="0AF55F71"/>
    <w:rsid w:val="0C9575CD"/>
    <w:rsid w:val="0E746B5A"/>
    <w:rsid w:val="11A82DA9"/>
    <w:rsid w:val="14BA613D"/>
    <w:rsid w:val="150500C9"/>
    <w:rsid w:val="169D11A7"/>
    <w:rsid w:val="17F03DBE"/>
    <w:rsid w:val="1CDD1CD6"/>
    <w:rsid w:val="1EB661F5"/>
    <w:rsid w:val="1F0530C9"/>
    <w:rsid w:val="1F0942A1"/>
    <w:rsid w:val="1FEF0AB1"/>
    <w:rsid w:val="20625EBD"/>
    <w:rsid w:val="22775781"/>
    <w:rsid w:val="24C91014"/>
    <w:rsid w:val="25B44016"/>
    <w:rsid w:val="2628052F"/>
    <w:rsid w:val="26721809"/>
    <w:rsid w:val="28830C0C"/>
    <w:rsid w:val="28847071"/>
    <w:rsid w:val="2E2C61C7"/>
    <w:rsid w:val="2F732C8A"/>
    <w:rsid w:val="33362498"/>
    <w:rsid w:val="389E30FE"/>
    <w:rsid w:val="3B0C28D2"/>
    <w:rsid w:val="3B0C2E58"/>
    <w:rsid w:val="3C63045A"/>
    <w:rsid w:val="3D4B0338"/>
    <w:rsid w:val="421D62A7"/>
    <w:rsid w:val="49893DAA"/>
    <w:rsid w:val="4CA913C7"/>
    <w:rsid w:val="4FCC07B9"/>
    <w:rsid w:val="509757B4"/>
    <w:rsid w:val="50FB2104"/>
    <w:rsid w:val="521B14F6"/>
    <w:rsid w:val="522241C5"/>
    <w:rsid w:val="52DE02D1"/>
    <w:rsid w:val="534F0A57"/>
    <w:rsid w:val="536856F0"/>
    <w:rsid w:val="53A148BE"/>
    <w:rsid w:val="543D7097"/>
    <w:rsid w:val="550D3A9F"/>
    <w:rsid w:val="592E492C"/>
    <w:rsid w:val="595E4131"/>
    <w:rsid w:val="5A6673EF"/>
    <w:rsid w:val="5A962B6A"/>
    <w:rsid w:val="5B550D02"/>
    <w:rsid w:val="5CCF1D9B"/>
    <w:rsid w:val="5EC66ED4"/>
    <w:rsid w:val="5EF25A14"/>
    <w:rsid w:val="5F0423F2"/>
    <w:rsid w:val="5F2B096A"/>
    <w:rsid w:val="62976515"/>
    <w:rsid w:val="63A36E9E"/>
    <w:rsid w:val="68FD394B"/>
    <w:rsid w:val="69B56FF0"/>
    <w:rsid w:val="6A8A6014"/>
    <w:rsid w:val="716A177A"/>
    <w:rsid w:val="743E63E0"/>
    <w:rsid w:val="74F15189"/>
    <w:rsid w:val="75A06821"/>
    <w:rsid w:val="76606C42"/>
    <w:rsid w:val="77250762"/>
    <w:rsid w:val="778D3D25"/>
    <w:rsid w:val="7A595F33"/>
    <w:rsid w:val="7BC80808"/>
    <w:rsid w:val="7C457AD0"/>
    <w:rsid w:val="7D6C334B"/>
    <w:rsid w:val="7E2D7CFF"/>
    <w:rsid w:val="7E306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nhideWhenUsed="0"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qFormat="1" w:uiPriority="99"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6"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3"/>
    <w:basedOn w:val="1"/>
    <w:next w:val="1"/>
    <w:autoRedefine/>
    <w:unhideWhenUsed/>
    <w:qFormat/>
    <w:uiPriority w:val="0"/>
    <w:pPr>
      <w:keepNext/>
      <w:keepLines/>
      <w:adjustRightInd w:val="0"/>
      <w:snapToGrid w:val="0"/>
      <w:spacing w:line="480" w:lineRule="exact"/>
      <w:jc w:val="both"/>
      <w:outlineLvl w:val="2"/>
    </w:pPr>
    <w:rPr>
      <w:rFonts w:ascii="Times New Roman" w:hAnsi="Times New Roman" w:eastAsia="宋体"/>
      <w:b/>
      <w:bCs/>
      <w:sz w:val="24"/>
      <w:szCs w:val="32"/>
    </w:rPr>
  </w:style>
  <w:style w:type="paragraph" w:styleId="5">
    <w:name w:val="heading 4"/>
    <w:basedOn w:val="1"/>
    <w:next w:val="1"/>
    <w:autoRedefine/>
    <w:qFormat/>
    <w:uiPriority w:val="9"/>
    <w:pPr>
      <w:keepNext/>
      <w:keepLines/>
      <w:ind w:firstLine="0" w:firstLineChars="0"/>
      <w:jc w:val="center"/>
      <w:outlineLvl w:val="3"/>
    </w:pPr>
    <w:rPr>
      <w:rFonts w:ascii="Times New Roman" w:hAnsi="Times New Roman" w:eastAsia="宋体"/>
      <w:b/>
      <w:bCs/>
      <w:kern w:val="0"/>
      <w:sz w:val="21"/>
      <w:szCs w:val="28"/>
    </w:rPr>
  </w:style>
  <w:style w:type="character" w:default="1" w:styleId="22">
    <w:name w:val="Default Paragraph Font"/>
    <w:autoRedefine/>
    <w:semiHidden/>
    <w:unhideWhenUsed/>
    <w:qFormat/>
    <w:uiPriority w:val="1"/>
  </w:style>
  <w:style w:type="table" w:default="1" w:styleId="20">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ind w:firstLine="420" w:firstLineChars="200"/>
    </w:pPr>
  </w:style>
  <w:style w:type="paragraph" w:styleId="3">
    <w:name w:val="Body Text Indent"/>
    <w:basedOn w:val="1"/>
    <w:autoRedefine/>
    <w:qFormat/>
    <w:uiPriority w:val="0"/>
    <w:pPr>
      <w:spacing w:line="500" w:lineRule="exact"/>
      <w:ind w:firstLine="454"/>
    </w:pPr>
    <w:rPr>
      <w:rFonts w:ascii="楷体_GB2312" w:eastAsia="楷体_GB2312"/>
      <w:bCs/>
      <w:sz w:val="24"/>
    </w:rPr>
  </w:style>
  <w:style w:type="paragraph" w:styleId="6">
    <w:name w:val="E-mail Signature"/>
    <w:basedOn w:val="1"/>
    <w:next w:val="7"/>
    <w:autoRedefine/>
    <w:qFormat/>
    <w:uiPriority w:val="0"/>
    <w:pPr>
      <w:spacing w:line="460" w:lineRule="exact"/>
      <w:ind w:firstLine="200"/>
    </w:pPr>
    <w:rPr>
      <w:sz w:val="24"/>
    </w:rPr>
  </w:style>
  <w:style w:type="paragraph" w:customStyle="1" w:styleId="7">
    <w:name w:val="文章"/>
    <w:basedOn w:val="3"/>
    <w:next w:val="8"/>
    <w:autoRedefine/>
    <w:qFormat/>
    <w:uiPriority w:val="0"/>
    <w:pPr>
      <w:widowControl/>
      <w:jc w:val="center"/>
    </w:pPr>
    <w:rPr>
      <w:sz w:val="26"/>
    </w:rPr>
  </w:style>
  <w:style w:type="paragraph" w:styleId="8">
    <w:name w:val="List"/>
    <w:basedOn w:val="1"/>
    <w:next w:val="9"/>
    <w:autoRedefine/>
    <w:qFormat/>
    <w:uiPriority w:val="0"/>
    <w:pPr>
      <w:jc w:val="center"/>
    </w:pPr>
  </w:style>
  <w:style w:type="paragraph" w:styleId="9">
    <w:name w:val="List Bullet 2"/>
    <w:basedOn w:val="1"/>
    <w:next w:val="10"/>
    <w:autoRedefine/>
    <w:qFormat/>
    <w:uiPriority w:val="0"/>
    <w:pPr>
      <w:numPr>
        <w:ilvl w:val="0"/>
        <w:numId w:val="1"/>
      </w:numPr>
    </w:pPr>
  </w:style>
  <w:style w:type="paragraph" w:customStyle="1" w:styleId="10">
    <w:name w:val="xl70"/>
    <w:basedOn w:val="1"/>
    <w:next w:val="11"/>
    <w:autoRedefine/>
    <w:qFormat/>
    <w:uiPriority w:val="0"/>
    <w:pPr>
      <w:widowControl/>
      <w:spacing w:before="280" w:after="280"/>
    </w:pPr>
    <w:rPr>
      <w:rFonts w:ascii="宋体"/>
    </w:rPr>
  </w:style>
  <w:style w:type="paragraph" w:customStyle="1" w:styleId="11">
    <w:name w:val="正文缩进1"/>
    <w:basedOn w:val="1"/>
    <w:next w:val="12"/>
    <w:autoRedefine/>
    <w:qFormat/>
    <w:uiPriority w:val="0"/>
    <w:pPr>
      <w:ind w:firstLine="420"/>
    </w:pPr>
    <w:rPr>
      <w:szCs w:val="20"/>
    </w:rPr>
  </w:style>
  <w:style w:type="paragraph" w:customStyle="1" w:styleId="12">
    <w:name w:val="td1"/>
    <w:basedOn w:val="1"/>
    <w:next w:val="1"/>
    <w:autoRedefine/>
    <w:qFormat/>
    <w:uiPriority w:val="0"/>
    <w:pPr>
      <w:widowControl/>
      <w:spacing w:before="280" w:after="280" w:line="300" w:lineRule="atLeast"/>
      <w:ind w:firstLine="200"/>
    </w:pPr>
    <w:rPr>
      <w:color w:val="000000"/>
      <w:sz w:val="18"/>
    </w:rPr>
  </w:style>
  <w:style w:type="paragraph" w:styleId="13">
    <w:name w:val="Normal Indent"/>
    <w:basedOn w:val="1"/>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14">
    <w:name w:val="Body Text"/>
    <w:basedOn w:val="1"/>
    <w:next w:val="15"/>
    <w:qFormat/>
    <w:uiPriority w:val="0"/>
    <w:pPr>
      <w:widowControl/>
      <w:snapToGrid w:val="0"/>
      <w:spacing w:before="60" w:after="160" w:line="259" w:lineRule="auto"/>
      <w:ind w:right="113"/>
    </w:pPr>
    <w:rPr>
      <w:kern w:val="0"/>
      <w:sz w:val="18"/>
      <w:szCs w:val="18"/>
    </w:rPr>
  </w:style>
  <w:style w:type="paragraph" w:styleId="15">
    <w:name w:val="table of figures"/>
    <w:basedOn w:val="1"/>
    <w:next w:val="1"/>
    <w:unhideWhenUsed/>
    <w:qFormat/>
    <w:uiPriority w:val="99"/>
    <w:pPr>
      <w:spacing w:line="240" w:lineRule="auto"/>
      <w:ind w:left="200" w:leftChars="200" w:hanging="200" w:hangingChars="200"/>
      <w:jc w:val="both"/>
    </w:pPr>
    <w:rPr>
      <w:rFonts w:eastAsia="MS Gothic"/>
      <w:sz w:val="21"/>
      <w:szCs w:val="21"/>
    </w:rPr>
  </w:style>
  <w:style w:type="paragraph" w:styleId="16">
    <w:name w:val="footer"/>
    <w:basedOn w:val="1"/>
    <w:link w:val="25"/>
    <w:autoRedefine/>
    <w:qFormat/>
    <w:uiPriority w:val="0"/>
    <w:pPr>
      <w:tabs>
        <w:tab w:val="center" w:pos="4153"/>
        <w:tab w:val="right" w:pos="8306"/>
      </w:tabs>
      <w:snapToGrid w:val="0"/>
      <w:jc w:val="left"/>
    </w:pPr>
    <w:rPr>
      <w:sz w:val="18"/>
      <w:szCs w:val="18"/>
    </w:rPr>
  </w:style>
  <w:style w:type="paragraph" w:styleId="17">
    <w:name w:val="header"/>
    <w:basedOn w:val="1"/>
    <w:link w:val="24"/>
    <w:autoRedefine/>
    <w:qFormat/>
    <w:uiPriority w:val="0"/>
    <w:pPr>
      <w:pBdr>
        <w:bottom w:val="single" w:color="auto" w:sz="6" w:space="1"/>
      </w:pBdr>
      <w:tabs>
        <w:tab w:val="center" w:pos="4153"/>
        <w:tab w:val="right" w:pos="8306"/>
      </w:tabs>
      <w:snapToGrid w:val="0"/>
      <w:jc w:val="center"/>
    </w:pPr>
    <w:rPr>
      <w:sz w:val="18"/>
      <w:szCs w:val="18"/>
    </w:rPr>
  </w:style>
  <w:style w:type="paragraph" w:styleId="18">
    <w:name w:val="toc 2"/>
    <w:basedOn w:val="1"/>
    <w:next w:val="6"/>
    <w:autoRedefine/>
    <w:qFormat/>
    <w:uiPriority w:val="0"/>
    <w:pPr>
      <w:ind w:left="420" w:leftChars="200"/>
    </w:pPr>
  </w:style>
  <w:style w:type="paragraph" w:styleId="19">
    <w:name w:val="Normal (Web)"/>
    <w:basedOn w:val="1"/>
    <w:autoRedefine/>
    <w:qFormat/>
    <w:uiPriority w:val="0"/>
    <w:pPr>
      <w:spacing w:before="0" w:beforeAutospacing="1" w:after="0" w:afterAutospacing="1"/>
      <w:ind w:left="0" w:right="0"/>
      <w:jc w:val="left"/>
    </w:pPr>
    <w:rPr>
      <w:kern w:val="0"/>
      <w:sz w:val="24"/>
      <w:lang w:val="en-US" w:eastAsia="zh-CN" w:bidi="ar"/>
    </w:rPr>
  </w:style>
  <w:style w:type="table" w:styleId="21">
    <w:name w:val="Table Grid"/>
    <w:basedOn w:val="20"/>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23">
    <w:name w:val="[1]正文"/>
    <w:basedOn w:val="1"/>
    <w:autoRedefine/>
    <w:qFormat/>
    <w:uiPriority w:val="0"/>
    <w:pPr>
      <w:autoSpaceDE w:val="0"/>
      <w:autoSpaceDN w:val="0"/>
      <w:ind w:left="0" w:leftChars="0" w:firstLine="200" w:firstLineChars="200"/>
    </w:pPr>
    <w:rPr>
      <w:rFonts w:ascii="Times New Roman" w:hAnsi="Times New Roman"/>
      <w:color w:val="000000"/>
      <w:kern w:val="0"/>
      <w:szCs w:val="24"/>
      <w:lang w:val="zh-CN"/>
    </w:rPr>
  </w:style>
  <w:style w:type="character" w:customStyle="1" w:styleId="24">
    <w:name w:val="页眉 Char"/>
    <w:basedOn w:val="22"/>
    <w:link w:val="17"/>
    <w:autoRedefine/>
    <w:qFormat/>
    <w:uiPriority w:val="0"/>
    <w:rPr>
      <w:kern w:val="2"/>
      <w:sz w:val="18"/>
      <w:szCs w:val="18"/>
    </w:rPr>
  </w:style>
  <w:style w:type="character" w:customStyle="1" w:styleId="25">
    <w:name w:val="页脚 Char"/>
    <w:basedOn w:val="22"/>
    <w:link w:val="16"/>
    <w:autoRedefine/>
    <w:qFormat/>
    <w:uiPriority w:val="0"/>
    <w:rPr>
      <w:kern w:val="2"/>
      <w:sz w:val="18"/>
      <w:szCs w:val="18"/>
    </w:rPr>
  </w:style>
  <w:style w:type="paragraph" w:customStyle="1" w:styleId="26">
    <w:name w:val="高-正文"/>
    <w:autoRedefine/>
    <w:qFormat/>
    <w:uiPriority w:val="0"/>
    <w:pPr>
      <w:widowControl w:val="0"/>
      <w:topLinePunct/>
      <w:adjustRightInd w:val="0"/>
      <w:snapToGrid w:val="0"/>
      <w:spacing w:line="480" w:lineRule="exact"/>
      <w:ind w:firstLine="600" w:firstLineChars="200"/>
      <w:jc w:val="both"/>
    </w:pPr>
    <w:rPr>
      <w:rFonts w:ascii="Times New Roman" w:hAnsi="Times New Roman" w:eastAsia="宋体" w:cs="Times New Roman"/>
      <w:snapToGrid w:val="0"/>
      <w:kern w:val="0"/>
      <w:sz w:val="24"/>
      <w:szCs w:val="22"/>
      <w:lang w:val="en-US" w:eastAsia="zh-CN" w:bidi="ar-SA"/>
    </w:rPr>
  </w:style>
  <w:style w:type="paragraph" w:customStyle="1" w:styleId="27">
    <w:name w:val="BodyText1I2"/>
    <w:next w:val="28"/>
    <w:autoRedefine/>
    <w:qFormat/>
    <w:uiPriority w:val="0"/>
    <w:pPr>
      <w:spacing w:line="440" w:lineRule="exact"/>
      <w:jc w:val="center"/>
      <w:textAlignment w:val="baseline"/>
    </w:pPr>
    <w:rPr>
      <w:rFonts w:ascii="Calibri" w:hAnsi="Calibri" w:eastAsia="黑体" w:cs="Times New Roman"/>
      <w:kern w:val="2"/>
      <w:sz w:val="24"/>
      <w:szCs w:val="24"/>
      <w:lang w:val="en-US" w:eastAsia="zh-CN" w:bidi="ar-SA"/>
    </w:rPr>
  </w:style>
  <w:style w:type="paragraph" w:customStyle="1" w:styleId="28">
    <w:name w:val="BodyText1I"/>
    <w:autoRedefine/>
    <w:qFormat/>
    <w:uiPriority w:val="0"/>
    <w:pPr>
      <w:spacing w:after="120"/>
      <w:ind w:firstLine="420" w:firstLineChars="100"/>
      <w:jc w:val="both"/>
      <w:textAlignment w:val="baseline"/>
    </w:pPr>
    <w:rPr>
      <w:rFonts w:ascii="Calibri" w:hAnsi="Calibri" w:eastAsia="宋体" w:cs="Times New Roman"/>
      <w:kern w:val="2"/>
      <w:szCs w:val="24"/>
      <w:lang w:val="en-US" w:eastAsia="zh-CN" w:bidi="ar-SA"/>
    </w:rPr>
  </w:style>
  <w:style w:type="paragraph" w:customStyle="1" w:styleId="29">
    <w:name w:val="表内容"/>
    <w:basedOn w:val="1"/>
    <w:next w:val="1"/>
    <w:autoRedefine/>
    <w:qFormat/>
    <w:uiPriority w:val="0"/>
    <w:pPr>
      <w:adjustRightInd/>
      <w:snapToGrid/>
      <w:spacing w:line="240" w:lineRule="atLeast"/>
      <w:ind w:firstLine="0" w:firstLineChars="0"/>
      <w:jc w:val="center"/>
    </w:pPr>
    <w:rPr>
      <w:rFonts w:cs="黑体"/>
      <w:kern w:val="2"/>
      <w:sz w:val="21"/>
    </w:rPr>
  </w:style>
  <w:style w:type="paragraph" w:customStyle="1" w:styleId="30">
    <w:name w:val="表格内文字"/>
    <w:next w:val="1"/>
    <w:autoRedefine/>
    <w:qFormat/>
    <w:uiPriority w:val="0"/>
    <w:pPr>
      <w:adjustRightInd w:val="0"/>
      <w:snapToGrid w:val="0"/>
      <w:jc w:val="center"/>
    </w:pPr>
    <w:rPr>
      <w:rFonts w:ascii="Times New Roman" w:hAnsi="Times New Roman" w:eastAsia="宋体" w:cs="Times New Roman"/>
      <w:sz w:val="21"/>
      <w:szCs w:val="21"/>
      <w:lang w:val="zh-CN" w:eastAsia="zh-CN" w:bidi="ar-SA"/>
    </w:rPr>
  </w:style>
  <w:style w:type="paragraph" w:customStyle="1" w:styleId="3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32">
    <w:name w:val="List Paragraph"/>
    <w:basedOn w:val="1"/>
    <w:qFormat/>
    <w:uiPriority w:val="6"/>
    <w:pPr>
      <w:jc w:val="center"/>
    </w:pPr>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3452</Words>
  <Characters>3685</Characters>
  <Lines>10</Lines>
  <Paragraphs>2</Paragraphs>
  <TotalTime>9</TotalTime>
  <ScaleCrop>false</ScaleCrop>
  <LinksUpToDate>false</LinksUpToDate>
  <CharactersWithSpaces>3702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2017-03-20T01:07:00Z</dcterms:created>
  <dc:creator>lenovo</dc:creator>
  <cp:lastModifiedBy>WPS_1696990880</cp:lastModifiedBy>
  <cp:lastPrinted>2020-03-17T06:55:00Z</cp:lastPrinted>
  <dcterms:modified xsi:type="dcterms:W3CDTF">2025-05-12T02:00:35Z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B60C07675CE649CB8DDEE60A83AC9415_13</vt:lpwstr>
  </property>
  <property fmtid="{D5CDD505-2E9C-101B-9397-08002B2CF9AE}" pid="4" name="KSOTemplateDocerSaveRecord">
    <vt:lpwstr>eyJoZGlkIjoiMjU3ZmEwNDIzNjk0ZmFmNzQwYWZkZWY1MGM3N2JmMjMiLCJ1c2VySWQiOiIxNTQ4NTk0MzkyIn0=</vt:lpwstr>
  </property>
</Properties>
</file>