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0C6C70">
      <w:pPr>
        <w:adjustRightInd w:val="0"/>
        <w:snapToGrid w:val="0"/>
        <w:spacing w:line="360" w:lineRule="auto"/>
        <w:jc w:val="center"/>
        <w:rPr>
          <w:b/>
          <w:bCs/>
          <w:sz w:val="32"/>
          <w:szCs w:val="32"/>
        </w:rPr>
      </w:pPr>
      <w:bookmarkStart w:id="0" w:name="_Hlk124747957"/>
    </w:p>
    <w:p w14:paraId="6ED1168B">
      <w:pPr>
        <w:adjustRightInd w:val="0"/>
        <w:snapToGrid w:val="0"/>
        <w:spacing w:line="360" w:lineRule="auto"/>
        <w:jc w:val="center"/>
        <w:rPr>
          <w:b/>
          <w:bCs/>
          <w:sz w:val="32"/>
          <w:szCs w:val="32"/>
        </w:rPr>
      </w:pPr>
    </w:p>
    <w:p w14:paraId="7D5050B7">
      <w:pPr>
        <w:pStyle w:val="9"/>
        <w:ind w:left="420"/>
        <w:rPr>
          <w:b/>
          <w:bCs/>
          <w:sz w:val="32"/>
          <w:szCs w:val="32"/>
        </w:rPr>
      </w:pPr>
    </w:p>
    <w:p w14:paraId="3C53F326">
      <w:pPr>
        <w:rPr>
          <w:b/>
          <w:bCs/>
          <w:sz w:val="32"/>
          <w:szCs w:val="32"/>
        </w:rPr>
      </w:pPr>
    </w:p>
    <w:p w14:paraId="54C57361">
      <w:pPr>
        <w:pStyle w:val="9"/>
        <w:ind w:left="420"/>
        <w:rPr>
          <w:b/>
          <w:bCs/>
          <w:sz w:val="32"/>
          <w:szCs w:val="32"/>
        </w:rPr>
      </w:pPr>
    </w:p>
    <w:p w14:paraId="3A87A4D6">
      <w:pPr>
        <w:rPr>
          <w:b/>
          <w:bCs/>
          <w:sz w:val="32"/>
          <w:szCs w:val="32"/>
        </w:rPr>
      </w:pPr>
    </w:p>
    <w:p w14:paraId="726EDA97">
      <w:pPr>
        <w:pStyle w:val="9"/>
        <w:ind w:left="420"/>
        <w:rPr>
          <w:b/>
          <w:bCs/>
          <w:sz w:val="32"/>
          <w:szCs w:val="32"/>
        </w:rPr>
      </w:pPr>
    </w:p>
    <w:p w14:paraId="311E0715"/>
    <w:p w14:paraId="41381751">
      <w:pPr>
        <w:pStyle w:val="9"/>
        <w:ind w:left="420"/>
      </w:pPr>
    </w:p>
    <w:bookmarkEnd w:id="0"/>
    <w:p w14:paraId="78AA3263">
      <w:pPr>
        <w:spacing w:line="360" w:lineRule="auto"/>
        <w:jc w:val="center"/>
        <w:rPr>
          <w:rFonts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西环审表〔202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17</w:t>
      </w:r>
      <w:r>
        <w:rPr>
          <w:rFonts w:hint="eastAsia" w:ascii="仿宋_GB2312" w:hAnsi="仿宋_GB2312" w:eastAsia="仿宋_GB2312" w:cs="仿宋_GB2312"/>
          <w:color w:val="000000" w:themeColor="text1"/>
          <w:sz w:val="32"/>
          <w:szCs w:val="32"/>
          <w14:textFill>
            <w14:solidFill>
              <w14:schemeClr w14:val="tx1"/>
            </w14:solidFill>
          </w14:textFill>
        </w:rPr>
        <w:t>号</w:t>
      </w:r>
    </w:p>
    <w:p w14:paraId="178BB95F">
      <w:pPr>
        <w:spacing w:line="598" w:lineRule="exact"/>
        <w:jc w:val="center"/>
        <w:rPr>
          <w:rFonts w:ascii="仿宋_GB2312" w:eastAsia="仿宋_GB2312" w:cs="仿宋_GB2312"/>
          <w:sz w:val="32"/>
          <w:szCs w:val="32"/>
        </w:rPr>
      </w:pPr>
    </w:p>
    <w:p w14:paraId="4837052D">
      <w:pPr>
        <w:spacing w:line="6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3BAD65E9">
      <w:pPr>
        <w:spacing w:line="6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val="en-US" w:eastAsia="zh-CN"/>
        </w:rPr>
        <w:t>内蒙古自治区西乌珠穆沁旗得勒布钦金矿区勘查项目</w:t>
      </w:r>
      <w:r>
        <w:rPr>
          <w:rFonts w:hint="eastAsia" w:ascii="方正小标宋简体" w:hAnsi="方正小标宋简体" w:eastAsia="方正小标宋简体" w:cs="方正小标宋简体"/>
          <w:sz w:val="44"/>
          <w:szCs w:val="44"/>
        </w:rPr>
        <w:t>环境影响报告表的批复</w:t>
      </w:r>
    </w:p>
    <w:p w14:paraId="4AB34C04">
      <w:pPr>
        <w:spacing w:line="598" w:lineRule="exact"/>
        <w:jc w:val="left"/>
        <w:rPr>
          <w:rFonts w:ascii="仿宋_GB2312" w:eastAsia="仿宋_GB2312" w:cs="仿宋_GB2312"/>
          <w:sz w:val="32"/>
          <w:szCs w:val="32"/>
        </w:rPr>
      </w:pPr>
    </w:p>
    <w:p w14:paraId="19F60666">
      <w:pPr>
        <w:keepNext w:val="0"/>
        <w:keepLines w:val="0"/>
        <w:pageBreakBefore w:val="0"/>
        <w:widowControl w:val="0"/>
        <w:kinsoku/>
        <w:wordWrap/>
        <w:overflowPunct/>
        <w:topLinePunct w:val="0"/>
        <w:bidi w:val="0"/>
        <w:adjustRightInd w:val="0"/>
        <w:snapToGrid w:val="0"/>
        <w:spacing w:before="156" w:beforeLines="50" w:after="156" w:afterLines="50" w:line="60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zh-CN"/>
        </w:rPr>
        <w:t>西乌珠穆沁旗道伦达坝铜矿开发有限公司</w:t>
      </w:r>
      <w:r>
        <w:rPr>
          <w:rFonts w:hint="eastAsia" w:ascii="仿宋_GB2312" w:hAnsi="仿宋_GB2312" w:eastAsia="仿宋_GB2312" w:cs="仿宋_GB2312"/>
          <w:sz w:val="32"/>
          <w:szCs w:val="32"/>
        </w:rPr>
        <w:t>：</w:t>
      </w:r>
    </w:p>
    <w:p w14:paraId="28E305ED">
      <w:pPr>
        <w:keepNext w:val="0"/>
        <w:keepLines w:val="0"/>
        <w:pageBreakBefore w:val="0"/>
        <w:widowControl w:val="0"/>
        <w:kinsoku/>
        <w:wordWrap/>
        <w:overflowPunct/>
        <w:topLinePunct w:val="0"/>
        <w:bidi w:val="0"/>
        <w:adjustRightInd w:val="0"/>
        <w:snapToGrid w:val="0"/>
        <w:spacing w:before="156" w:beforeLines="50" w:after="156" w:afterLines="50"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你单位报送的《</w:t>
      </w:r>
      <w:r>
        <w:rPr>
          <w:rFonts w:hint="eastAsia" w:ascii="仿宋_GB2312" w:hAnsi="仿宋_GB2312" w:eastAsia="仿宋_GB2312" w:cs="仿宋_GB2312"/>
          <w:color w:val="auto"/>
          <w:kern w:val="0"/>
          <w:sz w:val="32"/>
          <w:szCs w:val="32"/>
          <w:lang w:val="en-US" w:eastAsia="zh-CN" w:bidi="ar"/>
        </w:rPr>
        <w:t>内蒙古自治区西乌珠穆沁旗得勒布钦金矿区勘查项目</w:t>
      </w:r>
      <w:r>
        <w:rPr>
          <w:rFonts w:hint="eastAsia" w:ascii="仿宋_GB2312" w:hAnsi="仿宋_GB2312" w:eastAsia="仿宋_GB2312" w:cs="仿宋_GB2312"/>
          <w:sz w:val="32"/>
          <w:szCs w:val="32"/>
        </w:rPr>
        <w:t>环境影响报告表》（以下简称《报告表》）已收悉。由锡林郭勒盟生态环境局西乌旗分局委托内蒙古环保投资集团有限公司锡林郭勒盟分公司对《报告表》进行了技术评估，出具了评估报告（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kern w:val="0"/>
          <w:sz w:val="32"/>
          <w:szCs w:val="32"/>
        </w:rPr>
        <w:t>锡环投评估表〔202</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11</w:t>
      </w:r>
      <w:r>
        <w:rPr>
          <w:rFonts w:hint="eastAsia" w:ascii="仿宋_GB2312" w:hAnsi="仿宋_GB2312" w:eastAsia="仿宋_GB2312" w:cs="仿宋_GB2312"/>
          <w:kern w:val="0"/>
          <w:sz w:val="32"/>
          <w:szCs w:val="32"/>
        </w:rPr>
        <w:t>号</w:t>
      </w:r>
      <w:r>
        <w:rPr>
          <w:rFonts w:hint="eastAsia" w:ascii="仿宋_GB2312" w:hAnsi="仿宋_GB2312" w:eastAsia="仿宋_GB2312" w:cs="仿宋_GB2312"/>
          <w:sz w:val="32"/>
          <w:szCs w:val="32"/>
        </w:rPr>
        <w:t>）。经研究，现批复如下：</w:t>
      </w:r>
    </w:p>
    <w:p w14:paraId="22FFAE84">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仿宋_GB2312" w:hAnsi="仿宋_GB2312" w:eastAsia="仿宋_GB2312" w:cs="仿宋_GB2312"/>
          <w:sz w:val="32"/>
          <w:szCs w:val="32"/>
          <w:lang w:val="zh-CN" w:bidi="ar"/>
        </w:rPr>
      </w:pPr>
      <w:r>
        <w:rPr>
          <w:rFonts w:hint="eastAsia" w:ascii="仿宋_GB2312" w:hAnsi="仿宋_GB2312" w:eastAsia="仿宋_GB2312" w:cs="仿宋_GB2312"/>
          <w:snapToGrid/>
          <w:sz w:val="32"/>
          <w:szCs w:val="32"/>
          <w:lang w:val="zh-CN" w:bidi="ar"/>
        </w:rPr>
        <w:t>一、本项目位于</w:t>
      </w:r>
      <w:r>
        <w:rPr>
          <w:rFonts w:hint="default" w:ascii="仿宋_GB2312" w:hAnsi="仿宋_GB2312" w:eastAsia="仿宋_GB2312" w:cs="仿宋_GB2312"/>
          <w:color w:val="auto"/>
          <w:kern w:val="0"/>
          <w:sz w:val="32"/>
          <w:szCs w:val="32"/>
          <w:lang w:val="en-US" w:eastAsia="zh-CN" w:bidi="ar"/>
        </w:rPr>
        <w:t>内蒙古自治区锡林郭勒盟西乌旗西南约70km，行政区划隶属西乌</w:t>
      </w:r>
      <w:r>
        <w:rPr>
          <w:rFonts w:hint="eastAsia" w:ascii="仿宋_GB2312" w:hAnsi="仿宋_GB2312" w:eastAsia="仿宋_GB2312" w:cs="仿宋_GB2312"/>
          <w:color w:val="auto"/>
          <w:kern w:val="0"/>
          <w:sz w:val="32"/>
          <w:szCs w:val="32"/>
          <w:lang w:val="en-US" w:eastAsia="zh-CN" w:bidi="ar"/>
        </w:rPr>
        <w:t>旗</w:t>
      </w:r>
      <w:r>
        <w:rPr>
          <w:rFonts w:hint="default" w:ascii="仿宋_GB2312" w:hAnsi="仿宋_GB2312" w:eastAsia="仿宋_GB2312" w:cs="仿宋_GB2312"/>
          <w:color w:val="auto"/>
          <w:kern w:val="0"/>
          <w:sz w:val="32"/>
          <w:szCs w:val="32"/>
          <w:lang w:val="en-US" w:eastAsia="zh-CN" w:bidi="ar"/>
        </w:rPr>
        <w:t>吉仁高勒镇管辖。勘查区地理坐标：</w:t>
      </w:r>
      <w:r>
        <w:rPr>
          <w:rFonts w:hint="eastAsia" w:ascii="仿宋_GB2312" w:hAnsi="仿宋_GB2312" w:eastAsia="仿宋_GB2312" w:cs="仿宋_GB2312"/>
          <w:sz w:val="32"/>
          <w:szCs w:val="32"/>
          <w:lang w:val="en-US" w:eastAsia="zh-CN"/>
        </w:rPr>
        <w:t>东经116°45′02.000″—116°47′02.000″，北纬44°16′40.000″—44°17′39.000″，勘查面积4.4337km</w:t>
      </w:r>
      <w:r>
        <w:rPr>
          <w:rFonts w:hint="eastAsia" w:ascii="仿宋_GB2312" w:hAnsi="仿宋_GB2312" w:eastAsia="仿宋_GB2312" w:cs="仿宋_GB2312"/>
          <w:sz w:val="32"/>
          <w:szCs w:val="32"/>
          <w:vertAlign w:val="superscript"/>
          <w:lang w:val="en-US" w:eastAsia="zh-CN"/>
        </w:rPr>
        <w:t>2</w:t>
      </w:r>
      <w:r>
        <w:rPr>
          <w:rFonts w:hint="default" w:ascii="仿宋_GB2312" w:hAnsi="仿宋_GB2312" w:eastAsia="仿宋_GB2312" w:cs="仿宋_GB2312"/>
          <w:color w:val="auto"/>
          <w:kern w:val="0"/>
          <w:sz w:val="32"/>
          <w:szCs w:val="32"/>
          <w:lang w:val="en-US" w:eastAsia="zh-CN" w:bidi="ar"/>
        </w:rPr>
        <w:t>。</w:t>
      </w:r>
      <w:r>
        <w:rPr>
          <w:rFonts w:hint="eastAsia" w:ascii="仿宋_GB2312" w:hAnsi="仿宋_GB2312" w:eastAsia="仿宋_GB2312" w:cs="仿宋_GB2312"/>
          <w:sz w:val="32"/>
          <w:szCs w:val="32"/>
          <w:lang w:val="en-US" w:eastAsia="zh-CN"/>
        </w:rPr>
        <w:t>本次勘查工作范围为得勒布钦金矿勘查区内，在前期工作基础上，在得勒布钦矿区54线及NW0、NW4线，利用钻探的工作手段，针对Ⅱ-5矿体、9号矿体开展探矿工作。本次针对</w:t>
      </w:r>
      <w:bookmarkStart w:id="1" w:name="_Hlk142760367"/>
      <w:r>
        <w:rPr>
          <w:rFonts w:hint="eastAsia" w:ascii="仿宋_GB2312" w:hAnsi="仿宋_GB2312" w:eastAsia="仿宋_GB2312" w:cs="仿宋_GB2312"/>
          <w:sz w:val="32"/>
          <w:szCs w:val="32"/>
          <w:lang w:val="en-US" w:eastAsia="zh-CN"/>
        </w:rPr>
        <w:t>Ⅱ-5号矿体</w:t>
      </w:r>
      <w:bookmarkEnd w:id="1"/>
      <w:r>
        <w:rPr>
          <w:rFonts w:hint="eastAsia" w:ascii="仿宋_GB2312" w:hAnsi="仿宋_GB2312" w:eastAsia="仿宋_GB2312" w:cs="仿宋_GB2312"/>
          <w:sz w:val="32"/>
          <w:szCs w:val="32"/>
          <w:lang w:val="en-US" w:eastAsia="zh-CN"/>
        </w:rPr>
        <w:t>布置钻探工程2孔（预留1孔），工程量300m（预留1孔工程量300m）；9号矿体布置钻探工程2孔，工程量240m。用地性质均为临时用地，用地面积合计7977.89m</w:t>
      </w:r>
      <w:r>
        <w:rPr>
          <w:rFonts w:hint="eastAsia" w:ascii="仿宋_GB2312" w:hAnsi="仿宋_GB2312" w:eastAsia="仿宋_GB2312" w:cs="仿宋_GB2312"/>
          <w:sz w:val="32"/>
          <w:szCs w:val="32"/>
          <w:vertAlign w:val="superscript"/>
          <w:lang w:val="en-US" w:eastAsia="zh-CN"/>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zh-CN" w:bidi="ar"/>
        </w:rPr>
        <w:t>已取得西乌旗林业和草原局相关批复文件。</w:t>
      </w:r>
      <w:r>
        <w:rPr>
          <w:rFonts w:hint="eastAsia" w:ascii="仿宋_GB2312" w:hAnsi="仿宋_GB2312" w:eastAsia="仿宋_GB2312" w:cs="仿宋_GB2312"/>
          <w:sz w:val="32"/>
          <w:szCs w:val="32"/>
          <w:lang w:val="en-US" w:eastAsia="zh-CN"/>
        </w:rPr>
        <w:t>场地内设柴油暂存区1处、原料区1处、表土堆放区1处，不设施工营地，施工人员租用附近牧民房屋。外部进场道路依托现有草原道路，路面宽约5m，本次勘查征占3条临时进场道路合计约1500m，占地总面积为7497.89m</w:t>
      </w:r>
      <w:r>
        <w:rPr>
          <w:rFonts w:hint="eastAsia" w:ascii="仿宋_GB2312" w:hAnsi="仿宋_GB2312" w:eastAsia="仿宋_GB2312" w:cs="仿宋_GB2312"/>
          <w:sz w:val="32"/>
          <w:szCs w:val="32"/>
          <w:vertAlign w:val="superscript"/>
          <w:lang w:val="en-US" w:eastAsia="zh-CN"/>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color w:val="auto"/>
          <w:sz w:val="32"/>
          <w:szCs w:val="32"/>
          <w:highlight w:val="none"/>
          <w:lang w:val="en-US" w:eastAsia="zh-CN"/>
        </w:rPr>
        <w:t>该项目劳动定员8人，实行每天8小时工作制，野外勘查期2个月，共60天。项目总投资157.97万元，其中环保投资20万元，占总投资的12.6%。</w:t>
      </w:r>
    </w:p>
    <w:p w14:paraId="55E1093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《报告表》认为，</w:t>
      </w:r>
      <w:r>
        <w:rPr>
          <w:rFonts w:hint="eastAsia" w:ascii="仿宋_GB2312" w:hAnsi="仿宋_GB2312" w:eastAsia="仿宋_GB2312" w:cs="仿宋_GB2312"/>
          <w:color w:val="auto"/>
          <w:kern w:val="2"/>
          <w:sz w:val="32"/>
          <w:szCs w:val="32"/>
          <w:lang w:val="en-US" w:eastAsia="zh-CN" w:bidi="ar-SA"/>
        </w:rPr>
        <w:t>对照《产业结构调整指导目录》(2024 年本)(中华人民共和国国家发展和改革委员会令第7号)中的相关规定，不属于《产业结构调整指导目录(2024年本)》中限制和淘汰类项目，属于允许类，符合国家产业政策。</w:t>
      </w:r>
      <w:r>
        <w:rPr>
          <w:rFonts w:hint="default" w:ascii="仿宋_GB2312" w:hAnsi="仿宋_GB2312" w:eastAsia="仿宋_GB2312" w:cs="仿宋_GB2312"/>
          <w:color w:val="auto"/>
          <w:kern w:val="2"/>
          <w:sz w:val="32"/>
          <w:szCs w:val="32"/>
          <w:lang w:val="en-US" w:eastAsia="zh-CN" w:bidi="ar-SA"/>
        </w:rPr>
        <w:t>项目位于内蒙古锡林郭勒盟西乌珠穆沁旗吉仁高勒镇扎格斯台嘎查</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根据西乌珠穆沁旗自然资源局《关于西乌珠穆沁旗道伦达坝铜矿开发有限公司</w:t>
      </w:r>
      <w:r>
        <w:rPr>
          <w:rFonts w:hint="eastAsia" w:ascii="仿宋_GB2312" w:hAnsi="仿宋_GB2312" w:eastAsia="仿宋_GB2312" w:cs="仿宋_GB2312"/>
          <w:color w:val="auto"/>
          <w:sz w:val="32"/>
          <w:szCs w:val="32"/>
          <w:highlight w:val="none"/>
          <w:lang w:val="en-US" w:eastAsia="zh-CN"/>
        </w:rPr>
        <w:t>得勒布钦金矿区勘查项目</w:t>
      </w:r>
      <w:r>
        <w:rPr>
          <w:rFonts w:hint="default" w:ascii="仿宋_GB2312" w:hAnsi="仿宋_GB2312" w:eastAsia="仿宋_GB2312" w:cs="仿宋_GB2312"/>
          <w:color w:val="auto"/>
          <w:kern w:val="2"/>
          <w:sz w:val="32"/>
          <w:szCs w:val="32"/>
          <w:lang w:val="en-US" w:eastAsia="zh-CN" w:bidi="ar-SA"/>
        </w:rPr>
        <w:t>是否位于生态保护红线范围内的复函》，结合内蒙古自治区“三线一单”公众端应用平台查询结果，确认项目所在地不</w:t>
      </w:r>
      <w:r>
        <w:rPr>
          <w:rFonts w:hint="eastAsia" w:ascii="仿宋_GB2312" w:hAnsi="仿宋_GB2312" w:eastAsia="仿宋_GB2312" w:cs="仿宋_GB2312"/>
          <w:color w:val="auto"/>
          <w:kern w:val="2"/>
          <w:sz w:val="32"/>
          <w:szCs w:val="32"/>
          <w:lang w:val="en-US" w:eastAsia="zh-CN" w:bidi="ar-SA"/>
        </w:rPr>
        <w:t>在</w:t>
      </w:r>
      <w:r>
        <w:rPr>
          <w:rFonts w:hint="default" w:ascii="仿宋_GB2312" w:hAnsi="仿宋_GB2312" w:eastAsia="仿宋_GB2312" w:cs="仿宋_GB2312"/>
          <w:color w:val="auto"/>
          <w:kern w:val="2"/>
          <w:sz w:val="32"/>
          <w:szCs w:val="32"/>
          <w:lang w:val="en-US" w:eastAsia="zh-CN" w:bidi="ar-SA"/>
        </w:rPr>
        <w:t>生态保护红线范围内。</w:t>
      </w:r>
      <w:r>
        <w:rPr>
          <w:rFonts w:hint="eastAsia" w:ascii="仿宋_GB2312" w:hAnsi="仿宋_GB2312" w:eastAsia="仿宋_GB2312" w:cs="仿宋_GB2312"/>
          <w:color w:val="auto"/>
          <w:kern w:val="2"/>
          <w:sz w:val="32"/>
          <w:szCs w:val="32"/>
          <w:highlight w:val="none"/>
          <w:lang w:val="en-US" w:eastAsia="zh-CN" w:bidi="ar-SA"/>
        </w:rPr>
        <w:t>项目</w:t>
      </w:r>
      <w:r>
        <w:rPr>
          <w:rFonts w:hint="eastAsia" w:ascii="仿宋_GB2312" w:hAnsi="仿宋_GB2312" w:eastAsia="仿宋_GB2312" w:cs="仿宋_GB2312"/>
          <w:color w:val="auto"/>
          <w:sz w:val="32"/>
          <w:szCs w:val="32"/>
          <w:highlight w:val="none"/>
          <w:lang w:val="en-US" w:eastAsia="zh-CN"/>
        </w:rPr>
        <w:t>占用天然牧草地0.7978公顷，其中基本草原0.5297公顷</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sz w:val="32"/>
          <w:szCs w:val="32"/>
          <w:highlight w:val="none"/>
          <w:lang w:val="en-US" w:eastAsia="zh-CN"/>
        </w:rPr>
        <w:t>已取得西乌珠穆沁旗林业和草原局关于《内蒙古得勒布钦金矿区勘探项目临时占用草原的许可》（西林草临占字[2025]21号）</w:t>
      </w:r>
      <w:r>
        <w:rPr>
          <w:rFonts w:hint="eastAsia" w:ascii="仿宋_GB2312" w:hAnsi="仿宋_GB2312" w:eastAsia="仿宋_GB2312" w:cs="仿宋_GB2312"/>
          <w:color w:val="auto"/>
          <w:kern w:val="2"/>
          <w:sz w:val="32"/>
          <w:szCs w:val="32"/>
          <w:highlight w:val="none"/>
          <w:lang w:val="en-US" w:eastAsia="zh-CN" w:bidi="ar-SA"/>
        </w:rPr>
        <w:t>。项目勘探范围内不涉及各级各类自然保护地、国家地质公园、林地、湿地。项目探矿权范围不涉及各级文物保护单位和其他文物遗迹，不在历史文物限制开采区内</w:t>
      </w:r>
      <w:r>
        <w:rPr>
          <w:rFonts w:hint="eastAsia" w:ascii="仿宋_GB2312" w:hAnsi="仿宋_GB2312" w:eastAsia="仿宋_GB2312" w:cs="仿宋_GB2312"/>
          <w:sz w:val="32"/>
          <w:szCs w:val="32"/>
        </w:rPr>
        <w:t>通过对该项目“三线一单”符合性分析，项目的建设符合“生态保护红线、环境质量底线、资源利用上线及锡林郭勒盟生态环境准入清单”的相关管控要求。</w:t>
      </w:r>
    </w:p>
    <w:p w14:paraId="6976758A">
      <w:pPr>
        <w:keepNext w:val="0"/>
        <w:keepLines w:val="0"/>
        <w:pageBreakBefore w:val="0"/>
        <w:widowControl w:val="0"/>
        <w:kinsoku/>
        <w:wordWrap/>
        <w:overflowPunct/>
        <w:topLinePunct w:val="0"/>
        <w:bidi w:val="0"/>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二、项目在设计、建设和运营过程中应做好以下工作。</w:t>
      </w:r>
    </w:p>
    <w:p w14:paraId="44400715">
      <w:pPr>
        <w:pStyle w:val="21"/>
        <w:keepNext w:val="0"/>
        <w:keepLines w:val="0"/>
        <w:pageBreakBefore w:val="0"/>
        <w:widowControl w:val="0"/>
        <w:kinsoku/>
        <w:wordWrap/>
        <w:overflowPunct/>
        <w:topLinePunct w:val="0"/>
        <w:bidi w:val="0"/>
        <w:spacing w:line="600" w:lineRule="exact"/>
        <w:ind w:left="0" w:leftChars="0" w:firstLine="640" w:firstLineChars="200"/>
        <w:textAlignment w:val="auto"/>
      </w:pPr>
      <w:r>
        <w:rPr>
          <w:rFonts w:hint="eastAsia" w:ascii="仿宋_GB2312" w:hAnsi="仿宋_GB2312" w:eastAsia="仿宋_GB2312" w:cs="仿宋_GB2312"/>
          <w:sz w:val="32"/>
          <w:szCs w:val="32"/>
          <w:lang w:bidi="en-US"/>
        </w:rPr>
        <w:t>（一）严格落实各项</w:t>
      </w:r>
      <w:r>
        <w:rPr>
          <w:rFonts w:hint="eastAsia" w:ascii="仿宋_GB2312" w:hAnsi="仿宋_GB2312" w:eastAsia="仿宋_GB2312" w:cs="仿宋_GB2312"/>
          <w:sz w:val="32"/>
          <w:szCs w:val="32"/>
        </w:rPr>
        <w:t>大气污染防治措施。</w:t>
      </w:r>
      <w:r>
        <w:rPr>
          <w:rFonts w:hint="eastAsia" w:ascii="仿宋_GB2312" w:hAnsi="仿宋_GB2312" w:eastAsia="仿宋_GB2312" w:cs="仿宋_GB2312"/>
          <w:color w:val="000000" w:themeColor="text1"/>
          <w:kern w:val="0"/>
          <w:sz w:val="32"/>
          <w:szCs w:val="32"/>
          <w14:textFill>
            <w14:solidFill>
              <w14:schemeClr w14:val="tx1"/>
            </w14:solidFill>
          </w14:textFill>
        </w:rPr>
        <w:t>勘探期大气污染物主要是施工扬尘和钻探工作产生的柴油挥发的有机废气</w:t>
      </w:r>
      <w:r>
        <w:rPr>
          <w:rFonts w:hint="eastAsia" w:ascii="仿宋_GB2312" w:hAnsi="仿宋_GB2312" w:eastAsia="仿宋_GB2312" w:cs="仿宋_GB2312"/>
          <w:color w:val="000000" w:themeColor="text1"/>
          <w:kern w:val="0"/>
          <w:sz w:val="32"/>
          <w:szCs w:val="32"/>
          <w:lang w:val="en-US" w:eastAsia="zh-CN"/>
          <w14:textFill>
            <w14:solidFill>
              <w14:schemeClr w14:val="tx1"/>
            </w14:solidFill>
          </w14:textFill>
        </w:rPr>
        <w:t>等</w:t>
      </w:r>
      <w:r>
        <w:rPr>
          <w:rFonts w:hint="eastAsia" w:ascii="仿宋_GB2312" w:hAnsi="仿宋_GB2312" w:eastAsia="仿宋_GB2312" w:cs="仿宋_GB2312"/>
          <w:color w:val="000000" w:themeColor="text1"/>
          <w:kern w:val="0"/>
          <w:sz w:val="32"/>
          <w:szCs w:val="32"/>
          <w14:textFill>
            <w14:solidFill>
              <w14:schemeClr w14:val="tx1"/>
            </w14:solidFill>
          </w14:textFill>
        </w:rPr>
        <w:t>。施工单位应对施工场地</w:t>
      </w:r>
      <w:r>
        <w:rPr>
          <w:rFonts w:hint="eastAsia" w:ascii="仿宋_GB2312" w:hAnsi="仿宋_GB2312" w:eastAsia="仿宋_GB2312" w:cs="仿宋_GB2312"/>
          <w:color w:val="auto"/>
          <w:kern w:val="2"/>
          <w:sz w:val="32"/>
          <w:szCs w:val="32"/>
          <w:lang w:val="en-US" w:eastAsia="zh-CN" w:bidi="ar-SA"/>
        </w:rPr>
        <w:t>开挖土方采取苫盖措施，同时对工程区进行经常性的洒水；对于已完成的勘查点，应及时进行土方回填；探矿过程采取湿式作业方式，并设置洒水抑尘措施</w:t>
      </w:r>
      <w:r>
        <w:rPr>
          <w:rFonts w:hint="eastAsia" w:ascii="仿宋_GB2312" w:hAnsi="仿宋_GB2312" w:eastAsia="仿宋_GB2312" w:cs="仿宋_GB2312"/>
          <w:color w:val="000000" w:themeColor="text1"/>
          <w:kern w:val="0"/>
          <w:sz w:val="32"/>
          <w:szCs w:val="32"/>
          <w14:textFill>
            <w14:solidFill>
              <w14:schemeClr w14:val="tx1"/>
            </w14:solidFill>
          </w14:textFill>
        </w:rPr>
        <w:t>。探矿施工使用的柴油机组应采用符合国家相关检验标准且质量合格的机械设备，确保污染物达标排放。</w:t>
      </w:r>
    </w:p>
    <w:p w14:paraId="71716EFE">
      <w:pPr>
        <w:keepNext w:val="0"/>
        <w:keepLines w:val="0"/>
        <w:pageBreakBefore w:val="0"/>
        <w:widowControl w:val="0"/>
        <w:kinsoku/>
        <w:wordWrap/>
        <w:overflowPunct/>
        <w:topLinePunct w:val="0"/>
        <w:bidi w:val="0"/>
        <w:spacing w:line="600" w:lineRule="exact"/>
        <w:ind w:firstLine="640" w:firstLineChars="200"/>
        <w:textAlignment w:val="auto"/>
        <w:rPr>
          <w:rFonts w:hint="default" w:ascii="Times New Roman" w:eastAsia="仿宋_GB2312" w:cs="Times New Roman"/>
          <w:sz w:val="32"/>
          <w:szCs w:val="32"/>
          <w:lang w:val="en-US"/>
        </w:rPr>
      </w:pPr>
      <w:r>
        <w:rPr>
          <w:rFonts w:hint="eastAsia" w:ascii="仿宋_GB2312" w:hAnsi="仿宋_GB2312" w:eastAsia="仿宋_GB2312" w:cs="仿宋_GB2312"/>
          <w:sz w:val="32"/>
          <w:szCs w:val="32"/>
        </w:rPr>
        <w:t>（二）</w:t>
      </w:r>
      <w:r>
        <w:rPr>
          <w:rFonts w:hint="eastAsia" w:ascii="Times New Roman" w:eastAsia="仿宋_GB2312" w:cs="Times New Roman"/>
          <w:sz w:val="32"/>
          <w:szCs w:val="32"/>
        </w:rPr>
        <w:t>严格落实各项水污染防治措施。</w:t>
      </w:r>
      <w:r>
        <w:rPr>
          <w:rFonts w:hint="eastAsia" w:ascii="仿宋_GB2312" w:hAnsi="仿宋_GB2312" w:eastAsia="仿宋_GB2312" w:cs="仿宋_GB2312"/>
          <w:sz w:val="32"/>
          <w:szCs w:val="32"/>
        </w:rPr>
        <w:t>工程勘查期可能产生的水环境污染主要来自钻探泥浆废水（含涌水）和施工人员生活污水。建设单位应在现场设置泥浆罐，钻探过程中应将产生的涌水随钻探废水一起进入泥浆罐沉淀后回用于钻孔泥浆配置，有涌水时并且满足补水量后，不再进行补水，若涌水量大需另外再设置泥浆罐进行收集。钻孔废水循环使用，施工结束后泥浆和废水全部运往锡林浩特新业再生资源有限公司集中处理站处理，不得落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涌水经沉淀池沉淀后回用于钻探作业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柴油暂存区</w:t>
      </w:r>
      <w:r>
        <w:rPr>
          <w:rFonts w:hint="eastAsia" w:ascii="仿宋_GB2312" w:hAnsi="仿宋_GB2312" w:eastAsia="仿宋_GB2312" w:cs="仿宋_GB2312"/>
          <w:sz w:val="32"/>
          <w:szCs w:val="32"/>
          <w:lang w:val="en-US" w:eastAsia="zh-CN"/>
        </w:rPr>
        <w:t>要求地面铺设</w:t>
      </w:r>
      <w:r>
        <w:rPr>
          <w:rFonts w:hint="eastAsia" w:ascii="仿宋_GB2312" w:hAnsi="仿宋_GB2312" w:eastAsia="仿宋_GB2312" w:cs="仿宋_GB2312"/>
          <w:sz w:val="32"/>
          <w:szCs w:val="32"/>
        </w:rPr>
        <w:t>防渗系数≤10</w:t>
      </w:r>
      <w:r>
        <w:rPr>
          <w:rFonts w:hint="eastAsia" w:ascii="仿宋_GB2312" w:hAnsi="仿宋_GB2312" w:eastAsia="仿宋_GB2312" w:cs="仿宋_GB2312"/>
          <w:sz w:val="32"/>
          <w:szCs w:val="32"/>
          <w:vertAlign w:val="superscript"/>
        </w:rPr>
        <w:t>-10</w:t>
      </w:r>
      <w:r>
        <w:rPr>
          <w:rFonts w:hint="eastAsia" w:ascii="仿宋_GB2312" w:hAnsi="仿宋_GB2312" w:eastAsia="仿宋_GB2312" w:cs="仿宋_GB2312"/>
          <w:sz w:val="32"/>
          <w:szCs w:val="32"/>
        </w:rPr>
        <w:t>cm/s，防渗层为2mm厚高密度聚乙烯HDPE防渗</w:t>
      </w:r>
      <w:r>
        <w:rPr>
          <w:rFonts w:hint="eastAsia" w:ascii="仿宋_GB2312" w:hAnsi="仿宋_GB2312" w:eastAsia="仿宋_GB2312" w:cs="仿宋_GB2312"/>
          <w:sz w:val="32"/>
          <w:szCs w:val="32"/>
          <w:lang w:val="en-US" w:eastAsia="zh-CN"/>
        </w:rPr>
        <w:t>膜</w:t>
      </w:r>
      <w:r>
        <w:rPr>
          <w:rFonts w:hint="eastAsia" w:ascii="仿宋_GB2312" w:hAnsi="仿宋_GB2312" w:eastAsia="仿宋_GB2312" w:cs="仿宋_GB2312"/>
          <w:sz w:val="32"/>
          <w:szCs w:val="32"/>
        </w:rPr>
        <w:t>处理，</w:t>
      </w:r>
      <w:r>
        <w:rPr>
          <w:rFonts w:hint="eastAsia" w:ascii="仿宋_GB2312" w:hAnsi="仿宋_GB2312" w:eastAsia="仿宋_GB2312" w:cs="仿宋_GB2312"/>
          <w:sz w:val="32"/>
          <w:szCs w:val="32"/>
          <w:lang w:val="en-US" w:eastAsia="zh-CN"/>
        </w:rPr>
        <w:t>并配备足量的应急物资、设置消防沙池。</w:t>
      </w:r>
      <w:r>
        <w:rPr>
          <w:rFonts w:hint="default" w:ascii="仿宋_GB2312" w:hAnsi="仿宋_GB2312" w:eastAsia="仿宋_GB2312" w:cs="仿宋_GB2312"/>
          <w:color w:val="auto"/>
          <w:kern w:val="2"/>
          <w:sz w:val="32"/>
          <w:szCs w:val="32"/>
          <w:lang w:val="en-US" w:eastAsia="zh-CN" w:bidi="ar-SA"/>
        </w:rPr>
        <w:t>针对施工人员生活污水设置旱厕，</w:t>
      </w:r>
      <w:r>
        <w:rPr>
          <w:rFonts w:hint="eastAsia" w:ascii="仿宋_GB2312" w:hAnsi="仿宋_GB2312" w:eastAsia="仿宋_GB2312" w:cs="仿宋_GB2312"/>
          <w:color w:val="auto"/>
          <w:kern w:val="2"/>
          <w:sz w:val="32"/>
          <w:szCs w:val="32"/>
          <w:lang w:val="en-US" w:eastAsia="zh-CN" w:bidi="ar-SA"/>
        </w:rPr>
        <w:t>定期</w:t>
      </w:r>
      <w:r>
        <w:rPr>
          <w:rFonts w:hint="default" w:ascii="仿宋_GB2312" w:hAnsi="仿宋_GB2312" w:eastAsia="仿宋_GB2312" w:cs="仿宋_GB2312"/>
          <w:color w:val="auto"/>
          <w:kern w:val="2"/>
          <w:sz w:val="32"/>
          <w:szCs w:val="32"/>
          <w:lang w:val="en-US" w:eastAsia="zh-CN" w:bidi="ar-SA"/>
        </w:rPr>
        <w:t>收集</w:t>
      </w:r>
      <w:r>
        <w:rPr>
          <w:rFonts w:hint="eastAsia" w:ascii="仿宋_GB2312" w:hAnsi="仿宋_GB2312" w:eastAsia="仿宋_GB2312" w:cs="仿宋_GB2312"/>
          <w:color w:val="auto"/>
          <w:kern w:val="2"/>
          <w:sz w:val="32"/>
          <w:szCs w:val="32"/>
          <w:lang w:val="en-US" w:eastAsia="zh-CN" w:bidi="ar-SA"/>
        </w:rPr>
        <w:t>处置。</w:t>
      </w:r>
    </w:p>
    <w:p w14:paraId="580A8A5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eastAsia="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bidi="en-US"/>
        </w:rPr>
        <w:t>严格落实</w:t>
      </w:r>
      <w:r>
        <w:rPr>
          <w:rFonts w:hint="eastAsia" w:ascii="仿宋_GB2312" w:hAnsi="仿宋_GB2312" w:eastAsia="仿宋_GB2312" w:cs="仿宋_GB2312"/>
          <w:sz w:val="32"/>
          <w:szCs w:val="32"/>
        </w:rPr>
        <w:t>固体废物处理措施。项目勘探期产生的固体废弃物主要包括钻探泥浆、</w:t>
      </w:r>
      <w:r>
        <w:rPr>
          <w:rFonts w:hint="eastAsia" w:ascii="仿宋_GB2312" w:hAnsi="仿宋_GB2312" w:eastAsia="仿宋_GB2312" w:cs="仿宋_GB2312"/>
          <w:sz w:val="32"/>
          <w:szCs w:val="32"/>
          <w:lang w:val="en-US" w:eastAsia="zh-CN"/>
        </w:rPr>
        <w:t>废机油、</w:t>
      </w:r>
      <w:r>
        <w:rPr>
          <w:rFonts w:hint="eastAsia" w:ascii="仿宋_GB2312" w:hAnsi="仿宋_GB2312" w:eastAsia="仿宋_GB2312" w:cs="仿宋_GB2312"/>
          <w:sz w:val="32"/>
          <w:szCs w:val="32"/>
        </w:rPr>
        <w:t>建筑垃圾、生活垃圾</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在钻探作业中，建设单位应将钻探循环泥浆从钻孔返出后经管道引排至泥浆循环罐（泥浆不落地），通过沉淀处理后，上清液循环利用，不得外排。施工结束后泥浆和废水全部运往锡林浩特新业再生资源有限公司集中处理站处理，不得落地；</w:t>
      </w:r>
      <w:r>
        <w:rPr>
          <w:rFonts w:hint="eastAsia" w:ascii="仿宋_GB2312" w:hAnsi="仿宋_GB2312" w:eastAsia="仿宋_GB2312" w:cs="仿宋_GB2312"/>
          <w:color w:val="auto"/>
          <w:sz w:val="32"/>
          <w:szCs w:val="32"/>
          <w:highlight w:val="none"/>
          <w:lang w:val="en-US" w:eastAsia="zh-CN"/>
        </w:rPr>
        <w:t>废机油统一收集于废机油桶中，定期交由有资质单位处置；</w:t>
      </w:r>
      <w:r>
        <w:rPr>
          <w:rFonts w:hint="eastAsia" w:ascii="仿宋_GB2312" w:hAnsi="仿宋_GB2312" w:eastAsia="仿宋_GB2312" w:cs="仿宋_GB2312"/>
          <w:sz w:val="32"/>
          <w:szCs w:val="32"/>
        </w:rPr>
        <w:t>施工期建筑垃圾与生活垃圾应分类堆放、分别处置，禁止乱堆乱倒；勘探厂区应设置生活垃圾箱（桶），固定地点堆放，分类收集，及时运往指定垃圾场卫生填埋处理。</w:t>
      </w:r>
    </w:p>
    <w:p w14:paraId="377BCF1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严格落实生态环境保护措施。施工单位应在施工前对施工范围临时设施的布置要进行严格的审查，既少占草地，又方便施工；严格按照设计文件确定征占土地范围，进行地表植被的清理工作。施工前应对临时占地探矿区域表土剥离，占用的草地表层30cm土壤单独堆放，并设置截、排水沟、苫盖等措施，用于临时占地表土回覆；工程施工过程中，不允许将工程临时废渣随处乱排；场内运输车辆严格按照指定运输道路行驶，不得驶入其他植被区；加强对野生动植物的保护，禁止引种带有病虫害的植物。施工结束后，建设单位必须对施工破坏植被而造成裸露的土地立即整治利用，对钻孔进行封孔回填，尽量采用</w:t>
      </w:r>
      <w:r>
        <w:rPr>
          <w:rFonts w:hint="default" w:ascii="仿宋_GB2312" w:hAnsi="仿宋_GB2312" w:eastAsia="仿宋_GB2312" w:cs="仿宋_GB2312"/>
          <w:kern w:val="2"/>
          <w:sz w:val="32"/>
          <w:szCs w:val="32"/>
          <w:lang w:val="en-US" w:eastAsia="zh-CN" w:bidi="ar-SA"/>
        </w:rPr>
        <w:t>冰草、羊草、披碱草</w:t>
      </w:r>
      <w:r>
        <w:rPr>
          <w:rFonts w:hint="eastAsia" w:ascii="仿宋_GB2312" w:hAnsi="仿宋_GB2312" w:eastAsia="仿宋_GB2312" w:cs="仿宋_GB2312"/>
          <w:kern w:val="2"/>
          <w:sz w:val="32"/>
          <w:szCs w:val="32"/>
          <w:lang w:val="en-US" w:eastAsia="zh-CN" w:bidi="ar-SA"/>
        </w:rPr>
        <w:t>等当地乡土种进行植被恢复，重建与周边自然生态相协调的植物群落，保护和恢复区域生物多样性。</w:t>
      </w:r>
    </w:p>
    <w:p w14:paraId="71C4699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lang w:bidi="en-US"/>
        </w:rPr>
        <w:t>严格落实</w:t>
      </w:r>
      <w:r>
        <w:rPr>
          <w:rFonts w:hint="eastAsia" w:ascii="仿宋_GB2312" w:hAnsi="仿宋_GB2312" w:eastAsia="仿宋_GB2312" w:cs="仿宋_GB2312"/>
          <w:sz w:val="32"/>
          <w:szCs w:val="32"/>
        </w:rPr>
        <w:t>噪声防治措施。主要噪声源</w:t>
      </w: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钻机、柴油发电机、泥浆泵等机械设备运转时产生的噪声。施工单位必须选用符合国家有关标准的施工机具和运输车辆，尽量选用低噪声的施工机械和工艺，严格限制使用高噪设备；施工应严格控制高噪声施工设备运行时段，按照《建筑施工场界环境噪声排放标准》要求，严禁夜间22：00～6：00施工，避免因夜间施工扰民。</w:t>
      </w:r>
    </w:p>
    <w:p w14:paraId="70A09E5D">
      <w:pPr>
        <w:pStyle w:val="15"/>
        <w:keepNext w:val="0"/>
        <w:keepLines w:val="0"/>
        <w:pageBreakBefore w:val="0"/>
        <w:widowControl w:val="0"/>
        <w:kinsoku/>
        <w:wordWrap/>
        <w:overflowPunct/>
        <w:topLinePunct w:val="0"/>
        <w:bidi w:val="0"/>
        <w:adjustRightInd w:val="0"/>
        <w:snapToGrid w:val="0"/>
        <w:spacing w:line="600" w:lineRule="exact"/>
        <w:ind w:firstLine="64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三、项目建设必须严格执行环境保护设施与主体工程同时设计、同时施工、同时投入使用的环境保护“三同时”制度。</w:t>
      </w:r>
    </w:p>
    <w:p w14:paraId="6D763CB4">
      <w:pPr>
        <w:keepNext w:val="0"/>
        <w:keepLines w:val="0"/>
        <w:pageBreakBefore w:val="0"/>
        <w:widowControl w:val="0"/>
        <w:kinsoku/>
        <w:wordWrap/>
        <w:overflowPunct/>
        <w:topLinePunct w:val="0"/>
        <w:bidi w:val="0"/>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（一）要将环境保护措施纳入初步设计报告并落实环保设施投资概算。</w:t>
      </w:r>
    </w:p>
    <w:p w14:paraId="5275661C">
      <w:pPr>
        <w:keepNext w:val="0"/>
        <w:keepLines w:val="0"/>
        <w:pageBreakBefore w:val="0"/>
        <w:widowControl w:val="0"/>
        <w:kinsoku/>
        <w:wordWrap/>
        <w:overflowPunct/>
        <w:topLinePunct w:val="0"/>
        <w:bidi w:val="0"/>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（二）要将环境保护设施建设纳入施工合同，保证环境保护设施建设进度和资金。</w:t>
      </w:r>
    </w:p>
    <w:p w14:paraId="295194B5">
      <w:pPr>
        <w:keepNext w:val="0"/>
        <w:keepLines w:val="0"/>
        <w:pageBreakBefore w:val="0"/>
        <w:widowControl w:val="0"/>
        <w:kinsoku/>
        <w:wordWrap/>
        <w:overflowPunct/>
        <w:topLinePunct w:val="0"/>
        <w:bidi w:val="0"/>
        <w:spacing w:line="60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（三）项目竣工后须按规定程序实施竣工环境保护验收，验收合格后方可正式投运。</w:t>
      </w:r>
    </w:p>
    <w:p w14:paraId="06295F4F">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lang w:bidi="en-US"/>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bidi="en-US"/>
        </w:rPr>
        <w:t>我局委托锡林郭勒盟生态环境局西乌旗分局对该项目各项污染防治措施落实情况进行监督检查和管理。</w:t>
      </w:r>
    </w:p>
    <w:p w14:paraId="36B9EFBA">
      <w:pPr>
        <w:spacing w:line="560" w:lineRule="exact"/>
        <w:ind w:firstLine="4800" w:firstLineChars="1500"/>
        <w:rPr>
          <w:rFonts w:hint="eastAsia" w:ascii="仿宋_GB2312" w:hAnsi="仿宋_GB2312" w:eastAsia="仿宋_GB2312" w:cs="仿宋_GB2312"/>
          <w:sz w:val="32"/>
          <w:szCs w:val="32"/>
          <w:lang w:bidi="en-US"/>
        </w:rPr>
      </w:pPr>
    </w:p>
    <w:p w14:paraId="32456B4E">
      <w:pPr>
        <w:spacing w:line="560" w:lineRule="exact"/>
        <w:ind w:firstLine="4800" w:firstLineChars="1500"/>
        <w:rPr>
          <w:rFonts w:hint="eastAsia" w:ascii="仿宋_GB2312" w:hAnsi="仿宋_GB2312" w:eastAsia="仿宋_GB2312" w:cs="仿宋_GB2312"/>
          <w:sz w:val="32"/>
          <w:szCs w:val="32"/>
          <w:lang w:bidi="en-US"/>
        </w:rPr>
      </w:pPr>
      <w:bookmarkStart w:id="2" w:name="_GoBack"/>
      <w:bookmarkEnd w:id="2"/>
    </w:p>
    <w:p w14:paraId="7ABC9B83">
      <w:pPr>
        <w:spacing w:line="560" w:lineRule="exact"/>
        <w:ind w:firstLine="4800" w:firstLineChars="1500"/>
        <w:rPr>
          <w:rFonts w:hint="eastAsia" w:ascii="仿宋_GB2312" w:hAnsi="仿宋_GB2312" w:eastAsia="仿宋_GB2312" w:cs="仿宋_GB2312"/>
          <w:sz w:val="32"/>
          <w:szCs w:val="32"/>
          <w:lang w:bidi="en-US"/>
        </w:rPr>
      </w:pPr>
    </w:p>
    <w:p w14:paraId="1E1EA258">
      <w:pPr>
        <w:spacing w:line="560" w:lineRule="exact"/>
        <w:ind w:firstLine="4800" w:firstLineChars="1500"/>
        <w:rPr>
          <w:rFonts w:hint="eastAsia" w:ascii="仿宋_GB2312" w:hAnsi="仿宋_GB2312" w:eastAsia="仿宋_GB2312" w:cs="仿宋_GB2312"/>
          <w:sz w:val="32"/>
          <w:szCs w:val="32"/>
          <w:lang w:bidi="en-US"/>
        </w:rPr>
      </w:pPr>
    </w:p>
    <w:p w14:paraId="24A569D0">
      <w:pPr>
        <w:spacing w:line="560" w:lineRule="exact"/>
        <w:ind w:firstLine="4800" w:firstLineChars="1500"/>
        <w:rPr>
          <w:rFonts w:ascii="仿宋_GB2312" w:hAnsi="仿宋_GB2312" w:eastAsia="仿宋_GB2312" w:cs="仿宋_GB2312"/>
          <w:sz w:val="32"/>
          <w:szCs w:val="32"/>
        </w:rPr>
      </w:pPr>
      <w:r>
        <w:rPr>
          <w:rFonts w:hint="eastAsia" w:ascii="仿宋_GB2312" w:hAnsi="仿宋_GB2312" w:eastAsia="仿宋_GB2312" w:cs="仿宋_GB2312"/>
          <w:sz w:val="32"/>
          <w:szCs w:val="32"/>
          <w:lang w:bidi="en-US"/>
        </w:rPr>
        <w:t>锡林郭勒盟生态环境局</w:t>
      </w:r>
    </w:p>
    <w:p w14:paraId="5E06487C">
      <w:pPr>
        <w:spacing w:line="560" w:lineRule="exact"/>
        <w:ind w:firstLine="5280" w:firstLineChars="16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日</w:t>
      </w:r>
    </w:p>
    <w:p w14:paraId="65FBA23C">
      <w:pPr>
        <w:pStyle w:val="2"/>
        <w:rPr>
          <w:rFonts w:hint="eastAsia" w:ascii="仿宋_GB2312" w:hAnsi="仿宋_GB2312" w:eastAsia="仿宋_GB2312" w:cs="仿宋_GB2312"/>
          <w:sz w:val="32"/>
          <w:szCs w:val="32"/>
        </w:rPr>
      </w:pPr>
    </w:p>
    <w:p w14:paraId="7C0D7F13">
      <w:pPr>
        <w:pStyle w:val="2"/>
        <w:rPr>
          <w:rFonts w:hint="eastAsia" w:ascii="仿宋_GB2312" w:hAnsi="仿宋_GB2312" w:eastAsia="仿宋_GB2312" w:cs="仿宋_GB2312"/>
          <w:sz w:val="32"/>
          <w:szCs w:val="32"/>
        </w:rPr>
      </w:pPr>
    </w:p>
    <w:p w14:paraId="22B2D14C">
      <w:pPr>
        <w:pStyle w:val="2"/>
        <w:rPr>
          <w:rFonts w:hint="eastAsia" w:ascii="仿宋_GB2312" w:hAnsi="仿宋_GB2312" w:eastAsia="仿宋_GB2312" w:cs="仿宋_GB2312"/>
          <w:sz w:val="32"/>
          <w:szCs w:val="32"/>
        </w:rPr>
      </w:pPr>
    </w:p>
    <w:p w14:paraId="2708ECFE">
      <w:pPr>
        <w:pStyle w:val="2"/>
        <w:rPr>
          <w:rFonts w:hint="eastAsia" w:ascii="仿宋_GB2312" w:hAnsi="仿宋_GB2312" w:eastAsia="仿宋_GB2312" w:cs="仿宋_GB2312"/>
          <w:sz w:val="32"/>
          <w:szCs w:val="32"/>
        </w:rPr>
      </w:pPr>
    </w:p>
    <w:p w14:paraId="13FBE0BE">
      <w:pPr>
        <w:pStyle w:val="2"/>
        <w:rPr>
          <w:rFonts w:hint="eastAsia" w:ascii="仿宋_GB2312" w:hAnsi="仿宋_GB2312" w:eastAsia="仿宋_GB2312" w:cs="仿宋_GB2312"/>
          <w:sz w:val="32"/>
          <w:szCs w:val="32"/>
        </w:rPr>
      </w:pPr>
    </w:p>
    <w:p w14:paraId="0849A5DB">
      <w:pPr>
        <w:pStyle w:val="2"/>
        <w:rPr>
          <w:rFonts w:hint="eastAsia" w:ascii="仿宋_GB2312" w:hAnsi="仿宋_GB2312" w:eastAsia="仿宋_GB2312" w:cs="仿宋_GB2312"/>
          <w:sz w:val="32"/>
          <w:szCs w:val="32"/>
        </w:rPr>
      </w:pPr>
    </w:p>
    <w:p w14:paraId="3D3E9B61">
      <w:pPr>
        <w:pStyle w:val="2"/>
        <w:rPr>
          <w:rFonts w:hint="eastAsia" w:ascii="仿宋_GB2312" w:hAnsi="仿宋_GB2312" w:eastAsia="仿宋_GB2312" w:cs="仿宋_GB2312"/>
          <w:sz w:val="32"/>
          <w:szCs w:val="32"/>
        </w:rPr>
      </w:pPr>
    </w:p>
    <w:p w14:paraId="59237B43">
      <w:pPr>
        <w:pStyle w:val="2"/>
        <w:rPr>
          <w:rFonts w:hint="eastAsia" w:ascii="仿宋_GB2312" w:hAnsi="仿宋_GB2312" w:eastAsia="仿宋_GB2312" w:cs="仿宋_GB2312"/>
          <w:sz w:val="32"/>
          <w:szCs w:val="32"/>
        </w:rPr>
      </w:pPr>
    </w:p>
    <w:p w14:paraId="11B822F3">
      <w:pPr>
        <w:spacing w:line="560" w:lineRule="exact"/>
        <w:rPr>
          <w:rFonts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5C041A9B">
      <w:pPr>
        <w:pBdr>
          <w:top w:val="single" w:color="auto" w:sz="4" w:space="1"/>
          <w:bottom w:val="single" w:color="auto" w:sz="4" w:space="1"/>
        </w:pBdr>
        <w:spacing w:line="560" w:lineRule="exact"/>
        <w:rPr>
          <w:rFonts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锡林郭勒盟生态环境局办公室          202</w:t>
      </w:r>
      <w:r>
        <w:rPr>
          <w:rFonts w:hint="eastAsia" w:ascii="仿宋_GB2312" w:hAnsi="仿宋_GB2312" w:eastAsia="仿宋_GB2312" w:cs="仿宋_GB2312"/>
          <w:spacing w:val="-2"/>
          <w:w w:val="90"/>
          <w:sz w:val="32"/>
          <w:szCs w:val="32"/>
          <w:lang w:val="en-US" w:eastAsia="zh-CN"/>
        </w:rPr>
        <w:t>5</w:t>
      </w:r>
      <w:r>
        <w:rPr>
          <w:rFonts w:hint="eastAsia" w:ascii="仿宋_GB2312" w:hAnsi="仿宋_GB2312" w:eastAsia="仿宋_GB2312" w:cs="仿宋_GB2312"/>
          <w:spacing w:val="-2"/>
          <w:w w:val="90"/>
          <w:sz w:val="32"/>
          <w:szCs w:val="32"/>
        </w:rPr>
        <w:t>年</w:t>
      </w:r>
      <w:r>
        <w:rPr>
          <w:rFonts w:hint="eastAsia" w:ascii="仿宋_GB2312" w:hAnsi="仿宋_GB2312" w:eastAsia="仿宋_GB2312" w:cs="仿宋_GB2312"/>
          <w:spacing w:val="-2"/>
          <w:w w:val="90"/>
          <w:sz w:val="32"/>
          <w:szCs w:val="32"/>
          <w:lang w:val="en-US" w:eastAsia="zh-CN"/>
        </w:rPr>
        <w:t>7</w:t>
      </w:r>
      <w:r>
        <w:rPr>
          <w:rFonts w:hint="eastAsia" w:ascii="仿宋_GB2312" w:hAnsi="仿宋_GB2312" w:eastAsia="仿宋_GB2312" w:cs="仿宋_GB2312"/>
          <w:spacing w:val="-2"/>
          <w:w w:val="90"/>
          <w:sz w:val="32"/>
          <w:szCs w:val="32"/>
        </w:rPr>
        <w:t>月</w:t>
      </w:r>
      <w:r>
        <w:rPr>
          <w:rFonts w:hint="eastAsia" w:ascii="仿宋_GB2312" w:hAnsi="仿宋_GB2312" w:eastAsia="仿宋_GB2312" w:cs="仿宋_GB2312"/>
          <w:spacing w:val="-2"/>
          <w:w w:val="90"/>
          <w:sz w:val="32"/>
          <w:szCs w:val="32"/>
          <w:lang w:val="en-US" w:eastAsia="zh-CN"/>
        </w:rPr>
        <w:t>18</w:t>
      </w:r>
      <w:r>
        <w:rPr>
          <w:rFonts w:hint="eastAsia" w:ascii="仿宋_GB2312" w:hAnsi="仿宋_GB2312" w:eastAsia="仿宋_GB2312" w:cs="仿宋_GB2312"/>
          <w:spacing w:val="-2"/>
          <w:w w:val="90"/>
          <w:sz w:val="32"/>
          <w:szCs w:val="32"/>
        </w:rPr>
        <w:t>日印发</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兰亭黑_GBK">
    <w:altName w:val="微软雅黑"/>
    <w:panose1 w:val="00000000000000000000"/>
    <w:charset w:val="86"/>
    <w:family w:val="script"/>
    <w:pitch w:val="default"/>
    <w:sig w:usb0="00000000" w:usb1="00000000" w:usb2="0008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Unicode MS">
    <w:altName w:val="Malgun Gothic Semilight"/>
    <w:panose1 w:val="020B0604020202020204"/>
    <w:charset w:val="86"/>
    <w:family w:val="auto"/>
    <w:pitch w:val="default"/>
    <w:sig w:usb0="00000000" w:usb1="00000000" w:usb2="0000003F" w:usb3="00000000" w:csb0="603F01FF" w:csb1="FFFF0000"/>
  </w:font>
  <w:font w:name="Malgun Gothic Semilight">
    <w:panose1 w:val="020B0502040204020203"/>
    <w:charset w:val="86"/>
    <w:family w:val="auto"/>
    <w:pitch w:val="default"/>
    <w:sig w:usb0="900002AF" w:usb1="01D77CFB" w:usb2="00000012" w:usb3="00000000" w:csb0="203E01BD" w:csb1="D7FF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2000000000000000000"/>
    <w:charset w:val="86"/>
    <w:family w:val="script"/>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36FFFC"/>
    <w:multiLevelType w:val="singleLevel"/>
    <w:tmpl w:val="7436FFFC"/>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U3ZmEwNDIzNjk0ZmFmNzQwYWZkZWY1MGM3N2JmMjMifQ=="/>
    <w:docVar w:name="KSO_WPS_MARK_KEY" w:val="09d15ec7-0bf2-44f8-8c61-ef6b5d062c09"/>
  </w:docVars>
  <w:rsids>
    <w:rsidRoot w:val="00BB6826"/>
    <w:rsid w:val="00211F59"/>
    <w:rsid w:val="003E6A2C"/>
    <w:rsid w:val="0041092A"/>
    <w:rsid w:val="004E73DC"/>
    <w:rsid w:val="00BB6826"/>
    <w:rsid w:val="00C24A33"/>
    <w:rsid w:val="094F4D5A"/>
    <w:rsid w:val="24EA60F0"/>
    <w:rsid w:val="272322F7"/>
    <w:rsid w:val="28C478E9"/>
    <w:rsid w:val="29A50308"/>
    <w:rsid w:val="33080511"/>
    <w:rsid w:val="3416496E"/>
    <w:rsid w:val="3F6C2921"/>
    <w:rsid w:val="425E2867"/>
    <w:rsid w:val="42C615B8"/>
    <w:rsid w:val="453F38A4"/>
    <w:rsid w:val="475E26BE"/>
    <w:rsid w:val="48733940"/>
    <w:rsid w:val="4B8509C1"/>
    <w:rsid w:val="4BFC403B"/>
    <w:rsid w:val="4DA028C8"/>
    <w:rsid w:val="4F93316A"/>
    <w:rsid w:val="50B475C5"/>
    <w:rsid w:val="51AD2550"/>
    <w:rsid w:val="5AF96D93"/>
    <w:rsid w:val="5E9E35AD"/>
    <w:rsid w:val="61001FE0"/>
    <w:rsid w:val="63687AEE"/>
    <w:rsid w:val="64682077"/>
    <w:rsid w:val="66CB1EF3"/>
    <w:rsid w:val="691E480E"/>
    <w:rsid w:val="6DF70C7A"/>
    <w:rsid w:val="78387840"/>
    <w:rsid w:val="7B1F5E6F"/>
    <w:rsid w:val="7BB57CD1"/>
    <w:rsid w:val="7E5F30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Times New Roman" w:eastAsia="等线" w:cs="Arial"/>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qFormat/>
    <w:uiPriority w:val="0"/>
    <w:pPr>
      <w:keepNext/>
      <w:keepLines/>
      <w:spacing w:before="260" w:after="260" w:line="415" w:lineRule="auto"/>
      <w:outlineLvl w:val="2"/>
    </w:pPr>
    <w:rPr>
      <w:b/>
      <w:bCs/>
      <w:sz w:val="32"/>
      <w:szCs w:val="32"/>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qFormat/>
    <w:uiPriority w:val="0"/>
    <w:pPr>
      <w:spacing w:line="600" w:lineRule="exact"/>
      <w:ind w:firstLine="600"/>
    </w:pPr>
    <w:rPr>
      <w:rFonts w:ascii="Times New Roman" w:eastAsia="仿宋" w:cs="Times New Roman"/>
      <w:color w:val="000000"/>
      <w:sz w:val="30"/>
    </w:rPr>
  </w:style>
  <w:style w:type="paragraph" w:styleId="6">
    <w:name w:val="E-mail Signature"/>
    <w:basedOn w:val="1"/>
    <w:next w:val="7"/>
    <w:qFormat/>
    <w:uiPriority w:val="0"/>
    <w:pPr>
      <w:spacing w:line="460" w:lineRule="exact"/>
      <w:ind w:firstLine="200"/>
    </w:pPr>
    <w:rPr>
      <w:sz w:val="24"/>
    </w:rPr>
  </w:style>
  <w:style w:type="paragraph" w:customStyle="1" w:styleId="7">
    <w:name w:val="文章"/>
    <w:basedOn w:val="8"/>
    <w:next w:val="10"/>
    <w:qFormat/>
    <w:uiPriority w:val="0"/>
    <w:pPr>
      <w:widowControl/>
      <w:jc w:val="center"/>
    </w:pPr>
    <w:rPr>
      <w:sz w:val="26"/>
    </w:rPr>
  </w:style>
  <w:style w:type="paragraph" w:styleId="8">
    <w:name w:val="Body Text Indent"/>
    <w:basedOn w:val="1"/>
    <w:next w:val="9"/>
    <w:qFormat/>
    <w:uiPriority w:val="0"/>
    <w:pPr>
      <w:spacing w:after="120"/>
      <w:ind w:left="200" w:leftChars="200"/>
    </w:pPr>
    <w:rPr>
      <w:rFonts w:ascii="Times New Roman" w:eastAsia="宋体" w:cs="Times New Roman"/>
      <w:szCs w:val="24"/>
    </w:rPr>
  </w:style>
  <w:style w:type="paragraph" w:styleId="9">
    <w:name w:val="Body Text First Indent 2"/>
    <w:basedOn w:val="8"/>
    <w:next w:val="1"/>
    <w:qFormat/>
    <w:uiPriority w:val="0"/>
    <w:pPr>
      <w:adjustRightInd w:val="0"/>
      <w:ind w:firstLine="420"/>
      <w:textAlignment w:val="baseline"/>
    </w:pPr>
    <w:rPr>
      <w:rFonts w:ascii="宋体"/>
      <w:sz w:val="18"/>
      <w:szCs w:val="18"/>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
    <w:qFormat/>
    <w:uiPriority w:val="0"/>
    <w:pPr>
      <w:ind w:firstLine="200" w:firstLineChars="200"/>
    </w:pPr>
    <w:rPr>
      <w:rFonts w:ascii="Times New Roman" w:eastAsia="宋体" w:cs="Times New Roman"/>
    </w:rPr>
  </w:style>
  <w:style w:type="paragraph" w:styleId="16">
    <w:name w:val="annotation text"/>
    <w:basedOn w:val="1"/>
    <w:qFormat/>
    <w:uiPriority w:val="0"/>
    <w:pPr>
      <w:jc w:val="left"/>
    </w:pPr>
  </w:style>
  <w:style w:type="paragraph" w:styleId="17">
    <w:name w:val="Body Text"/>
    <w:basedOn w:val="1"/>
    <w:next w:val="1"/>
    <w:qFormat/>
    <w:uiPriority w:val="0"/>
    <w:pPr>
      <w:spacing w:after="120"/>
    </w:pPr>
    <w:rPr>
      <w:rFonts w:ascii="Times New Roman" w:eastAsia="宋体"/>
      <w:szCs w:val="24"/>
    </w:rPr>
  </w:style>
  <w:style w:type="paragraph" w:styleId="18">
    <w:name w:val="footer"/>
    <w:basedOn w:val="1"/>
    <w:next w:val="1"/>
    <w:qFormat/>
    <w:uiPriority w:val="0"/>
    <w:pPr>
      <w:tabs>
        <w:tab w:val="center" w:pos="4153"/>
        <w:tab w:val="right" w:pos="8306"/>
      </w:tabs>
      <w:snapToGrid w:val="0"/>
      <w:jc w:val="left"/>
    </w:pPr>
    <w:rPr>
      <w:rFonts w:ascii="Times New Roman" w:eastAsia="宋体" w:cs="Times New Roman"/>
      <w:sz w:val="18"/>
    </w:rPr>
  </w:style>
  <w:style w:type="paragraph" w:styleId="19">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0"/>
    <w:pPr>
      <w:tabs>
        <w:tab w:val="left" w:pos="284"/>
        <w:tab w:val="right" w:leader="dot" w:pos="8296"/>
      </w:tabs>
    </w:pPr>
  </w:style>
  <w:style w:type="paragraph" w:styleId="21">
    <w:name w:val="toc 2"/>
    <w:basedOn w:val="1"/>
    <w:next w:val="1"/>
    <w:qFormat/>
    <w:uiPriority w:val="0"/>
    <w:pPr>
      <w:ind w:left="200" w:leftChars="200"/>
    </w:pPr>
    <w:rPr>
      <w:rFonts w:ascii="Times New Roman" w:eastAsia="宋体" w:cs="Times New Roman"/>
    </w:rPr>
  </w:style>
  <w:style w:type="paragraph" w:styleId="22">
    <w:name w:val="Normal (Web)"/>
    <w:basedOn w:val="1"/>
    <w:qFormat/>
    <w:uiPriority w:val="0"/>
    <w:pPr>
      <w:spacing w:beforeAutospacing="1" w:afterAutospacing="1"/>
      <w:jc w:val="left"/>
    </w:pPr>
    <w:rPr>
      <w:rFonts w:ascii="Times New Roman" w:eastAsia="宋体" w:cs="Times New Roman"/>
      <w:kern w:val="0"/>
      <w:sz w:val="24"/>
    </w:rPr>
  </w:style>
  <w:style w:type="paragraph" w:styleId="23">
    <w:name w:val="Body Text First Indent"/>
    <w:basedOn w:val="17"/>
    <w:next w:val="1"/>
    <w:qFormat/>
    <w:uiPriority w:val="0"/>
    <w:pPr>
      <w:spacing w:before="120" w:after="240"/>
      <w:ind w:firstLine="100" w:firstLineChars="100"/>
    </w:pPr>
    <w:rPr>
      <w:rFonts w:ascii="宋体"/>
      <w:szCs w:val="28"/>
    </w:rPr>
  </w:style>
  <w:style w:type="character" w:styleId="26">
    <w:name w:val="Hyperlink"/>
    <w:basedOn w:val="25"/>
    <w:qFormat/>
    <w:uiPriority w:val="0"/>
    <w:rPr>
      <w:color w:val="0563C1"/>
      <w:u w:val="single"/>
    </w:rPr>
  </w:style>
  <w:style w:type="paragraph" w:customStyle="1" w:styleId="27">
    <w:name w:val="表格文字"/>
    <w:basedOn w:val="28"/>
    <w:next w:val="1"/>
    <w:qFormat/>
    <w:uiPriority w:val="0"/>
    <w:pPr>
      <w:jc w:val="center"/>
    </w:pPr>
    <w:rPr>
      <w:rFonts w:ascii="Times New Roman" w:eastAsia="楷体" w:cs="Times New Roman"/>
      <w:w w:val="95"/>
      <w:sz w:val="24"/>
    </w:rPr>
  </w:style>
  <w:style w:type="paragraph" w:customStyle="1" w:styleId="28">
    <w:name w:val="表格编号"/>
    <w:basedOn w:val="1"/>
    <w:next w:val="27"/>
    <w:qFormat/>
    <w:uiPriority w:val="0"/>
    <w:pPr>
      <w:snapToGrid w:val="0"/>
      <w:spacing w:line="20" w:lineRule="atLeast"/>
    </w:pPr>
  </w:style>
  <w:style w:type="paragraph" w:styleId="29">
    <w:name w:val="Intense Quote"/>
    <w:next w:val="1"/>
    <w:qFormat/>
    <w:uiPriority w:val="0"/>
    <w:pPr>
      <w:wordWrap w:val="0"/>
      <w:spacing w:before="360" w:after="360"/>
      <w:ind w:left="950" w:right="950"/>
      <w:jc w:val="center"/>
    </w:pPr>
    <w:rPr>
      <w:rFonts w:ascii="Times New Roman" w:hAnsi="Times New Roman" w:eastAsia="宋体" w:cs="Times New Roman"/>
      <w:i/>
      <w:sz w:val="21"/>
      <w:lang w:val="en-US" w:eastAsia="zh-CN" w:bidi="ar-SA"/>
    </w:rPr>
  </w:style>
  <w:style w:type="paragraph" w:customStyle="1" w:styleId="30">
    <w:name w:val="xl27"/>
    <w:basedOn w:val="1"/>
    <w:qFormat/>
    <w:uiPriority w:val="0"/>
    <w:pPr>
      <w:widowControl/>
      <w:spacing w:before="100" w:beforeAutospacing="1" w:after="100" w:afterAutospacing="1"/>
      <w:jc w:val="center"/>
      <w:textAlignment w:val="center"/>
    </w:pPr>
    <w:rPr>
      <w:rFonts w:ascii="Arial Unicode MS" w:hAnsi="Arial Unicode MS" w:eastAsia="Arial Unicode MS"/>
      <w:bCs/>
      <w:kern w:val="0"/>
      <w:sz w:val="20"/>
      <w:szCs w:val="32"/>
    </w:rPr>
  </w:style>
  <w:style w:type="character" w:customStyle="1" w:styleId="31">
    <w:name w:val="未处理的提及1"/>
    <w:basedOn w:val="25"/>
    <w:qFormat/>
    <w:uiPriority w:val="0"/>
    <w:rPr>
      <w:color w:val="605E5C"/>
      <w:shd w:val="clear" w:color="auto" w:fill="E1DFDD"/>
    </w:rPr>
  </w:style>
  <w:style w:type="paragraph" w:customStyle="1" w:styleId="3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3">
    <w:name w:val="【正文】"/>
    <w:basedOn w:val="1"/>
    <w:qFormat/>
    <w:uiPriority w:val="0"/>
    <w:pPr>
      <w:spacing w:line="500" w:lineRule="exact"/>
      <w:ind w:firstLine="200" w:firstLineChars="200"/>
    </w:pPr>
    <w:rPr>
      <w:sz w:val="24"/>
      <w:szCs w:val="20"/>
    </w:rPr>
  </w:style>
  <w:style w:type="paragraph" w:customStyle="1" w:styleId="34">
    <w:name w:val="1正文"/>
    <w:basedOn w:val="1"/>
    <w:qFormat/>
    <w:uiPriority w:val="0"/>
    <w:pPr>
      <w:ind w:firstLine="200"/>
    </w:pPr>
    <w:rPr>
      <w:rFonts w:ascii="Calibri" w:hAnsi="Calibri"/>
    </w:rPr>
  </w:style>
  <w:style w:type="paragraph" w:customStyle="1" w:styleId="35">
    <w:name w:val="样式5"/>
    <w:basedOn w:val="1"/>
    <w:qFormat/>
    <w:uiPriority w:val="0"/>
    <w:pPr>
      <w:snapToGrid w:val="0"/>
      <w:spacing w:line="360" w:lineRule="auto"/>
      <w:ind w:firstLine="510"/>
    </w:pPr>
    <w:rPr>
      <w:rFonts w:cs="Times New Roman"/>
      <w:sz w:val="24"/>
      <w:szCs w:val="24"/>
    </w:rPr>
  </w:style>
  <w:style w:type="paragraph" w:customStyle="1" w:styleId="36">
    <w:name w:val="文章正文"/>
    <w:basedOn w:val="1"/>
    <w:qFormat/>
    <w:uiPriority w:val="0"/>
    <w:pPr>
      <w:spacing w:line="440" w:lineRule="exact"/>
      <w:ind w:firstLine="600" w:firstLineChars="200"/>
    </w:pPr>
    <w:rPr>
      <w:kern w:val="0"/>
      <w:sz w:val="24"/>
    </w:rPr>
  </w:style>
  <w:style w:type="paragraph" w:customStyle="1" w:styleId="37">
    <w:name w:val="高-正文"/>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2356</Words>
  <Characters>2445</Characters>
  <Lines>13</Lines>
  <Paragraphs>3</Paragraphs>
  <TotalTime>1</TotalTime>
  <ScaleCrop>false</ScaleCrop>
  <LinksUpToDate>false</LinksUpToDate>
  <CharactersWithSpaces>2456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2023-01-29T20:14:00Z</dcterms:created>
  <dc:creator>hui hui</dc:creator>
  <cp:lastModifiedBy>WPS_1696990880</cp:lastModifiedBy>
  <dcterms:modified xsi:type="dcterms:W3CDTF">2025-07-17T07:24:48Z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B172F47863E245CC971C4F156010A0D8_13</vt:lpwstr>
  </property>
  <property fmtid="{D5CDD505-2E9C-101B-9397-08002B2CF9AE}" pid="4" name="KSOTemplateDocerSaveRecord">
    <vt:lpwstr>eyJoZGlkIjoiMjU3ZmEwNDIzNjk0ZmFmNzQwYWZkZWY1MGM3N2JmMjMiLCJ1c2VySWQiOiIxNTQ4NTk0MzkyIn0=</vt:lpwstr>
  </property>
</Properties>
</file>