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7"/>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29</w:t>
      </w:r>
      <w:r>
        <w:rPr>
          <w:rFonts w:hint="eastAsia" w:ascii="仿宋_GB2312" w:hAnsi="Times New Roman" w:eastAsia="仿宋_GB2312" w:cs="Arial"/>
          <w:color w:val="auto"/>
          <w:sz w:val="32"/>
          <w:szCs w:val="32"/>
          <w:highlight w:val="none"/>
          <w:lang w:bidi="en-US"/>
        </w:rPr>
        <w:t>号</w:t>
      </w:r>
    </w:p>
    <w:p w14:paraId="5B55F149">
      <w:pPr>
        <w:adjustRightInd w:val="0"/>
        <w:snapToGrid w:val="0"/>
        <w:spacing w:line="360" w:lineRule="auto"/>
        <w:jc w:val="center"/>
        <w:rPr>
          <w:b/>
          <w:bCs/>
          <w:color w:val="auto"/>
          <w:sz w:val="32"/>
          <w:szCs w:val="32"/>
          <w:highlight w:val="none"/>
        </w:rPr>
      </w:pPr>
    </w:p>
    <w:bookmarkEnd w:id="0"/>
    <w:p w14:paraId="4A44F4EF">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lang w:val="en-US" w:eastAsia="zh-CN"/>
        </w:rPr>
        <w:t>锡林郭勒盟生态环境局</w:t>
      </w:r>
    </w:p>
    <w:p w14:paraId="2E9C44B1">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内蒙古可汗牧场食品有限公司牛羊</w:t>
      </w:r>
    </w:p>
    <w:p w14:paraId="074FCBF4">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lang w:val="en-US" w:eastAsia="zh-CN"/>
        </w:rPr>
        <w:t>屠宰及副产品精深加工项目</w:t>
      </w:r>
      <w:r>
        <w:rPr>
          <w:rFonts w:hint="eastAsia" w:ascii="方正小标宋简体" w:hAnsi="方正小标宋简体" w:eastAsia="方正小标宋简体" w:cs="方正小标宋简体"/>
          <w:bCs/>
          <w:color w:val="auto"/>
          <w:sz w:val="44"/>
          <w:szCs w:val="44"/>
          <w:highlight w:val="none"/>
        </w:rPr>
        <w:t>环境影响</w:t>
      </w:r>
    </w:p>
    <w:p w14:paraId="2F3ABE4B">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报告书的批复</w:t>
      </w:r>
    </w:p>
    <w:p w14:paraId="73B92481">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EC347C">
      <w:pPr>
        <w:keepNext w:val="0"/>
        <w:keepLines w:val="0"/>
        <w:pageBreakBefore w:val="0"/>
        <w:widowControl w:val="0"/>
        <w:kinsoku/>
        <w:wordWrap/>
        <w:overflowPunct/>
        <w:topLinePunct w:val="0"/>
        <w:autoSpaceDE w:val="0"/>
        <w:autoSpaceDN w:val="0"/>
        <w:bidi w:val="0"/>
        <w:adjustRightInd w:val="0"/>
        <w:snapToGrid w:val="0"/>
        <w:spacing w:line="52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内蒙古可汗牧场食品有限公司</w:t>
      </w:r>
      <w:r>
        <w:rPr>
          <w:rFonts w:hint="eastAsia" w:ascii="仿宋_GB2312" w:hAnsi="仿宋_GB2312" w:eastAsia="仿宋_GB2312" w:cs="仿宋_GB2312"/>
          <w:color w:val="auto"/>
          <w:sz w:val="32"/>
          <w:szCs w:val="32"/>
          <w:lang w:bidi="en-US"/>
        </w:rPr>
        <w:t>：</w:t>
      </w:r>
    </w:p>
    <w:p w14:paraId="1E8EBAD7">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内蒙古可汗牧场食品有限公司牛羊屠宰及副产品精深加工项目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2A67177F">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一、内蒙古可汗牧场食品有限公司牛羊屠宰及副产品精深加工项目，建设地点位于锡林浩特市中小企业聚集区，总占地面积为2986.4平方米。本项目计划租用添实保温材料有限公司3栋厂房（3#车间、4#车间、5#车间），对其进行整体改造后作为生产用房，内设牛羊屠宰生产线各一条，配套建设排酸间、精细加工区、出库打包区、冷冻库、待宰圈等相关辅助设施。项目建成后，计划年加工屠宰3万头肉牛、16万只肉羊，预计可生产加工牛羊肉冷冻产品1600吨、精细分割产品500吨。</w:t>
      </w:r>
    </w:p>
    <w:p w14:paraId="2E5BB5B4">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6F1B0F29">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11521AE5">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屠宰车间主要废气产生环节上方均设置集气罩，恶臭气体经收集后通过活性炭吸附装置处理，各项污染因子满足《恶臭污染物排放标准》（GB14554-93）浓度限值要求后通过排气筒排放。污水处理站各池体采取加盖导排形式收集废气，污泥压滤间采用密闭抽风形式收集废气，恶臭气体经收集后通过活性炭吸附装置处理，各项污染因子满足《恶臭污染物排放标准》（GB14554-93）浓度限值要求后通过排气筒排放。同时屠宰车间、污水处理站、待宰圈均及时清理，定期喷洒除臭剂，最终各项恶臭污染因子厂界无组织排放须满足《恶臭污染物排放标准》（GB14554-93）浓度限值要求。</w:t>
      </w:r>
    </w:p>
    <w:p w14:paraId="63D79F1C">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待宰圈粪便采用干清粪方式，与肠胃内容物一并收集至胃容物处理间储存池内，日产日清，统一交由有资质单位处置。病死牛羊暂存于病体间，切割、修整废物、牛羊三腺、不合格胴体、不合格内脏均暂存于一般固废暂存间，定期</w:t>
      </w:r>
      <w:r>
        <w:rPr>
          <w:rFonts w:hint="eastAsia" w:ascii="仿宋_GB2312" w:hAnsi="仿宋_GB2312" w:eastAsia="仿宋_GB2312" w:cs="仿宋_GB2312"/>
          <w:color w:val="auto"/>
          <w:sz w:val="32"/>
          <w:szCs w:val="32"/>
          <w:lang w:val="en-GB" w:eastAsia="zh-CN" w:bidi="en-US"/>
        </w:rPr>
        <w:t>拉运交由有资质单位进行无害化处理</w:t>
      </w:r>
      <w:r>
        <w:rPr>
          <w:rFonts w:hint="eastAsia" w:ascii="仿宋_GB2312" w:hAnsi="仿宋_GB2312" w:eastAsia="仿宋_GB2312" w:cs="仿宋_GB2312"/>
          <w:b w:val="0"/>
          <w:bCs w:val="0"/>
          <w:color w:val="auto"/>
          <w:kern w:val="2"/>
          <w:sz w:val="32"/>
          <w:szCs w:val="32"/>
          <w:highlight w:val="none"/>
          <w:lang w:val="en-US" w:eastAsia="zh-CN" w:bidi="en-US"/>
        </w:rPr>
        <w:t>。污水处理站废油脂、污泥均由有资质单位处置。废包装材料外售综合利用；在线监测废液、废活性炭、废机油及废油桶均分类、分区、密闭暂存于规范化危废暂存间内，定期委托有资质的单位回收处置。人员生活垃圾由封闭式垃圾箱收集后，定期清运至环卫部门指定地点处理。</w:t>
      </w:r>
    </w:p>
    <w:p w14:paraId="6A4E02BC">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highlight w:val="none"/>
          <w:lang w:val="en-US" w:eastAsia="zh-CN" w:bidi="en-US"/>
        </w:rPr>
        <w:t>屠宰废水经厂内污水处理站处理满足《肉类加工工业水污染物排放标准》（GB13457-92）三级标准限值要求后，通过污水管网排入锡林浩特市污水处理厂。人员生活污水经防渗化粪池收集处理满足《污水综合排放标准》（GB8978-1996）三级标准限值要求后通过污水管网排入锡林浩特市污水处理厂。</w:t>
      </w:r>
    </w:p>
    <w:p w14:paraId="008FB266">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针对不同的声源采取相应的消声、隔音、减振、降噪措施，高噪设备均置于封闭车间内并加装减震基座，同时加强机械设备日常维护。运输车辆减速行驶，禁止鸣笛。最终噪声排放满足《工业企业厂界环境噪声排放标准》（GB12348-2008）</w:t>
      </w:r>
      <w:r>
        <w:rPr>
          <w:rFonts w:hint="eastAsia" w:ascii="仿宋_GB2312" w:hAnsi="仿宋_GB2312" w:eastAsia="仿宋_GB2312" w:cs="仿宋_GB2312"/>
          <w:color w:val="auto"/>
          <w:sz w:val="32"/>
          <w:szCs w:val="32"/>
          <w:lang w:val="en-US" w:eastAsia="zh-CN" w:bidi="en-US"/>
        </w:rPr>
        <w:t>3</w:t>
      </w:r>
      <w:r>
        <w:rPr>
          <w:rFonts w:hint="eastAsia" w:ascii="仿宋_GB2312" w:hAnsi="仿宋_GB2312" w:eastAsia="仿宋_GB2312" w:cs="仿宋_GB2312"/>
          <w:color w:val="auto"/>
          <w:sz w:val="32"/>
          <w:szCs w:val="32"/>
          <w:lang w:bidi="en-US"/>
        </w:rPr>
        <w:t>类标准限值要求。</w:t>
      </w:r>
    </w:p>
    <w:p w14:paraId="79892940">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013703CB">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强化环境风险防范措施。落</w:t>
      </w:r>
      <w:r>
        <w:rPr>
          <w:rFonts w:hint="eastAsia" w:ascii="仿宋_GB2312" w:hAnsi="仿宋_GB2312" w:eastAsia="仿宋_GB2312" w:cs="仿宋_GB2312"/>
          <w:color w:val="000000"/>
          <w:kern w:val="2"/>
          <w:sz w:val="32"/>
          <w:szCs w:val="32"/>
          <w:lang w:val="en-US" w:eastAsia="zh-CN" w:bidi="ar-SA"/>
        </w:rPr>
        <w:t>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8456AEC">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bookmarkStart w:id="1" w:name="_GoBack"/>
      <w:r>
        <w:rPr>
          <w:rFonts w:hint="eastAsia" w:ascii="楷体" w:hAnsi="楷体" w:eastAsia="楷体" w:cs="楷体"/>
          <w:color w:val="auto"/>
          <w:kern w:val="2"/>
          <w:sz w:val="32"/>
          <w:szCs w:val="32"/>
          <w:lang w:val="en-US" w:eastAsia="zh-CN" w:bidi="ar-SA"/>
        </w:rPr>
        <w:t>严格落实运营期污染源监测计划。</w:t>
      </w:r>
      <w:bookmarkEnd w:id="1"/>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12BC14A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三、项</w:t>
      </w:r>
      <w:r>
        <w:rPr>
          <w:rFonts w:hint="eastAsia" w:ascii="仿宋_GB2312" w:hAnsi="仿宋_GB2312" w:eastAsia="仿宋_GB2312" w:cs="仿宋_GB2312"/>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7A8E43FC">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四、我局</w:t>
      </w:r>
      <w:r>
        <w:rPr>
          <w:rFonts w:hint="eastAsia" w:ascii="仿宋_GB2312" w:hAnsi="仿宋_GB2312" w:eastAsia="仿宋_GB2312" w:cs="仿宋_GB2312"/>
          <w:color w:val="auto"/>
          <w:sz w:val="32"/>
          <w:szCs w:val="32"/>
          <w:lang w:bidi="en-US"/>
        </w:rPr>
        <w:t>委托锡林郭勒盟生态环境局</w:t>
      </w:r>
      <w:r>
        <w:rPr>
          <w:rFonts w:hint="eastAsia" w:ascii="仿宋_GB2312" w:hAnsi="仿宋_GB2312" w:eastAsia="仿宋_GB2312" w:cs="仿宋_GB2312"/>
          <w:color w:val="auto"/>
          <w:sz w:val="32"/>
          <w:szCs w:val="32"/>
          <w:lang w:eastAsia="zh-CN" w:bidi="en-US"/>
        </w:rPr>
        <w:t>锡林浩特市分局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62E83A93">
      <w:pPr>
        <w:keepNext w:val="0"/>
        <w:keepLines w:val="0"/>
        <w:pageBreakBefore w:val="0"/>
        <w:widowControl w:val="0"/>
        <w:kinsoku/>
        <w:wordWrap/>
        <w:overflowPunct/>
        <w:topLinePunct w:val="0"/>
        <w:bidi w:val="0"/>
        <w:spacing w:line="520" w:lineRule="exact"/>
        <w:textAlignment w:val="auto"/>
        <w:rPr>
          <w:rFonts w:hint="eastAsia"/>
          <w:color w:val="auto"/>
        </w:rPr>
      </w:pPr>
    </w:p>
    <w:p w14:paraId="3028B29B">
      <w:pPr>
        <w:rPr>
          <w:rFonts w:hint="eastAsia"/>
          <w:color w:val="auto"/>
        </w:rPr>
      </w:pPr>
    </w:p>
    <w:p w14:paraId="4F0AEAFA">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1B1AE9F1">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8</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22</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6ABBD571">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p>
    <w:p w14:paraId="2994E6CC">
      <w:pPr>
        <w:rPr>
          <w:rFonts w:hint="eastAsia"/>
        </w:rPr>
      </w:pPr>
    </w:p>
    <w:p w14:paraId="412FECD1">
      <w:pPr>
        <w:pStyle w:val="2"/>
        <w:rPr>
          <w:rFonts w:hint="eastAsia"/>
        </w:rPr>
      </w:pPr>
    </w:p>
    <w:p w14:paraId="37CEB501">
      <w:pPr>
        <w:pStyle w:val="3"/>
        <w:rPr>
          <w:rFonts w:hint="eastAsia"/>
        </w:rPr>
      </w:pPr>
    </w:p>
    <w:p w14:paraId="057EB119">
      <w:pPr>
        <w:rPr>
          <w:rFonts w:hint="eastAsia" w:ascii="仿宋" w:hAnsi="仿宋" w:eastAsia="仿宋" w:cs="仿宋"/>
          <w:color w:val="auto"/>
          <w:highlight w:val="none"/>
        </w:rPr>
      </w:pPr>
    </w:p>
    <w:p w14:paraId="5CCB499D">
      <w:pPr>
        <w:pStyle w:val="16"/>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锡林浩特市分</w:t>
      </w:r>
      <w:r>
        <w:rPr>
          <w:rFonts w:hint="eastAsia" w:ascii="仿宋" w:hAnsi="仿宋" w:eastAsia="仿宋" w:cs="仿宋"/>
          <w:color w:val="auto"/>
          <w:kern w:val="2"/>
          <w:sz w:val="28"/>
          <w:szCs w:val="28"/>
          <w:highlight w:val="none"/>
          <w:lang w:eastAsia="zh-CN" w:bidi="en-US"/>
        </w:rPr>
        <w:t>局</w:t>
      </w:r>
    </w:p>
    <w:p w14:paraId="19F29D29">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8</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22</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9DF62">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71649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571649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D60042"/>
    <w:rsid w:val="05FD1001"/>
    <w:rsid w:val="064265FE"/>
    <w:rsid w:val="065A7A8E"/>
    <w:rsid w:val="07E80A5E"/>
    <w:rsid w:val="08125FE6"/>
    <w:rsid w:val="09F707CE"/>
    <w:rsid w:val="0A055186"/>
    <w:rsid w:val="0B1701D0"/>
    <w:rsid w:val="0C7A4895"/>
    <w:rsid w:val="0D6D6C1D"/>
    <w:rsid w:val="0EE27BE5"/>
    <w:rsid w:val="109F048E"/>
    <w:rsid w:val="133A3E29"/>
    <w:rsid w:val="134A4ECA"/>
    <w:rsid w:val="13EB21F9"/>
    <w:rsid w:val="1B7C0676"/>
    <w:rsid w:val="1BF2CB73"/>
    <w:rsid w:val="1D61177E"/>
    <w:rsid w:val="1F9C573C"/>
    <w:rsid w:val="20C67501"/>
    <w:rsid w:val="20E00C0C"/>
    <w:rsid w:val="22B733D3"/>
    <w:rsid w:val="26B75F6B"/>
    <w:rsid w:val="270A5106"/>
    <w:rsid w:val="29D8150D"/>
    <w:rsid w:val="2AAB4039"/>
    <w:rsid w:val="2CF929A0"/>
    <w:rsid w:val="2D875092"/>
    <w:rsid w:val="2F1F3E8C"/>
    <w:rsid w:val="2F2B74F6"/>
    <w:rsid w:val="2F7E7F6E"/>
    <w:rsid w:val="3812264D"/>
    <w:rsid w:val="3AD90E3C"/>
    <w:rsid w:val="3BEB35C3"/>
    <w:rsid w:val="3BFB7ADD"/>
    <w:rsid w:val="3C3E8AA0"/>
    <w:rsid w:val="3C4B2A92"/>
    <w:rsid w:val="3CA66F28"/>
    <w:rsid w:val="3EDBBAD3"/>
    <w:rsid w:val="3FBC777D"/>
    <w:rsid w:val="3FC31BD1"/>
    <w:rsid w:val="445D3A2B"/>
    <w:rsid w:val="466622E2"/>
    <w:rsid w:val="46B26845"/>
    <w:rsid w:val="4A3B72B4"/>
    <w:rsid w:val="4B973E13"/>
    <w:rsid w:val="4CDD40CE"/>
    <w:rsid w:val="4EC33F0B"/>
    <w:rsid w:val="4FDC11D7"/>
    <w:rsid w:val="501114FC"/>
    <w:rsid w:val="511F0080"/>
    <w:rsid w:val="51B03B5F"/>
    <w:rsid w:val="55621614"/>
    <w:rsid w:val="56990422"/>
    <w:rsid w:val="577420E6"/>
    <w:rsid w:val="57B40ADC"/>
    <w:rsid w:val="5B679E5F"/>
    <w:rsid w:val="5C1271C4"/>
    <w:rsid w:val="5C8C51C9"/>
    <w:rsid w:val="5DD60DF1"/>
    <w:rsid w:val="5DFFD6AD"/>
    <w:rsid w:val="5FA70BB0"/>
    <w:rsid w:val="617526E2"/>
    <w:rsid w:val="640E5DD6"/>
    <w:rsid w:val="640F77AC"/>
    <w:rsid w:val="6479615F"/>
    <w:rsid w:val="65980358"/>
    <w:rsid w:val="66D37D0B"/>
    <w:rsid w:val="67927E4C"/>
    <w:rsid w:val="68146F4B"/>
    <w:rsid w:val="68387D94"/>
    <w:rsid w:val="69CC12A6"/>
    <w:rsid w:val="6A4F0707"/>
    <w:rsid w:val="6D337A9A"/>
    <w:rsid w:val="6D874340"/>
    <w:rsid w:val="6D965EA7"/>
    <w:rsid w:val="6E1A4AAF"/>
    <w:rsid w:val="6FD159E5"/>
    <w:rsid w:val="6FEE6D0C"/>
    <w:rsid w:val="70EA0941"/>
    <w:rsid w:val="71FFDCEE"/>
    <w:rsid w:val="737F42A4"/>
    <w:rsid w:val="751F6782"/>
    <w:rsid w:val="756C3B4F"/>
    <w:rsid w:val="776575C6"/>
    <w:rsid w:val="77A04D8F"/>
    <w:rsid w:val="77A23F56"/>
    <w:rsid w:val="77FB60A4"/>
    <w:rsid w:val="78CC1696"/>
    <w:rsid w:val="795254DD"/>
    <w:rsid w:val="79F6371A"/>
    <w:rsid w:val="7BB80B28"/>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FE1E3B"/>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4"/>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5"/>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2"/>
    <w:semiHidden/>
    <w:unhideWhenUsed/>
    <w:qFormat/>
    <w:uiPriority w:val="99"/>
    <w:rPr>
      <w:color w:val="605E5C"/>
      <w:shd w:val="clear" w:color="auto" w:fill="E1DFDD"/>
    </w:rPr>
  </w:style>
  <w:style w:type="character" w:customStyle="1" w:styleId="20">
    <w:name w:val="页眉 字符"/>
    <w:basedOn w:val="12"/>
    <w:link w:val="8"/>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字符"/>
    <w:basedOn w:val="12"/>
    <w:link w:val="6"/>
    <w:semiHidden/>
    <w:qFormat/>
    <w:uiPriority w:val="99"/>
    <w:rPr>
      <w:kern w:val="2"/>
      <w:sz w:val="21"/>
      <w:szCs w:val="22"/>
    </w:rPr>
  </w:style>
  <w:style w:type="character" w:customStyle="1" w:styleId="25">
    <w:name w:val="批注主题 字符"/>
    <w:basedOn w:val="24"/>
    <w:link w:val="10"/>
    <w:semiHidden/>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7">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8">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29">
    <w:name w:val="正文2"/>
    <w:basedOn w:val="1"/>
    <w:qFormat/>
    <w:uiPriority w:val="0"/>
    <w:pPr>
      <w:spacing w:line="360" w:lineRule="auto"/>
      <w:ind w:firstLine="20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1915</Words>
  <Characters>2020</Characters>
  <Lines>19</Lines>
  <Paragraphs>5</Paragraphs>
  <TotalTime>9</TotalTime>
  <ScaleCrop>false</ScaleCrop>
  <LinksUpToDate>false</LinksUpToDate>
  <CharactersWithSpaces>2033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2023-02-03T01:32:00Z</dcterms:created>
  <dc:creator>hui hui</dc:creator>
  <cp:lastModifiedBy>ོʚ 中ོ然ོ ɞ</cp:lastModifiedBy>
  <cp:lastPrinted>2023-02-03T01:39:00Z</cp:lastPrinted>
  <dcterms:modified xsi:type="dcterms:W3CDTF">2025-08-22T09:02:06Z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BA84D6D27640807E6CCCA768848CF2F8</vt:lpwstr>
  </property>
  <property fmtid="{D5CDD505-2E9C-101B-9397-08002B2CF9AE}" pid="4" name="KSOTemplateDocerSaveRecord">
    <vt:lpwstr>eyJoZGlkIjoiNjllM2VmN2FkNzlkMWE1NzU2ZDk1YThjMDc2OGI3ZDQiLCJ1c2VySWQiOiI1NDkxMDYxNjAifQ==</vt:lpwstr>
  </property>
</Properties>
</file>