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3CB6A9">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5EA0AB3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2BEC9A91">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99BACB2">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200CC21">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25E13E8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7421188">
      <w:pPr>
        <w:pStyle w:val="29"/>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4A531F28">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F863675">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w:t>
      </w:r>
      <w:r>
        <w:rPr>
          <w:rFonts w:hint="eastAsia" w:ascii="仿宋_GB2312" w:hAnsi="Times New Roman" w:eastAsia="仿宋_GB2312" w:cs="Arial"/>
          <w:color w:val="auto"/>
          <w:sz w:val="32"/>
          <w:szCs w:val="32"/>
          <w:lang w:eastAsia="zh-CN" w:bidi="en-US"/>
        </w:rPr>
        <w:t>表</w:t>
      </w:r>
      <w:r>
        <w:rPr>
          <w:rFonts w:hint="eastAsia" w:ascii="仿宋_GB2312" w:hAnsi="Times New Roman" w:eastAsia="仿宋_GB2312" w:cs="Arial"/>
          <w:color w:val="auto"/>
          <w:sz w:val="32"/>
          <w:szCs w:val="32"/>
          <w:lang w:bidi="en-US"/>
        </w:rPr>
        <w:t>〔</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11</w:t>
      </w:r>
      <w:r>
        <w:rPr>
          <w:rFonts w:hint="eastAsia" w:ascii="仿宋_GB2312" w:hAnsi="Times New Roman" w:eastAsia="仿宋_GB2312" w:cs="Arial"/>
          <w:color w:val="auto"/>
          <w:sz w:val="32"/>
          <w:szCs w:val="32"/>
          <w:highlight w:val="none"/>
          <w:lang w:bidi="en-US"/>
        </w:rPr>
        <w:t>号</w:t>
      </w:r>
    </w:p>
    <w:p w14:paraId="1ECA78C8">
      <w:pPr>
        <w:adjustRightInd w:val="0"/>
        <w:snapToGrid w:val="0"/>
        <w:spacing w:line="360" w:lineRule="auto"/>
        <w:jc w:val="center"/>
        <w:rPr>
          <w:b/>
          <w:bCs/>
          <w:color w:val="auto"/>
          <w:sz w:val="32"/>
          <w:szCs w:val="32"/>
          <w:highlight w:val="none"/>
        </w:rPr>
      </w:pPr>
    </w:p>
    <w:bookmarkEnd w:id="0"/>
    <w:p w14:paraId="74F1727F">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14:paraId="02FE7A72">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国道625线多希音戈壁至二连浩特段</w:t>
      </w:r>
    </w:p>
    <w:p w14:paraId="0FEB423E">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lang w:val="en-US" w:eastAsia="zh-CN"/>
        </w:rPr>
        <w:t>公路</w:t>
      </w:r>
      <w:r>
        <w:rPr>
          <w:rFonts w:hint="eastAsia" w:ascii="方正小标宋简体" w:hAnsi="方正小标宋简体" w:eastAsia="方正小标宋简体" w:cs="方正小标宋简体"/>
          <w:bCs/>
          <w:color w:val="auto"/>
          <w:sz w:val="44"/>
          <w:szCs w:val="44"/>
          <w:highlight w:val="none"/>
        </w:rPr>
        <w:t>环境影响报告</w:t>
      </w:r>
      <w:r>
        <w:rPr>
          <w:rFonts w:hint="eastAsia" w:ascii="方正小标宋简体" w:hAnsi="方正小标宋简体" w:eastAsia="方正小标宋简体" w:cs="方正小标宋简体"/>
          <w:bCs/>
          <w:color w:val="auto"/>
          <w:sz w:val="44"/>
          <w:szCs w:val="44"/>
          <w:highlight w:val="none"/>
          <w:lang w:eastAsia="zh-CN"/>
        </w:rPr>
        <w:t>表</w:t>
      </w:r>
      <w:r>
        <w:rPr>
          <w:rFonts w:hint="eastAsia" w:ascii="方正小标宋简体" w:hAnsi="方正小标宋简体" w:eastAsia="方正小标宋简体" w:cs="方正小标宋简体"/>
          <w:bCs/>
          <w:color w:val="auto"/>
          <w:sz w:val="44"/>
          <w:szCs w:val="44"/>
          <w:highlight w:val="none"/>
        </w:rPr>
        <w:t>的批复</w:t>
      </w:r>
    </w:p>
    <w:p w14:paraId="7C51D56A">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32609C36">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锡林郭勒盟交通运输局</w:t>
      </w:r>
      <w:r>
        <w:rPr>
          <w:rFonts w:hint="eastAsia" w:ascii="仿宋_GB2312" w:hAnsi="仿宋_GB2312" w:eastAsia="仿宋_GB2312" w:cs="仿宋_GB2312"/>
          <w:color w:val="auto"/>
          <w:sz w:val="32"/>
          <w:szCs w:val="32"/>
          <w:lang w:bidi="en-US"/>
        </w:rPr>
        <w:t>：</w:t>
      </w:r>
    </w:p>
    <w:p w14:paraId="59C39D8C">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国道625线多希音戈壁至二连浩特段公路</w:t>
      </w:r>
      <w:r>
        <w:rPr>
          <w:rFonts w:hint="eastAsia" w:ascii="仿宋_GB2312" w:hAnsi="仿宋_GB2312" w:eastAsia="仿宋_GB2312" w:cs="仿宋_GB2312"/>
          <w:color w:val="auto"/>
          <w:sz w:val="32"/>
          <w:szCs w:val="32"/>
          <w:lang w:bidi="en-US"/>
        </w:rPr>
        <w:t>环境影响报告</w:t>
      </w:r>
      <w:r>
        <w:rPr>
          <w:rFonts w:hint="eastAsia" w:ascii="仿宋_GB2312" w:hAnsi="仿宋_GB2312" w:eastAsia="仿宋_GB2312" w:cs="仿宋_GB2312"/>
          <w:color w:val="auto"/>
          <w:sz w:val="32"/>
          <w:szCs w:val="32"/>
          <w:lang w:eastAsia="zh-CN" w:bidi="en-US"/>
        </w:rPr>
        <w:t>表</w:t>
      </w:r>
      <w:r>
        <w:rPr>
          <w:rFonts w:hint="eastAsia"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eastAsia="zh-Hans" w:bidi="en-US"/>
        </w:rPr>
        <w:t>以下简称《报告</w:t>
      </w:r>
      <w:r>
        <w:rPr>
          <w:rFonts w:hint="eastAsia" w:ascii="仿宋_GB2312" w:hAnsi="仿宋_GB2312" w:eastAsia="仿宋_GB2312" w:cs="仿宋_GB2312"/>
          <w:color w:val="auto"/>
          <w:sz w:val="32"/>
          <w:szCs w:val="32"/>
          <w:lang w:eastAsia="zh-CN" w:bidi="en-US"/>
        </w:rPr>
        <w:t>表</w:t>
      </w:r>
      <w:r>
        <w:rPr>
          <w:rFonts w:hint="eastAsia" w:ascii="仿宋_GB2312" w:hAnsi="仿宋_GB2312" w:eastAsia="仿宋_GB2312" w:cs="仿宋_GB2312"/>
          <w:color w:val="auto"/>
          <w:sz w:val="32"/>
          <w:szCs w:val="32"/>
          <w:lang w:eastAsia="zh-Hans" w:bidi="en-US"/>
        </w:rPr>
        <w:t>》</w:t>
      </w:r>
      <w:r>
        <w:rPr>
          <w:rFonts w:hint="eastAsia" w:ascii="仿宋_GB2312" w:hAnsi="仿宋_GB2312" w:eastAsia="仿宋_GB2312" w:cs="仿宋_GB2312"/>
          <w:color w:val="auto"/>
          <w:sz w:val="32"/>
          <w:szCs w:val="32"/>
          <w:lang w:bidi="en-US"/>
        </w:rPr>
        <w:t>）收悉。经研究，批复如下：</w:t>
      </w:r>
    </w:p>
    <w:p w14:paraId="110D3B52">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b w:val="0"/>
          <w:bCs/>
          <w:color w:val="auto"/>
          <w:kern w:val="0"/>
          <w:sz w:val="32"/>
          <w:szCs w:val="32"/>
          <w:highlight w:val="none"/>
          <w:lang w:val="en-US" w:eastAsia="zh-CN" w:bidi="ar"/>
        </w:rPr>
      </w:pPr>
      <w:r>
        <w:rPr>
          <w:rFonts w:hint="eastAsia" w:ascii="仿宋_GB2312" w:hAnsi="仿宋_GB2312" w:eastAsia="仿宋_GB2312" w:cs="仿宋_GB2312"/>
          <w:color w:val="auto"/>
          <w:kern w:val="2"/>
          <w:sz w:val="32"/>
          <w:szCs w:val="32"/>
          <w:highlight w:val="none"/>
          <w:lang w:val="en-US" w:eastAsia="zh-CN" w:bidi="ar-SA"/>
        </w:rPr>
        <w:t>一、</w:t>
      </w:r>
      <w:r>
        <w:rPr>
          <w:rFonts w:hint="eastAsia" w:ascii="仿宋_GB2312" w:hAnsi="仿宋_GB2312" w:eastAsia="仿宋_GB2312" w:cs="仿宋_GB2312"/>
          <w:color w:val="auto"/>
          <w:sz w:val="32"/>
          <w:szCs w:val="32"/>
          <w:lang w:val="en-US" w:eastAsia="zh-CN" w:bidi="en-US"/>
        </w:rPr>
        <w:t>国道625线多希音戈壁至二连浩特段公路位于锡林郭勒盟二连浩特市、苏尼特左旗境内，</w:t>
      </w:r>
      <w:r>
        <w:rPr>
          <w:rFonts w:hint="eastAsia" w:ascii="仿宋_GB2312" w:hAnsi="仿宋_GB2312" w:eastAsia="仿宋_GB2312" w:cs="仿宋_GB2312"/>
          <w:color w:val="000000" w:themeColor="text1"/>
          <w:kern w:val="2"/>
          <w:sz w:val="32"/>
          <w:szCs w:val="32"/>
          <w:highlight w:val="none"/>
          <w:lang w:val="en-US" w:eastAsia="zh-CN" w:bidi="ar-SA"/>
          <w14:textFill>
            <w14:solidFill>
              <w14:schemeClr w14:val="tx1"/>
            </w14:solidFill>
          </w14:textFill>
        </w:rPr>
        <w:t>项目路线起点桩号为K0+000，起点坐标为：东经113°33′18.453″，北纬44°37′34.008″，终点桩号K250+530，终点坐标为：东经112°03′51.324″，北纬43°38′31.231″。</w:t>
      </w:r>
      <w:r>
        <w:rPr>
          <w:rFonts w:hint="eastAsia" w:ascii="仿宋_GB2312" w:hAnsi="仿宋_GB2312" w:eastAsia="仿宋_GB2312" w:cs="仿宋_GB2312"/>
          <w:b w:val="0"/>
          <w:bCs/>
          <w:color w:val="auto"/>
          <w:kern w:val="0"/>
          <w:sz w:val="32"/>
          <w:szCs w:val="32"/>
          <w:lang w:val="en-US" w:eastAsia="zh-CN" w:bidi="ar"/>
        </w:rPr>
        <w:t>总占地面积8.883579平方公里，其中永久占地面积5.393579平方公里，临时占地面积3.49平方公里。本项目按照三级公路标准建设，路线全长250.53公里，其中位于苏尼特左旗境内线路长度约232.45公里，位于二连浩特市境内线路长度约18.08公里。本工程完全利用现有道路里程17.72公里，建设道路里程232.81公里（新开线68.91公里，利用旧路改建163.9公里）。</w:t>
      </w:r>
    </w:p>
    <w:p w14:paraId="16055614">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根据《产业结构调整指导目录（2024年本）》中所列名录，该建设项目属于鼓励类，且符合我盟生态环境分区管控要求及国家相关法律法规政策。在全面落实《报告表》提出的各项污染</w:t>
      </w:r>
      <w:bookmarkStart w:id="1" w:name="_GoBack"/>
      <w:bookmarkEnd w:id="1"/>
      <w:r>
        <w:rPr>
          <w:rFonts w:hint="eastAsia" w:ascii="仿宋_GB2312" w:hAnsi="仿宋_GB2312" w:eastAsia="仿宋_GB2312" w:cs="仿宋_GB2312"/>
          <w:color w:val="auto"/>
          <w:kern w:val="2"/>
          <w:sz w:val="32"/>
          <w:szCs w:val="32"/>
          <w:lang w:val="en-US" w:eastAsia="zh-CN" w:bidi="ar-SA"/>
        </w:rPr>
        <w:t>防治措施后，可使环境污染和生态破坏控制在允许范围内。从环境保护角度分析，该项目建设可行。</w:t>
      </w:r>
    </w:p>
    <w:p w14:paraId="579E19EC">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二、项目在设计、建设和运营过程中还应做好以下工作。</w:t>
      </w:r>
    </w:p>
    <w:p w14:paraId="540569ED">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（一）大气污染防治</w:t>
      </w:r>
    </w:p>
    <w:p w14:paraId="5A12132C">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1.</w:t>
      </w:r>
      <w:r>
        <w:rPr>
          <w:rFonts w:hint="eastAsia" w:ascii="仿宋_GB2312" w:hAnsi="宋体" w:eastAsia="仿宋_GB2312"/>
          <w:sz w:val="32"/>
          <w:szCs w:val="32"/>
          <w:lang w:eastAsia="zh-CN"/>
        </w:rPr>
        <w:t>加强施工期的环境保护工作，大风天气禁止开挖施工作业。施工车辆须按照规定线路行驶，严禁</w:t>
      </w:r>
      <w:r>
        <w:rPr>
          <w:rFonts w:hint="eastAsia" w:ascii="仿宋_GB2312" w:hAnsi="宋体" w:eastAsia="仿宋_GB2312"/>
          <w:sz w:val="32"/>
          <w:szCs w:val="32"/>
          <w:lang w:val="en-US" w:eastAsia="zh-CN"/>
        </w:rPr>
        <w:t>随意</w:t>
      </w:r>
      <w:r>
        <w:rPr>
          <w:rFonts w:hint="eastAsia" w:ascii="仿宋_GB2312" w:hAnsi="宋体" w:eastAsia="仿宋_GB2312"/>
          <w:sz w:val="32"/>
          <w:szCs w:val="32"/>
          <w:lang w:eastAsia="zh-CN"/>
        </w:rPr>
        <w:t>碾压草场。车辆加盖苫布，加强施工道路维修养护，定期洒水降尘。施工开挖后的土石方及建筑材料应定点堆放，采取拦挡、苫盖措施，并对临时弃土、弃渣等易产生扬尘区域采取喷水降尘措施。</w:t>
      </w:r>
    </w:p>
    <w:p w14:paraId="2B829253">
      <w:pPr>
        <w:pStyle w:val="2"/>
        <w:keepNext w:val="0"/>
        <w:keepLines w:val="0"/>
        <w:pageBreakBefore w:val="0"/>
        <w:widowControl w:val="0"/>
        <w:kinsoku/>
        <w:wordWrap/>
        <w:topLinePunct w:val="0"/>
        <w:bidi w:val="0"/>
        <w:spacing w:line="540" w:lineRule="exact"/>
        <w:ind w:left="0" w:leftChars="0"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2.</w:t>
      </w:r>
      <w:r>
        <w:rPr>
          <w:rFonts w:hint="eastAsia" w:ascii="仿宋_GB2312" w:hAnsi="宋体" w:eastAsia="仿宋_GB2312"/>
          <w:sz w:val="32"/>
          <w:szCs w:val="32"/>
          <w:lang w:eastAsia="zh-CN"/>
        </w:rPr>
        <w:t>本项目运营期废气主要为车辆行驶过程中排放的尾气。要求道路两侧进行植树绿化、加强道路日常养护，同时加强交通管理，提高道路利用效率，减少因拥挤塞车造成尾气污染。</w:t>
      </w:r>
    </w:p>
    <w:p w14:paraId="3028B2BA">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楷体" w:hAnsi="楷体" w:eastAsia="楷体" w:cs="楷体"/>
          <w:b w:val="0"/>
          <w:bCs w:val="0"/>
          <w:sz w:val="32"/>
          <w:lang w:val="en-US" w:eastAsia="zh-CN"/>
        </w:rPr>
      </w:pPr>
      <w:r>
        <w:rPr>
          <w:rFonts w:hint="eastAsia" w:ascii="楷体" w:hAnsi="楷体" w:eastAsia="楷体" w:cs="楷体"/>
          <w:b w:val="0"/>
          <w:bCs w:val="0"/>
          <w:sz w:val="32"/>
          <w:lang w:val="en-US" w:eastAsia="zh-CN"/>
        </w:rPr>
        <w:t>（二）水污染防治</w:t>
      </w:r>
    </w:p>
    <w:p w14:paraId="0E12CE2B">
      <w:pPr>
        <w:keepNext w:val="0"/>
        <w:keepLines w:val="0"/>
        <w:pageBreakBefore w:val="0"/>
        <w:widowControl w:val="0"/>
        <w:kinsoku/>
        <w:wordWrap/>
        <w:overflowPunct w:val="0"/>
        <w:topLinePunct w:val="0"/>
        <w:autoSpaceDE w:val="0"/>
        <w:autoSpaceDN w:val="0"/>
        <w:bidi w:val="0"/>
        <w:adjustRightInd w:val="0"/>
        <w:snapToGrid w:val="0"/>
        <w:spacing w:line="5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1.</w:t>
      </w:r>
      <w:r>
        <w:rPr>
          <w:rFonts w:hint="eastAsia" w:ascii="仿宋_GB2312" w:hAnsi="宋体" w:eastAsia="仿宋_GB2312"/>
          <w:sz w:val="32"/>
          <w:szCs w:val="32"/>
          <w:lang w:eastAsia="zh-CN"/>
        </w:rPr>
        <w:t>施工期在</w:t>
      </w:r>
      <w:r>
        <w:rPr>
          <w:rFonts w:hint="eastAsia" w:ascii="仿宋_GB2312" w:hAnsi="宋体" w:eastAsia="仿宋_GB2312"/>
          <w:sz w:val="32"/>
          <w:szCs w:val="32"/>
          <w:lang w:val="en-US" w:eastAsia="zh-CN"/>
        </w:rPr>
        <w:t>施工场地应设临时防渗沉淀池，施工废水经防渗沉淀池处理后回用于施工过程或泼洒场地抑尘。施工人员生活污水经临时防渗储罐收集后，定期拉运至当地环卫部门指定地点处理。</w:t>
      </w:r>
    </w:p>
    <w:p w14:paraId="7A514410">
      <w:pPr>
        <w:pStyle w:val="8"/>
        <w:keepNext w:val="0"/>
        <w:keepLines w:val="0"/>
        <w:pageBreakBefore w:val="0"/>
        <w:widowControl w:val="0"/>
        <w:kinsoku/>
        <w:wordWrap/>
        <w:overflowPunct/>
        <w:topLinePunct w:val="0"/>
        <w:bidi w:val="0"/>
        <w:adjustRightInd/>
        <w:snapToGrid/>
        <w:spacing w:beforeAutospacing="0" w:after="0" w:line="520" w:lineRule="exact"/>
        <w:ind w:left="2" w:right="54" w:firstLine="643"/>
        <w:jc w:val="both"/>
        <w:textAlignment w:val="auto"/>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仿宋_GB2312" w:hAnsi="宋体" w:eastAsia="仿宋_GB2312"/>
          <w:sz w:val="32"/>
          <w:szCs w:val="32"/>
          <w:lang w:val="en-US" w:eastAsia="zh-CN"/>
        </w:rPr>
        <w:t>2.</w:t>
      </w:r>
      <w:r>
        <w:rPr>
          <w:rFonts w:hint="eastAsia" w:ascii="仿宋_GB2312" w:hAnsi="仿宋_GB2312" w:eastAsia="仿宋_GB2312" w:cs="仿宋_GB2312"/>
          <w:b w:val="0"/>
          <w:bCs w:val="0"/>
          <w:color w:val="auto"/>
          <w:kern w:val="2"/>
          <w:sz w:val="32"/>
          <w:szCs w:val="32"/>
          <w:highlight w:val="none"/>
          <w:lang w:val="en-US" w:eastAsia="zh-CN" w:bidi="en-US"/>
        </w:rPr>
        <w:t>本项目运营期废水主要为养护道班人员生活污水，均由防渗化粪池收集处理后，定期抽运至当地环卫部门指定地点处理。</w:t>
      </w:r>
    </w:p>
    <w:p w14:paraId="590E0CDC">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楷体" w:hAnsi="楷体" w:eastAsia="楷体" w:cs="楷体"/>
          <w:b w:val="0"/>
          <w:bCs w:val="0"/>
          <w:sz w:val="32"/>
          <w:lang w:val="en-US" w:eastAsia="zh-CN"/>
        </w:rPr>
      </w:pPr>
      <w:r>
        <w:rPr>
          <w:rFonts w:hint="eastAsia" w:ascii="楷体" w:hAnsi="楷体" w:eastAsia="楷体" w:cs="楷体"/>
          <w:b w:val="0"/>
          <w:bCs w:val="0"/>
          <w:sz w:val="32"/>
          <w:lang w:val="en-US" w:eastAsia="zh-CN"/>
        </w:rPr>
        <w:t>（三）噪声污染防治</w:t>
      </w:r>
    </w:p>
    <w:p w14:paraId="4A704B3D">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1.合理布局，采用低噪声设备，采取消声、减震、隔声防噪措</w:t>
      </w:r>
      <w:r>
        <w:rPr>
          <w:rFonts w:hint="eastAsia" w:ascii="仿宋_GB2312" w:hAnsi="宋体" w:eastAsia="仿宋_GB2312"/>
          <w:sz w:val="32"/>
          <w:szCs w:val="32"/>
        </w:rPr>
        <w:t>施</w:t>
      </w:r>
      <w:r>
        <w:rPr>
          <w:rFonts w:hint="eastAsia" w:ascii="仿宋_GB2312" w:hAnsi="仿宋_GB2312" w:eastAsia="仿宋_GB2312"/>
          <w:sz w:val="32"/>
          <w:szCs w:val="32"/>
        </w:rPr>
        <w:t>，</w:t>
      </w:r>
      <w:r>
        <w:rPr>
          <w:rFonts w:hint="eastAsia" w:ascii="仿宋_GB2312" w:eastAsia="仿宋_GB2312"/>
          <w:sz w:val="32"/>
          <w:szCs w:val="32"/>
        </w:rPr>
        <w:t>合理安排施工时间，</w:t>
      </w:r>
      <w:r>
        <w:rPr>
          <w:rFonts w:hint="eastAsia" w:ascii="仿宋_GB2312" w:eastAsia="仿宋_GB2312"/>
          <w:sz w:val="32"/>
          <w:szCs w:val="32"/>
          <w:lang w:eastAsia="zh-CN"/>
        </w:rPr>
        <w:t>高噪设备禁止夜间施工，</w:t>
      </w:r>
      <w:r>
        <w:rPr>
          <w:rFonts w:hint="eastAsia" w:ascii="仿宋_GB2312" w:eastAsia="仿宋_GB2312"/>
          <w:sz w:val="32"/>
          <w:szCs w:val="32"/>
        </w:rPr>
        <w:t>避免施工扰民</w:t>
      </w:r>
      <w:r>
        <w:rPr>
          <w:rFonts w:hint="eastAsia" w:ascii="仿宋_GB2312" w:eastAsia="仿宋_GB2312"/>
          <w:sz w:val="32"/>
          <w:szCs w:val="32"/>
          <w:lang w:eastAsia="zh-CN"/>
        </w:rPr>
        <w:t>，施工期执行</w:t>
      </w:r>
      <w:r>
        <w:rPr>
          <w:rFonts w:hint="eastAsia" w:ascii="仿宋_GB2312" w:eastAsia="仿宋_GB2312"/>
          <w:sz w:val="32"/>
          <w:szCs w:val="32"/>
        </w:rPr>
        <w:t>《</w:t>
      </w:r>
      <w:r>
        <w:rPr>
          <w:rFonts w:hint="eastAsia" w:ascii="仿宋_GB2312" w:eastAsia="仿宋_GB2312"/>
          <w:sz w:val="32"/>
          <w:szCs w:val="32"/>
          <w:lang w:eastAsia="zh-CN"/>
        </w:rPr>
        <w:t>建筑施工场界环境噪声排放标准</w:t>
      </w:r>
      <w:r>
        <w:rPr>
          <w:rFonts w:hint="eastAsia" w:ascii="仿宋_GB2312" w:hAnsi="宋体" w:eastAsia="仿宋_GB2312"/>
          <w:sz w:val="32"/>
          <w:szCs w:val="32"/>
          <w:lang w:val="en-US" w:eastAsia="zh-CN"/>
        </w:rPr>
        <w:t>》（GB12523-2011）表1中的规定。</w:t>
      </w:r>
    </w:p>
    <w:p w14:paraId="5BB30D03">
      <w:pPr>
        <w:pStyle w:val="4"/>
        <w:pageBreakBefore w:val="0"/>
        <w:widowControl w:val="0"/>
        <w:kinsoku/>
        <w:wordWrap/>
        <w:overflowPunct/>
        <w:topLinePunct w:val="0"/>
        <w:bidi w:val="0"/>
        <w:spacing w:beforeLines="0" w:beforeAutospacing="0" w:afterLines="0" w:line="520" w:lineRule="exact"/>
        <w:ind w:firstLine="640" w:firstLineChars="200"/>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仿宋_GB2312" w:hAnsi="宋体" w:eastAsia="仿宋_GB2312"/>
          <w:sz w:val="32"/>
          <w:szCs w:val="32"/>
          <w:lang w:val="en-US" w:eastAsia="zh-CN"/>
        </w:rPr>
        <w:t>2.本项目运营期噪声源主要为</w:t>
      </w:r>
      <w:r>
        <w:rPr>
          <w:rFonts w:hint="eastAsia" w:ascii="仿宋_GB2312" w:hAnsi="仿宋_GB2312" w:eastAsia="仿宋_GB2312" w:cs="仿宋_GB2312"/>
          <w:b w:val="0"/>
          <w:bCs w:val="0"/>
          <w:color w:val="auto"/>
          <w:kern w:val="2"/>
          <w:sz w:val="32"/>
          <w:szCs w:val="32"/>
          <w:highlight w:val="none"/>
          <w:lang w:val="en-US" w:eastAsia="zh-CN" w:bidi="en-US"/>
        </w:rPr>
        <w:t>道路交通噪声。针对距离道路中心线较近的敏感点牧民房屋更换安装隔声窗，并进行跟踪监测；道路两侧加强绿化，同时加强交通管理，以确保沿线敏感点声环境质量满足《声环境质量标准》（GB3096-2008）1类标准限值要求。</w:t>
      </w:r>
    </w:p>
    <w:p w14:paraId="511D0434">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楷体" w:hAnsi="楷体" w:eastAsia="楷体" w:cs="楷体"/>
          <w:b w:val="0"/>
          <w:bCs w:val="0"/>
          <w:sz w:val="32"/>
          <w:lang w:val="en-US" w:eastAsia="zh-CN"/>
        </w:rPr>
      </w:pPr>
      <w:r>
        <w:rPr>
          <w:rFonts w:hint="eastAsia" w:ascii="楷体" w:hAnsi="楷体" w:eastAsia="楷体" w:cs="楷体"/>
          <w:b w:val="0"/>
          <w:bCs w:val="0"/>
          <w:sz w:val="32"/>
          <w:lang w:val="en-US" w:eastAsia="zh-CN"/>
        </w:rPr>
        <w:t>（四）固体废物处理及处置</w:t>
      </w:r>
    </w:p>
    <w:p w14:paraId="0E97F4E8">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仿宋_GB2312" w:eastAsia="仿宋_GB2312" w:cs="仿宋_GB2312"/>
          <w:b w:val="0"/>
          <w:bCs w:val="0"/>
          <w:sz w:val="32"/>
          <w:lang w:val="en-US" w:eastAsia="zh-CN"/>
        </w:rPr>
      </w:pPr>
      <w:r>
        <w:rPr>
          <w:rFonts w:hint="eastAsia" w:ascii="仿宋_GB2312" w:hAnsi="仿宋_GB2312" w:eastAsia="仿宋_GB2312" w:cs="仿宋_GB2312"/>
          <w:b w:val="0"/>
          <w:bCs w:val="0"/>
          <w:sz w:val="32"/>
          <w:lang w:val="en-US" w:eastAsia="zh-CN"/>
        </w:rPr>
        <w:t>1.施工期工程弃渣、建筑垃圾尽量回用于项目建设，不能回用的部分及施工人员生活垃圾要定点收贮，定期清运至当地环卫部门指定地点统一处理。</w:t>
      </w:r>
    </w:p>
    <w:p w14:paraId="5010930C">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仿宋_GB2312" w:eastAsia="仿宋_GB2312" w:cs="仿宋_GB2312"/>
          <w:b w:val="0"/>
          <w:bCs w:val="0"/>
          <w:sz w:val="32"/>
          <w:lang w:val="en-US" w:eastAsia="zh-CN"/>
        </w:rPr>
      </w:pPr>
      <w:r>
        <w:rPr>
          <w:rFonts w:hint="eastAsia" w:ascii="仿宋_GB2312" w:hAnsi="仿宋_GB2312" w:eastAsia="仿宋_GB2312" w:cs="仿宋_GB2312"/>
          <w:b w:val="0"/>
          <w:bCs w:val="0"/>
          <w:sz w:val="32"/>
          <w:lang w:val="en-US" w:eastAsia="zh-CN"/>
        </w:rPr>
        <w:t>2.本项目运营期间固废主要为养护道班人员生活垃圾，均由封闭式垃圾箱收集定期清运至当地环卫部门指定地点处理。</w:t>
      </w:r>
    </w:p>
    <w:p w14:paraId="0F70DF8E">
      <w:pPr>
        <w:keepNext w:val="0"/>
        <w:keepLines w:val="0"/>
        <w:pageBreakBefore w:val="0"/>
        <w:widowControl w:val="0"/>
        <w:kinsoku/>
        <w:wordWrap/>
        <w:overflowPunct w:val="0"/>
        <w:topLinePunct w:val="0"/>
        <w:autoSpaceDE w:val="0"/>
        <w:autoSpaceDN w:val="0"/>
        <w:bidi w:val="0"/>
        <w:adjustRightInd w:val="0"/>
        <w:snapToGrid w:val="0"/>
        <w:spacing w:line="540" w:lineRule="exact"/>
        <w:ind w:firstLine="640" w:firstLineChars="200"/>
        <w:textAlignment w:val="auto"/>
        <w:rPr>
          <w:rFonts w:hint="eastAsia" w:ascii="楷体" w:hAnsi="楷体" w:eastAsia="楷体" w:cs="楷体"/>
          <w:b w:val="0"/>
          <w:bCs w:val="0"/>
          <w:sz w:val="32"/>
          <w:lang w:val="en-US" w:eastAsia="zh-CN"/>
        </w:rPr>
      </w:pPr>
      <w:r>
        <w:rPr>
          <w:rFonts w:hint="eastAsia" w:ascii="楷体" w:hAnsi="楷体" w:eastAsia="楷体" w:cs="楷体"/>
          <w:b w:val="0"/>
          <w:bCs w:val="0"/>
          <w:sz w:val="32"/>
          <w:lang w:val="en-US" w:eastAsia="zh-CN"/>
        </w:rPr>
        <w:t>（五）生态环境保护措施</w:t>
      </w:r>
    </w:p>
    <w:p w14:paraId="28E64087">
      <w:pPr>
        <w:keepNext w:val="0"/>
        <w:keepLines w:val="0"/>
        <w:pageBreakBefore w:val="0"/>
        <w:widowControl w:val="0"/>
        <w:kinsoku/>
        <w:wordWrap/>
        <w:overflowPunct w:val="0"/>
        <w:topLinePunct w:val="0"/>
        <w:autoSpaceDE w:val="0"/>
        <w:autoSpaceDN w:val="0"/>
        <w:bidi w:val="0"/>
        <w:adjustRightInd w:val="0"/>
        <w:snapToGrid w:val="0"/>
        <w:spacing w:line="540" w:lineRule="exact"/>
        <w:textAlignment w:val="auto"/>
        <w:rPr>
          <w:rFonts w:hint="eastAsia" w:ascii="仿宋_GB2312" w:hAnsi="仿宋_GB2312" w:eastAsia="仿宋_GB2312" w:cs="仿宋_GB2312"/>
          <w:b w:val="0"/>
          <w:bCs w:val="0"/>
          <w:sz w:val="32"/>
          <w:lang w:val="en-US" w:eastAsia="zh-CN"/>
        </w:rPr>
      </w:pPr>
      <w:r>
        <w:rPr>
          <w:rFonts w:hint="eastAsia" w:ascii="仿宋_GB2312" w:hAnsi="仿宋_GB2312" w:eastAsia="仿宋_GB2312" w:cs="仿宋_GB2312"/>
          <w:b w:val="0"/>
          <w:bCs w:val="0"/>
          <w:sz w:val="32"/>
          <w:lang w:val="en-US" w:eastAsia="zh-CN"/>
        </w:rPr>
        <w:t xml:space="preserve">    施工期结束后及时对动土周边进行复垦和植被恢复，做好项目区周边绿化及生态保护工作。在进入保护区路段设置限速标志，并安装雷达测速设备；同时设置“野生动物出没，谨慎驾驶”等警示标识，提醒驾驶员注意避让。在百灵、云雀等鸟类活动频繁路段设置鸟类防撞设施，并设置反光警示条，减少鸟类因强光眩晕撞击路面的风险。  </w:t>
      </w:r>
    </w:p>
    <w:p w14:paraId="2B0BF1DA">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宋体" w:eastAsia="仿宋_GB2312"/>
          <w:b w:val="0"/>
          <w:bCs w:val="0"/>
          <w:sz w:val="32"/>
          <w:szCs w:val="32"/>
          <w:lang w:eastAsia="zh-CN"/>
        </w:rPr>
      </w:pPr>
      <w:r>
        <w:rPr>
          <w:rFonts w:hint="eastAsia" w:ascii="仿宋_GB2312" w:hAnsi="宋体" w:eastAsia="仿宋_GB2312"/>
          <w:b w:val="0"/>
          <w:bCs w:val="0"/>
          <w:sz w:val="32"/>
          <w:szCs w:val="32"/>
          <w:lang w:val="en-US" w:eastAsia="zh-CN"/>
        </w:rPr>
        <w:t>三、项目建设必须</w:t>
      </w:r>
      <w:r>
        <w:rPr>
          <w:rFonts w:hint="eastAsia" w:ascii="仿宋_GB2312" w:hAnsi="宋体" w:eastAsia="仿宋_GB2312"/>
          <w:b w:val="0"/>
          <w:bCs w:val="0"/>
          <w:sz w:val="32"/>
          <w:szCs w:val="32"/>
          <w:lang w:eastAsia="zh-CN"/>
        </w:rPr>
        <w:t>严</w:t>
      </w:r>
      <w:r>
        <w:rPr>
          <w:rFonts w:hint="eastAsia" w:ascii="仿宋_GB2312" w:hAnsi="宋体" w:eastAsia="仿宋_GB2312"/>
          <w:b w:val="0"/>
          <w:bCs w:val="0"/>
          <w:sz w:val="32"/>
          <w:szCs w:val="32"/>
        </w:rPr>
        <w:t>格执行</w:t>
      </w:r>
      <w:r>
        <w:rPr>
          <w:rFonts w:hint="eastAsia" w:ascii="仿宋_GB2312" w:hAnsi="宋体" w:eastAsia="仿宋_GB2312"/>
          <w:b w:val="0"/>
          <w:bCs w:val="0"/>
          <w:sz w:val="32"/>
          <w:szCs w:val="32"/>
          <w:lang w:eastAsia="zh-CN"/>
        </w:rPr>
        <w:t>环保设施与主体工程同时设计、同时施工、同时投产使用的环境保护</w:t>
      </w:r>
      <w:r>
        <w:rPr>
          <w:rFonts w:hint="eastAsia" w:ascii="仿宋_GB2312" w:hAnsi="宋体" w:eastAsia="仿宋_GB2312"/>
          <w:b w:val="0"/>
          <w:bCs w:val="0"/>
          <w:sz w:val="32"/>
          <w:szCs w:val="32"/>
        </w:rPr>
        <w:t>“三同时”制度</w:t>
      </w:r>
      <w:r>
        <w:rPr>
          <w:rFonts w:hint="eastAsia" w:ascii="仿宋_GB2312" w:hAnsi="宋体" w:eastAsia="仿宋_GB2312"/>
          <w:b w:val="0"/>
          <w:bCs w:val="0"/>
          <w:sz w:val="32"/>
          <w:szCs w:val="32"/>
          <w:lang w:eastAsia="zh-CN"/>
        </w:rPr>
        <w:t>。</w:t>
      </w:r>
    </w:p>
    <w:p w14:paraId="648D2F8B">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宋体" w:eastAsia="仿宋_GB2312"/>
          <w:b w:val="0"/>
          <w:bCs w:val="0"/>
          <w:sz w:val="32"/>
          <w:szCs w:val="32"/>
          <w:lang w:eastAsia="zh-CN"/>
        </w:rPr>
      </w:pPr>
      <w:r>
        <w:rPr>
          <w:rFonts w:hint="eastAsia" w:ascii="仿宋_GB2312" w:hAnsi="宋体" w:eastAsia="仿宋_GB2312"/>
          <w:b w:val="0"/>
          <w:bCs w:val="0"/>
          <w:sz w:val="32"/>
          <w:szCs w:val="32"/>
          <w:lang w:eastAsia="zh-CN"/>
        </w:rPr>
        <w:t>（一）要将环境保护措施纳入初步设计报告并落实环保设施投资概算。</w:t>
      </w:r>
    </w:p>
    <w:p w14:paraId="22B0C138">
      <w:pPr>
        <w:pStyle w:val="2"/>
        <w:keepNext w:val="0"/>
        <w:keepLines w:val="0"/>
        <w:pageBreakBefore w:val="0"/>
        <w:widowControl w:val="0"/>
        <w:kinsoku/>
        <w:wordWrap/>
        <w:topLinePunct w:val="0"/>
        <w:bidi w:val="0"/>
        <w:spacing w:line="540" w:lineRule="exact"/>
        <w:ind w:left="0" w:leftChars="0" w:firstLine="640" w:firstLineChars="200"/>
        <w:textAlignment w:val="auto"/>
        <w:rPr>
          <w:rFonts w:hint="eastAsia"/>
          <w:b w:val="0"/>
          <w:bCs w:val="0"/>
          <w:sz w:val="32"/>
          <w:szCs w:val="32"/>
          <w:lang w:eastAsia="zh-CN"/>
        </w:rPr>
      </w:pPr>
      <w:r>
        <w:rPr>
          <w:rFonts w:hint="eastAsia" w:ascii="仿宋_GB2312" w:hAnsi="宋体" w:eastAsia="仿宋_GB2312"/>
          <w:b w:val="0"/>
          <w:bCs w:val="0"/>
          <w:sz w:val="32"/>
          <w:szCs w:val="32"/>
          <w:lang w:eastAsia="zh-CN"/>
        </w:rPr>
        <w:t>（二）要将环境保护设施建设纳入施工合同，</w:t>
      </w:r>
      <w:r>
        <w:rPr>
          <w:rFonts w:hint="eastAsia" w:ascii="仿宋_GB2312" w:eastAsia="仿宋_GB2312"/>
          <w:b w:val="0"/>
          <w:bCs w:val="0"/>
          <w:sz w:val="32"/>
          <w:szCs w:val="32"/>
          <w:lang w:eastAsia="zh-CN"/>
        </w:rPr>
        <w:t>保证</w:t>
      </w:r>
      <w:r>
        <w:rPr>
          <w:rFonts w:hint="eastAsia" w:ascii="仿宋_GB2312" w:hAnsi="宋体" w:eastAsia="仿宋_GB2312"/>
          <w:b w:val="0"/>
          <w:bCs w:val="0"/>
          <w:sz w:val="32"/>
          <w:szCs w:val="32"/>
          <w:lang w:eastAsia="zh-CN"/>
        </w:rPr>
        <w:t>环境保护措施建设进度和资金。</w:t>
      </w:r>
    </w:p>
    <w:p w14:paraId="681E49E2">
      <w:pPr>
        <w:keepNext w:val="0"/>
        <w:keepLines w:val="0"/>
        <w:pageBreakBefore w:val="0"/>
        <w:widowControl w:val="0"/>
        <w:numPr>
          <w:ilvl w:val="0"/>
          <w:numId w:val="0"/>
        </w:numPr>
        <w:kinsoku/>
        <w:wordWrap/>
        <w:overflowPunct w:val="0"/>
        <w:topLinePunct w:val="0"/>
        <w:autoSpaceDE w:val="0"/>
        <w:autoSpaceDN w:val="0"/>
        <w:bidi w:val="0"/>
        <w:adjustRightInd w:val="0"/>
        <w:snapToGrid w:val="0"/>
        <w:spacing w:line="540" w:lineRule="exact"/>
        <w:ind w:firstLine="640" w:firstLineChars="200"/>
        <w:textAlignment w:val="auto"/>
        <w:rPr>
          <w:rFonts w:hint="eastAsia" w:ascii="仿宋_GB2312" w:hAnsi="宋体" w:eastAsia="仿宋_GB2312"/>
          <w:b w:val="0"/>
          <w:bCs w:val="0"/>
          <w:sz w:val="32"/>
          <w:szCs w:val="32"/>
          <w:lang w:eastAsia="zh-CN"/>
        </w:rPr>
      </w:pPr>
      <w:r>
        <w:rPr>
          <w:rFonts w:hint="eastAsia" w:ascii="仿宋_GB2312" w:hAnsi="宋体" w:eastAsia="仿宋_GB2312"/>
          <w:b w:val="0"/>
          <w:bCs w:val="0"/>
          <w:sz w:val="32"/>
          <w:szCs w:val="32"/>
          <w:lang w:eastAsia="zh-CN"/>
        </w:rPr>
        <w:t>（三）</w:t>
      </w:r>
      <w:r>
        <w:rPr>
          <w:rFonts w:hint="eastAsia" w:ascii="仿宋_GB2312" w:hAnsi="宋体" w:eastAsia="仿宋_GB2312"/>
          <w:b w:val="0"/>
          <w:bCs w:val="0"/>
          <w:sz w:val="32"/>
          <w:szCs w:val="32"/>
        </w:rPr>
        <w:t>项目</w:t>
      </w:r>
      <w:r>
        <w:rPr>
          <w:rFonts w:hint="eastAsia" w:ascii="仿宋_GB2312" w:hAnsi="宋体" w:eastAsia="仿宋_GB2312"/>
          <w:b w:val="0"/>
          <w:bCs w:val="0"/>
          <w:sz w:val="32"/>
          <w:szCs w:val="32"/>
          <w:lang w:eastAsia="zh-CN"/>
        </w:rPr>
        <w:t>竣工后必须按照建设项目竣工环境保护验收的有关规定开展监测验收，验收合格后方可正式投产。</w:t>
      </w:r>
    </w:p>
    <w:p w14:paraId="7E4D840A">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w:t>
      </w:r>
      <w:r>
        <w:rPr>
          <w:rFonts w:hint="eastAsia" w:ascii="仿宋_GB2312" w:hAnsi="仿宋_GB2312" w:eastAsia="仿宋_GB2312" w:cs="仿宋_GB2312"/>
          <w:color w:val="auto"/>
          <w:sz w:val="32"/>
          <w:szCs w:val="32"/>
          <w:lang w:bidi="en-US"/>
        </w:rPr>
        <w:t>锡林郭勒盟生态环境局</w:t>
      </w:r>
      <w:r>
        <w:rPr>
          <w:rFonts w:hint="eastAsia" w:ascii="仿宋_GB2312" w:hAnsi="仿宋_GB2312" w:eastAsia="仿宋_GB2312" w:cs="仿宋_GB2312"/>
          <w:color w:val="auto"/>
          <w:sz w:val="32"/>
          <w:szCs w:val="32"/>
          <w:lang w:eastAsia="zh-CN" w:bidi="en-US"/>
        </w:rPr>
        <w:t>二连浩特市分局、苏尼特左旗分局，</w:t>
      </w:r>
      <w:r>
        <w:rPr>
          <w:rFonts w:hint="eastAsia" w:ascii="仿宋_GB2312" w:hAnsi="仿宋_GB2312" w:eastAsia="仿宋_GB2312" w:cs="仿宋_GB2312"/>
          <w:sz w:val="32"/>
          <w:szCs w:val="32"/>
          <w:highlight w:val="none"/>
          <w:lang w:val="en-US" w:eastAsia="zh-CN"/>
        </w:rPr>
        <w:t>锡林郭勒盟生态环境综合行政执法支队</w:t>
      </w:r>
      <w:r>
        <w:rPr>
          <w:rFonts w:hint="eastAsia" w:ascii="仿宋_GB2312" w:hAnsi="仿宋_GB2312" w:eastAsia="仿宋_GB2312" w:cs="仿宋_GB2312"/>
          <w:color w:val="auto"/>
          <w:sz w:val="32"/>
          <w:szCs w:val="32"/>
          <w:lang w:bidi="en-US"/>
        </w:rPr>
        <w:t>对该项目各项污染防治措施落实情况进行监督检查和管理。</w:t>
      </w:r>
    </w:p>
    <w:p w14:paraId="2EF251FD">
      <w:pPr>
        <w:rPr>
          <w:rFonts w:hint="eastAsia"/>
          <w:color w:val="auto"/>
        </w:rPr>
      </w:pPr>
    </w:p>
    <w:p w14:paraId="6BBEC107">
      <w:pPr>
        <w:pStyle w:val="6"/>
        <w:rPr>
          <w:rFonts w:hint="eastAsia"/>
          <w:color w:val="auto"/>
        </w:rPr>
      </w:pPr>
    </w:p>
    <w:p w14:paraId="2AF81562">
      <w:pPr>
        <w:pStyle w:val="2"/>
        <w:rPr>
          <w:rFonts w:hint="eastAsia"/>
        </w:rPr>
      </w:pPr>
    </w:p>
    <w:p w14:paraId="27B57EDB">
      <w:pPr>
        <w:rPr>
          <w:rFonts w:hint="eastAsia"/>
          <w:color w:val="auto"/>
        </w:rPr>
      </w:pPr>
    </w:p>
    <w:p w14:paraId="6001C259">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3F17FF6A">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highlight w:val="none"/>
          <w:lang w:bidi="en-US"/>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8</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22</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28121373">
      <w:pPr>
        <w:rPr>
          <w:rFonts w:hint="eastAsia" w:ascii="仿宋_GB2312" w:hAnsi="仿宋_GB2312" w:eastAsia="仿宋_GB2312" w:cs="仿宋_GB2312"/>
          <w:color w:val="auto"/>
          <w:sz w:val="32"/>
          <w:szCs w:val="32"/>
          <w:highlight w:val="none"/>
          <w:lang w:bidi="en-US"/>
        </w:rPr>
      </w:pPr>
    </w:p>
    <w:p w14:paraId="0D9E1B48">
      <w:pPr>
        <w:rPr>
          <w:rFonts w:hint="eastAsia" w:ascii="仿宋" w:hAnsi="仿宋" w:eastAsia="仿宋" w:cs="仿宋"/>
          <w:color w:val="auto"/>
          <w:highlight w:val="none"/>
        </w:rPr>
      </w:pPr>
    </w:p>
    <w:p w14:paraId="50699309">
      <w:pPr>
        <w:pStyle w:val="18"/>
        <w:keepNext w:val="0"/>
        <w:keepLines w:val="0"/>
        <w:pageBreakBefore w:val="0"/>
        <w:widowControl w:val="0"/>
        <w:kinsoku/>
        <w:wordWrap/>
        <w:overflowPunct/>
        <w:topLinePunct w:val="0"/>
        <w:bidi w:val="0"/>
        <w:snapToGrid/>
        <w:spacing w:line="500" w:lineRule="exact"/>
        <w:ind w:left="1119" w:leftChars="133" w:hanging="840" w:hangingChars="300"/>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二连浩特市</w:t>
      </w:r>
    </w:p>
    <w:p w14:paraId="3FD90928">
      <w:pPr>
        <w:pStyle w:val="18"/>
        <w:keepNext w:val="0"/>
        <w:keepLines w:val="0"/>
        <w:pageBreakBefore w:val="0"/>
        <w:widowControl w:val="0"/>
        <w:kinsoku/>
        <w:wordWrap/>
        <w:overflowPunct/>
        <w:topLinePunct w:val="0"/>
        <w:bidi w:val="0"/>
        <w:snapToGrid/>
        <w:spacing w:line="500" w:lineRule="exact"/>
        <w:ind w:left="1117" w:leftChars="532" w:firstLine="0" w:firstLineChars="0"/>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分</w:t>
      </w:r>
      <w:r>
        <w:rPr>
          <w:rFonts w:hint="eastAsia" w:ascii="仿宋" w:hAnsi="仿宋" w:eastAsia="仿宋" w:cs="仿宋"/>
          <w:color w:val="auto"/>
          <w:kern w:val="2"/>
          <w:sz w:val="28"/>
          <w:szCs w:val="28"/>
          <w:highlight w:val="none"/>
          <w:lang w:eastAsia="zh-CN" w:bidi="en-US"/>
        </w:rPr>
        <w:t>局、苏尼特左旗分局</w:t>
      </w:r>
    </w:p>
    <w:p w14:paraId="42C5A3ED">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8</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22</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FAB19">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A6D7AC">
                          <w:pPr>
                            <w:pStyle w:val="9"/>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BA6D7AC">
                    <w:pPr>
                      <w:pStyle w:val="9"/>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812FB5"/>
    <w:rsid w:val="04D60042"/>
    <w:rsid w:val="05FD1001"/>
    <w:rsid w:val="064265FE"/>
    <w:rsid w:val="065A7A8E"/>
    <w:rsid w:val="07E80A5E"/>
    <w:rsid w:val="08125FE6"/>
    <w:rsid w:val="09F707CE"/>
    <w:rsid w:val="0A055186"/>
    <w:rsid w:val="0B1701D0"/>
    <w:rsid w:val="0C7A4895"/>
    <w:rsid w:val="0D6D6C1D"/>
    <w:rsid w:val="0EE27BE5"/>
    <w:rsid w:val="109F048E"/>
    <w:rsid w:val="12BB1194"/>
    <w:rsid w:val="133A3E29"/>
    <w:rsid w:val="134A4ECA"/>
    <w:rsid w:val="13EB21F9"/>
    <w:rsid w:val="1B7C0676"/>
    <w:rsid w:val="1BF2CB73"/>
    <w:rsid w:val="1D61177E"/>
    <w:rsid w:val="1F9C573C"/>
    <w:rsid w:val="20C67501"/>
    <w:rsid w:val="20E00C0C"/>
    <w:rsid w:val="22B733D3"/>
    <w:rsid w:val="26B75F6B"/>
    <w:rsid w:val="270A5106"/>
    <w:rsid w:val="29D8150D"/>
    <w:rsid w:val="2AAB4039"/>
    <w:rsid w:val="2CC22BD3"/>
    <w:rsid w:val="2CF929A0"/>
    <w:rsid w:val="2D875092"/>
    <w:rsid w:val="2F1F3E8C"/>
    <w:rsid w:val="2F2B74F6"/>
    <w:rsid w:val="2F7E7F6E"/>
    <w:rsid w:val="30F33234"/>
    <w:rsid w:val="3812264D"/>
    <w:rsid w:val="3AD90E3C"/>
    <w:rsid w:val="3BFB7ADD"/>
    <w:rsid w:val="3C3E8AA0"/>
    <w:rsid w:val="3C4B2A92"/>
    <w:rsid w:val="3CA66F28"/>
    <w:rsid w:val="3EDBBAD3"/>
    <w:rsid w:val="3FBC777D"/>
    <w:rsid w:val="3FC31BD1"/>
    <w:rsid w:val="445D3A2B"/>
    <w:rsid w:val="466622E2"/>
    <w:rsid w:val="46B26845"/>
    <w:rsid w:val="4A3B72B4"/>
    <w:rsid w:val="4B973E13"/>
    <w:rsid w:val="4C8B494E"/>
    <w:rsid w:val="4CDD40CE"/>
    <w:rsid w:val="4EC33F0B"/>
    <w:rsid w:val="4FDC11D7"/>
    <w:rsid w:val="501114FC"/>
    <w:rsid w:val="51B03B5F"/>
    <w:rsid w:val="55621614"/>
    <w:rsid w:val="56990422"/>
    <w:rsid w:val="577420E6"/>
    <w:rsid w:val="57B40ADC"/>
    <w:rsid w:val="5A213210"/>
    <w:rsid w:val="5B679E5F"/>
    <w:rsid w:val="5C1271C4"/>
    <w:rsid w:val="5C8C51C9"/>
    <w:rsid w:val="5DD60DF1"/>
    <w:rsid w:val="5DFFD6AD"/>
    <w:rsid w:val="5EBF9621"/>
    <w:rsid w:val="5FA70BB0"/>
    <w:rsid w:val="60C2740B"/>
    <w:rsid w:val="617526E2"/>
    <w:rsid w:val="640E5DD6"/>
    <w:rsid w:val="640F77AC"/>
    <w:rsid w:val="6479615F"/>
    <w:rsid w:val="65980358"/>
    <w:rsid w:val="67927E4C"/>
    <w:rsid w:val="68146F4B"/>
    <w:rsid w:val="68387D94"/>
    <w:rsid w:val="69CC12A6"/>
    <w:rsid w:val="6D337A9A"/>
    <w:rsid w:val="6D874340"/>
    <w:rsid w:val="6D965EA7"/>
    <w:rsid w:val="6E1A4AAF"/>
    <w:rsid w:val="6FD159E5"/>
    <w:rsid w:val="6FEE6D0C"/>
    <w:rsid w:val="70EA0941"/>
    <w:rsid w:val="71FFDCEE"/>
    <w:rsid w:val="737F42A4"/>
    <w:rsid w:val="751F6782"/>
    <w:rsid w:val="756C3B4F"/>
    <w:rsid w:val="776575C6"/>
    <w:rsid w:val="77A04D8F"/>
    <w:rsid w:val="77A23F56"/>
    <w:rsid w:val="77FB60A4"/>
    <w:rsid w:val="78CC1696"/>
    <w:rsid w:val="795254DD"/>
    <w:rsid w:val="79F6371A"/>
    <w:rsid w:val="7AF70175"/>
    <w:rsid w:val="7BB80B28"/>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FE1E3B"/>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3"/>
    <w:basedOn w:val="1"/>
    <w:next w:val="1"/>
    <w:qFormat/>
    <w:uiPriority w:val="0"/>
    <w:pPr>
      <w:keepNext/>
      <w:keepLines/>
      <w:adjustRightInd w:val="0"/>
      <w:snapToGrid w:val="0"/>
      <w:spacing w:beforeLines="0" w:beforeAutospacing="0" w:afterLines="0" w:afterAutospacing="0" w:line="360" w:lineRule="auto"/>
      <w:outlineLvl w:val="2"/>
    </w:pPr>
    <w:rPr>
      <w:rFonts w:ascii="Calibri" w:hAnsi="Calibri" w:eastAsia="黑体"/>
      <w:sz w:val="24"/>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4">
    <w:name w:val="Default Paragraph Font"/>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adjustRightInd w:val="0"/>
      <w:ind w:firstLine="420"/>
      <w:textAlignment w:val="baseline"/>
    </w:pPr>
    <w:rPr>
      <w:rFonts w:ascii="宋体" w:hAnsi="宋体"/>
      <w:sz w:val="18"/>
      <w:szCs w:val="18"/>
    </w:rPr>
  </w:style>
  <w:style w:type="paragraph" w:styleId="3">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Normal Indent"/>
    <w:basedOn w:val="1"/>
    <w:next w:val="2"/>
    <w:qFormat/>
    <w:uiPriority w:val="0"/>
    <w:pPr>
      <w:ind w:firstLine="420" w:firstLineChars="200"/>
    </w:pPr>
    <w:rPr>
      <w:rFonts w:ascii="Times New Roman" w:hAnsi="Times New Roman" w:eastAsia="宋体"/>
      <w:szCs w:val="24"/>
    </w:rPr>
  </w:style>
  <w:style w:type="paragraph" w:styleId="7">
    <w:name w:val="annotation text"/>
    <w:basedOn w:val="1"/>
    <w:link w:val="26"/>
    <w:semiHidden/>
    <w:unhideWhenUsed/>
    <w:qFormat/>
    <w:uiPriority w:val="99"/>
    <w:pPr>
      <w:jc w:val="left"/>
    </w:pPr>
  </w:style>
  <w:style w:type="paragraph" w:styleId="8">
    <w:name w:val="Body Text"/>
    <w:basedOn w:val="1"/>
    <w:qFormat/>
    <w:uiPriority w:val="0"/>
    <w:pPr>
      <w:spacing w:after="120"/>
    </w:pPr>
    <w:rPr>
      <w:szCs w:val="24"/>
    </w:rPr>
  </w:style>
  <w:style w:type="paragraph" w:styleId="9">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10">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tabs>
        <w:tab w:val="left" w:pos="284"/>
        <w:tab w:val="right" w:leader="dot" w:pos="8296"/>
      </w:tabs>
    </w:pPr>
  </w:style>
  <w:style w:type="paragraph" w:styleId="12">
    <w:name w:val="annotation subject"/>
    <w:basedOn w:val="7"/>
    <w:next w:val="7"/>
    <w:link w:val="27"/>
    <w:semiHidden/>
    <w:unhideWhenUsed/>
    <w:qFormat/>
    <w:uiPriority w:val="99"/>
    <w:rPr>
      <w:b/>
      <w:bCs/>
    </w:rPr>
  </w:style>
  <w:style w:type="character" w:styleId="15">
    <w:name w:val="Hyperlink"/>
    <w:basedOn w:val="14"/>
    <w:unhideWhenUsed/>
    <w:qFormat/>
    <w:uiPriority w:val="99"/>
    <w:rPr>
      <w:color w:val="0563C1" w:themeColor="hyperlink"/>
      <w:u w:val="single"/>
      <w14:textFill>
        <w14:solidFill>
          <w14:schemeClr w14:val="hlink"/>
        </w14:solidFill>
      </w14:textFill>
    </w:rPr>
  </w:style>
  <w:style w:type="character" w:styleId="16">
    <w:name w:val="annotation reference"/>
    <w:basedOn w:val="14"/>
    <w:semiHidden/>
    <w:unhideWhenUsed/>
    <w:qFormat/>
    <w:uiPriority w:val="99"/>
    <w:rPr>
      <w:sz w:val="21"/>
      <w:szCs w:val="21"/>
    </w:rPr>
  </w:style>
  <w:style w:type="paragraph" w:customStyle="1" w:styleId="17">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8">
    <w:name w:val="Default"/>
    <w:basedOn w:val="19"/>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9">
    <w:name w:val="纯文本1"/>
    <w:basedOn w:val="1"/>
    <w:qFormat/>
    <w:uiPriority w:val="0"/>
    <w:rPr>
      <w:rFonts w:ascii="宋体" w:hAnsi="Courier New"/>
      <w:szCs w:val="20"/>
    </w:rPr>
  </w:style>
  <w:style w:type="paragraph" w:customStyle="1" w:styleId="20">
    <w:name w:val="正文1"/>
    <w:basedOn w:val="18"/>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21">
    <w:name w:val="未处理的提及1"/>
    <w:basedOn w:val="14"/>
    <w:semiHidden/>
    <w:unhideWhenUsed/>
    <w:qFormat/>
    <w:uiPriority w:val="99"/>
    <w:rPr>
      <w:color w:val="605E5C"/>
      <w:shd w:val="clear" w:color="auto" w:fill="E1DFDD"/>
    </w:rPr>
  </w:style>
  <w:style w:type="character" w:customStyle="1" w:styleId="22">
    <w:name w:val="页眉 字符"/>
    <w:basedOn w:val="14"/>
    <w:link w:val="10"/>
    <w:qFormat/>
    <w:uiPriority w:val="99"/>
    <w:rPr>
      <w:kern w:val="2"/>
      <w:sz w:val="18"/>
      <w:szCs w:val="18"/>
    </w:rPr>
  </w:style>
  <w:style w:type="paragraph" w:customStyle="1" w:styleId="23">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4">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5">
    <w:name w:val="List Paragraph"/>
    <w:basedOn w:val="1"/>
    <w:qFormat/>
    <w:uiPriority w:val="99"/>
    <w:pPr>
      <w:ind w:firstLine="420" w:firstLineChars="200"/>
    </w:pPr>
  </w:style>
  <w:style w:type="character" w:customStyle="1" w:styleId="26">
    <w:name w:val="批注文字 字符"/>
    <w:basedOn w:val="14"/>
    <w:link w:val="7"/>
    <w:semiHidden/>
    <w:qFormat/>
    <w:uiPriority w:val="99"/>
    <w:rPr>
      <w:kern w:val="2"/>
      <w:sz w:val="21"/>
      <w:szCs w:val="22"/>
    </w:rPr>
  </w:style>
  <w:style w:type="character" w:customStyle="1" w:styleId="27">
    <w:name w:val="批注主题 字符"/>
    <w:basedOn w:val="26"/>
    <w:link w:val="12"/>
    <w:semiHidden/>
    <w:qFormat/>
    <w:uiPriority w:val="99"/>
    <w:rPr>
      <w:b/>
      <w:bCs/>
      <w:kern w:val="2"/>
      <w:sz w:val="21"/>
      <w:szCs w:val="22"/>
    </w:rPr>
  </w:style>
  <w:style w:type="paragraph" w:customStyle="1" w:styleId="28">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9">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30">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31">
    <w:name w:val="正文2"/>
    <w:basedOn w:val="1"/>
    <w:qFormat/>
    <w:uiPriority w:val="0"/>
    <w:pPr>
      <w:spacing w:line="360" w:lineRule="auto"/>
      <w:ind w:firstLine="200" w:firstLineChars="200"/>
    </w:pPr>
    <w:rPr>
      <w:rFonts w:ascii="Times New Roman" w:hAnsi="Times New Roman"/>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1680</Words>
  <Characters>1820</Characters>
  <Lines>19</Lines>
  <Paragraphs>5</Paragraphs>
  <TotalTime>87</TotalTime>
  <ScaleCrop>false</ScaleCrop>
  <LinksUpToDate>false</LinksUpToDate>
  <CharactersWithSpaces>1837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2023-02-03T09:32:00Z</dcterms:created>
  <dc:creator>hui hui</dc:creator>
  <cp:lastModifiedBy>ོʚ 中ོ然ོ ɞ</cp:lastModifiedBy>
  <cp:lastPrinted>2023-02-03T09:39:00Z</cp:lastPrinted>
  <dcterms:modified xsi:type="dcterms:W3CDTF">2025-08-25T09:08:29Z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F414E6E3423511F31DD8A768EDC92320</vt:lpwstr>
  </property>
  <property fmtid="{D5CDD505-2E9C-101B-9397-08002B2CF9AE}" pid="4" name="KSOTemplateDocerSaveRecord">
    <vt:lpwstr>eyJoZGlkIjoiNTk0MDc0MWE2MzMxMjkwZmE5ODU4OGMzYzc5YjkzMTAiLCJ1c2VySWQiOiI1NDkxMDYxNjAifQ==</vt:lpwstr>
  </property>
</Properties>
</file>