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7FB712">
      <w:pPr>
        <w:keepNext w:val="0"/>
        <w:keepLines w:val="0"/>
        <w:pageBreakBefore w:val="0"/>
        <w:kinsoku/>
        <w:wordWrap/>
        <w:overflowPunct/>
        <w:topLinePunct w:val="0"/>
        <w:bidi w:val="0"/>
        <w:snapToGrid w:val="0"/>
        <w:spacing w:line="560" w:lineRule="exact"/>
        <w:ind w:firstLine="0" w:firstLineChars="0"/>
        <w:rPr>
          <w:rFonts w:hint="eastAsia"/>
          <w:color w:val="C00000"/>
          <w:sz w:val="32"/>
          <w:szCs w:val="32"/>
          <w:highlight w:val="yellow"/>
        </w:rPr>
      </w:pPr>
      <w:bookmarkStart w:id="0" w:name="_Hlk124747957"/>
    </w:p>
    <w:p w14:paraId="48E0E953">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5EA8A0C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77C98B34">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18814C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A638D7D">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ECD62C3">
      <w:pPr>
        <w:pStyle w:val="28"/>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5440E1CC">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1F63A093">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30</w:t>
      </w:r>
      <w:r>
        <w:rPr>
          <w:rFonts w:hint="eastAsia" w:ascii="仿宋_GB2312" w:hAnsi="Times New Roman" w:eastAsia="仿宋_GB2312" w:cs="Arial"/>
          <w:color w:val="auto"/>
          <w:sz w:val="32"/>
          <w:szCs w:val="32"/>
          <w:highlight w:val="none"/>
          <w:lang w:bidi="en-US"/>
        </w:rPr>
        <w:t>号</w:t>
      </w:r>
    </w:p>
    <w:p w14:paraId="5B55F149">
      <w:pPr>
        <w:adjustRightInd w:val="0"/>
        <w:snapToGrid w:val="0"/>
        <w:spacing w:line="360" w:lineRule="auto"/>
        <w:jc w:val="center"/>
        <w:rPr>
          <w:b/>
          <w:bCs/>
          <w:color w:val="auto"/>
          <w:sz w:val="32"/>
          <w:szCs w:val="32"/>
          <w:highlight w:val="none"/>
        </w:rPr>
      </w:pPr>
    </w:p>
    <w:bookmarkEnd w:id="0"/>
    <w:p w14:paraId="4A44F4EF">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lang w:val="en-US" w:eastAsia="zh-CN"/>
        </w:rPr>
      </w:pPr>
      <w:r>
        <w:rPr>
          <w:rFonts w:hint="eastAsia" w:ascii="方正小标宋简体" w:hAnsi="方正小标宋简体" w:eastAsia="方正小标宋简体" w:cs="方正小标宋简体"/>
          <w:bCs/>
          <w:color w:val="auto"/>
          <w:sz w:val="44"/>
          <w:szCs w:val="44"/>
          <w:highlight w:val="none"/>
          <w:lang w:val="en-US" w:eastAsia="zh-CN"/>
        </w:rPr>
        <w:t>锡林郭勒盟生态环境局</w:t>
      </w:r>
    </w:p>
    <w:p w14:paraId="074FCBF4">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关于内蒙古华泽资源有限公司日处理2000吨铁矿石脱硫扩建项目环境影响</w:t>
      </w:r>
    </w:p>
    <w:p w14:paraId="2F3ABE4B">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报告书的批复</w:t>
      </w:r>
    </w:p>
    <w:p w14:paraId="73B92481">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59EC347C">
      <w:pPr>
        <w:keepNext w:val="0"/>
        <w:keepLines w:val="0"/>
        <w:pageBreakBefore w:val="0"/>
        <w:widowControl w:val="0"/>
        <w:kinsoku/>
        <w:wordWrap/>
        <w:overflowPunct/>
        <w:topLinePunct w:val="0"/>
        <w:autoSpaceDE w:val="0"/>
        <w:autoSpaceDN w:val="0"/>
        <w:bidi w:val="0"/>
        <w:adjustRightInd w:val="0"/>
        <w:snapToGrid w:val="0"/>
        <w:spacing w:line="52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eastAsia="zh-CN" w:bidi="en-US"/>
        </w:rPr>
        <w:t>内蒙古华泽资源有限公司</w:t>
      </w:r>
      <w:r>
        <w:rPr>
          <w:rFonts w:hint="eastAsia" w:ascii="仿宋_GB2312" w:hAnsi="仿宋_GB2312" w:eastAsia="仿宋_GB2312" w:cs="仿宋_GB2312"/>
          <w:color w:val="auto"/>
          <w:sz w:val="32"/>
          <w:szCs w:val="32"/>
          <w:lang w:bidi="en-US"/>
        </w:rPr>
        <w:t>：</w:t>
      </w:r>
    </w:p>
    <w:p w14:paraId="1E8EBAD7">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你单位报送的《内蒙古华泽资源有限公司日处理2000吨铁矿石脱硫扩建项目环境影响报告书》（</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5DAE59D8">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bidi="en-US"/>
        </w:rPr>
        <w:t>一、</w:t>
      </w:r>
      <w:r>
        <w:rPr>
          <w:rFonts w:hint="eastAsia" w:ascii="仿宋_GB2312" w:hAnsi="仿宋_GB2312" w:eastAsia="仿宋_GB2312" w:cs="仿宋_GB2312"/>
          <w:color w:val="auto"/>
          <w:kern w:val="2"/>
          <w:sz w:val="32"/>
          <w:szCs w:val="32"/>
          <w:lang w:val="en-US" w:eastAsia="zh-CN" w:bidi="ar-SA"/>
        </w:rPr>
        <w:t>内蒙古华泽资源有限公司日处理2000吨铁矿石脱硫扩建项目位于二连浩特市欧亚国际物流园区二连华泽矿业有限公司厂区内，厂区占地面积为20000m²</w:t>
      </w:r>
      <w:r>
        <w:rPr>
          <w:rFonts w:hint="eastAsia" w:ascii="仿宋_GB2312" w:hAnsi="仿宋_GB2312" w:eastAsia="仿宋_GB2312" w:cs="仿宋_GB2312"/>
          <w:color w:val="auto"/>
          <w:sz w:val="32"/>
          <w:szCs w:val="32"/>
          <w:lang w:val="en-US" w:eastAsia="zh-CN" w:bidi="en-US"/>
        </w:rPr>
        <w:t>，不新</w:t>
      </w:r>
      <w:r>
        <w:rPr>
          <w:rFonts w:hint="eastAsia" w:ascii="仿宋_GB2312" w:hAnsi="仿宋_GB2312" w:eastAsia="仿宋_GB2312" w:cs="仿宋_GB2312"/>
          <w:color w:val="auto"/>
          <w:kern w:val="2"/>
          <w:sz w:val="32"/>
          <w:szCs w:val="32"/>
          <w:lang w:val="en-US" w:eastAsia="zh-CN" w:bidi="ar-SA"/>
        </w:rPr>
        <w:t>增用地。本次扩建新增选铁二车间（包含原矿石储运、破碎工段、磨选、分级、粗磁选工段），浮选生产线及配套设备，主要加工矿石为高硫块矿，项目建成后日处理2000吨铁矿石。</w:t>
      </w:r>
    </w:p>
    <w:p w14:paraId="2E5BB5B4">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w:t>
      </w:r>
      <w:r>
        <w:rPr>
          <w:rFonts w:hint="eastAsia" w:ascii="仿宋_GB2312" w:hAnsi="仿宋_GB2312" w:eastAsia="仿宋_GB2312" w:cs="仿宋_GB2312"/>
          <w:color w:val="auto"/>
          <w:sz w:val="32"/>
          <w:szCs w:val="32"/>
          <w:lang w:val="en-US" w:eastAsia="zh-CN" w:bidi="en-US"/>
        </w:rPr>
        <w:t>和拟采取的污染防治措施及下述要求进行建设。</w:t>
      </w:r>
    </w:p>
    <w:p w14:paraId="6F1B0F29">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14:paraId="689E5DBC">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color w:val="auto"/>
          <w:kern w:val="2"/>
          <w:sz w:val="32"/>
          <w:szCs w:val="32"/>
          <w:lang w:val="en-US" w:eastAsia="zh-CN" w:bidi="ar-SA"/>
        </w:rPr>
        <w:t>项目运营期大气污染源主要为破碎工段产生的粉尘、矿石卸料产生的粉尘和运输扬尘。项目新增选铁二车间中破碎工段产生的粉尘经集气罩收集，由布袋除尘器处理后通过排气筒排放，排放浓度满足《铁矿采选工业污染物排放标准》（GB28661-2012）中表5排放限值要求。本次扩建要求原矿库全封闭建设，同时在原矿卸料时降低卸料高度，并在库房进出口设置雾炮装置，定期喷洒抑尘，选矿工序无组织颗粒物废气排放满足《铁矿采选工业污染物排放标准》（GB28661-2012）中表7排放限值。</w:t>
      </w:r>
    </w:p>
    <w:p w14:paraId="0FF75BC8">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项目原矿石、尾矿砂、精矿均采用汽车运输，运输主要依托合作区市政道路。运输过程中车辆加盖苫布，同时对运输道路定期清理，保持路面干净，并定期洒水增湿。</w:t>
      </w:r>
    </w:p>
    <w:p w14:paraId="670E6E67">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严格落实固体废物污染防治措施。</w:t>
      </w:r>
      <w:r>
        <w:rPr>
          <w:rFonts w:hint="eastAsia" w:ascii="仿宋_GB2312" w:hAnsi="仿宋_GB2312" w:eastAsia="仿宋_GB2312" w:cs="仿宋_GB2312"/>
          <w:b w:val="0"/>
          <w:bCs w:val="0"/>
          <w:color w:val="auto"/>
          <w:kern w:val="2"/>
          <w:sz w:val="32"/>
          <w:szCs w:val="32"/>
          <w:highlight w:val="none"/>
          <w:lang w:val="en-US" w:eastAsia="zh-CN" w:bidi="en-US"/>
        </w:rPr>
        <w:t>项目运营期产生的固体废物主要为除尘灰、尾矿砂、废矿物油、浮选药剂包装等。除尘灰统一收集后作为原材料回用于选矿工艺；尾矿砂通过皮带输送机至尾矿仓暂存，由运输车辆运往内蒙古融冠达矿业有限公司尾矿库处置；运营期设备维修将产生废机油、废黄油、废油桶、浮选药剂包装暂存于危废暂存间后定期交由有资质单位处置。</w:t>
      </w:r>
    </w:p>
    <w:p w14:paraId="10F7217F">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b w:val="0"/>
          <w:bCs/>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（三）严格落实各项水污染防治措施。</w:t>
      </w:r>
      <w:r>
        <w:rPr>
          <w:rFonts w:hint="eastAsia" w:ascii="仿宋_GB2312" w:hAnsi="仿宋_GB2312" w:eastAsia="仿宋_GB2312" w:cs="仿宋_GB2312"/>
          <w:color w:val="auto"/>
          <w:kern w:val="2"/>
          <w:sz w:val="32"/>
          <w:szCs w:val="32"/>
          <w:highlight w:val="none"/>
          <w:lang w:val="en-US" w:eastAsia="zh-CN" w:bidi="en-US"/>
        </w:rPr>
        <w:t>项目运营期废水主要为选矿过程中产生的浓缩废水，经现有循环水池沉淀处理后循环使用。本次扩建不新增劳动定员，不新增生活污水。锅炉废水主要用于抑尘，不外排。</w:t>
      </w:r>
    </w:p>
    <w:p w14:paraId="008FB266">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严格落实噪声防治措施。</w:t>
      </w:r>
      <w:r>
        <w:rPr>
          <w:rFonts w:hint="eastAsia" w:ascii="仿宋_GB2312" w:hAnsi="仿宋_GB2312" w:eastAsia="仿宋_GB2312" w:cs="仿宋_GB2312"/>
          <w:color w:val="auto"/>
          <w:kern w:val="2"/>
          <w:sz w:val="32"/>
          <w:szCs w:val="32"/>
          <w:highlight w:val="none"/>
          <w:lang w:val="en-US" w:eastAsia="zh-CN" w:bidi="en-US"/>
        </w:rPr>
        <w:t>项目噪声源主要为选矿作业和运输车辆所带来的噪声影响。针对不同的声源采取相应的消声、隔音、减振、降噪措施，高噪设备均置于封闭车间内并加装减震基座，同时加强机械设备日常维护。运输车辆减速行驶，禁止鸣笛。最终噪声排放满足《工业企业厂界环境噪声排放标准》（GB12348-2008）3类标准限值要求。</w:t>
      </w:r>
    </w:p>
    <w:p w14:paraId="79892940">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切实落实土壤和地下水污染防治措施。</w:t>
      </w:r>
      <w:r>
        <w:rPr>
          <w:rFonts w:hint="eastAsia" w:ascii="仿宋_GB2312" w:hAnsi="仿宋_GB2312" w:eastAsia="仿宋_GB2312" w:cs="仿宋_GB2312"/>
          <w:color w:val="auto"/>
          <w:kern w:val="2"/>
          <w:sz w:val="32"/>
          <w:szCs w:val="32"/>
          <w:highlight w:val="none"/>
          <w:lang w:val="en-US" w:eastAsia="zh-CN" w:bidi="en-US"/>
        </w:rPr>
        <w:t>按照“源头控制、分区防控、污染监控、应急响应”相结合的原则采取分区防渗，危废暂存间采取重点防渗措施，并根据《危险废物贮存污染控制标准》（GB18597-2023）建设，所有防渗措施均执行《环境影响评价技术导则地下水环境》（HJ610-2016）标准。</w:t>
      </w:r>
    </w:p>
    <w:p w14:paraId="013703CB">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强化环境风险防范措施。</w:t>
      </w:r>
      <w:r>
        <w:rPr>
          <w:rFonts w:hint="eastAsia" w:ascii="仿宋_GB2312" w:hAnsi="仿宋_GB2312" w:eastAsia="仿宋_GB2312" w:cs="仿宋_GB2312"/>
          <w:color w:val="auto"/>
          <w:kern w:val="2"/>
          <w:sz w:val="32"/>
          <w:szCs w:val="32"/>
          <w:highlight w:val="none"/>
          <w:lang w:val="en-US" w:eastAsia="zh-CN" w:bidi="en-US"/>
        </w:rPr>
        <w:t>落实环保设施安全生产工作，建立环保设备设施台账和维护管理制度。建立完善的环境管理制度和事故应急措施，制定切实可行的环境风险应急预案，加强对危废暂存间的管理；严格落实风险防范措施和应急预案，切实杜绝环境风险事故。</w:t>
      </w:r>
    </w:p>
    <w:p w14:paraId="78456AEC">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严格落实运营期污染源监测计划。</w:t>
      </w:r>
      <w:r>
        <w:rPr>
          <w:rFonts w:hint="eastAsia" w:ascii="仿宋_GB2312" w:hAnsi="仿宋_GB2312" w:eastAsia="仿宋_GB2312" w:cs="仿宋_GB2312"/>
          <w:color w:val="auto"/>
          <w:kern w:val="2"/>
          <w:sz w:val="32"/>
          <w:szCs w:val="32"/>
          <w:highlight w:val="none"/>
          <w:lang w:val="en-US" w:eastAsia="zh-CN" w:bidi="en-US"/>
        </w:rPr>
        <w:t>按照国家和地方有关规定设置规范的污染物排放口，按要求建设监控感知端，并设立标志牌。按照相关标准、规范等要求，落实《报告书》提出的环境管理及监测计划。强化污染源与无组织排放源管理，制定自行监测方案，落实环境管理与监测计划，按规定开展自行监测和信息公开。如出现污染物超标情况，应立即查明原因并采取进一步污染物减排措施。</w:t>
      </w:r>
    </w:p>
    <w:p w14:paraId="12BC14AD">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三、</w:t>
      </w:r>
      <w:r>
        <w:rPr>
          <w:rFonts w:hint="eastAsia" w:ascii="仿宋_GB2312" w:hAnsi="仿宋_GB2312" w:eastAsia="仿宋_GB2312" w:cs="仿宋_GB2312"/>
          <w:color w:val="auto"/>
          <w:kern w:val="2"/>
          <w:sz w:val="32"/>
          <w:szCs w:val="32"/>
          <w:highlight w:val="none"/>
          <w:lang w:val="en-US" w:eastAsia="zh-CN" w:bidi="en-US"/>
        </w:rPr>
        <w:t>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7A8E43FC">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四、</w:t>
      </w:r>
      <w:r>
        <w:rPr>
          <w:rFonts w:hint="eastAsia" w:ascii="仿宋_GB2312" w:hAnsi="仿宋_GB2312" w:eastAsia="仿宋_GB2312" w:cs="仿宋_GB2312"/>
          <w:color w:val="auto"/>
          <w:kern w:val="2"/>
          <w:sz w:val="32"/>
          <w:szCs w:val="32"/>
          <w:highlight w:val="none"/>
          <w:lang w:val="en-US" w:eastAsia="zh-CN" w:bidi="en-US"/>
        </w:rPr>
        <w:t>我局委托锡林郭勒盟生态环境局二连浩特市分局对该项目各项污染防治措施落实情况进行监督检查和管理。</w:t>
      </w:r>
    </w:p>
    <w:p w14:paraId="62E83A93">
      <w:pPr>
        <w:keepNext w:val="0"/>
        <w:keepLines w:val="0"/>
        <w:pageBreakBefore w:val="0"/>
        <w:widowControl w:val="0"/>
        <w:kinsoku/>
        <w:wordWrap/>
        <w:overflowPunct/>
        <w:topLinePunct w:val="0"/>
        <w:bidi w:val="0"/>
        <w:spacing w:line="520" w:lineRule="exact"/>
        <w:textAlignment w:val="auto"/>
        <w:rPr>
          <w:rFonts w:hint="eastAsia"/>
          <w:color w:val="auto"/>
        </w:rPr>
      </w:pPr>
    </w:p>
    <w:p w14:paraId="3028B29B">
      <w:pPr>
        <w:rPr>
          <w:rFonts w:hint="eastAsia"/>
          <w:color w:val="auto"/>
        </w:rPr>
      </w:pPr>
    </w:p>
    <w:p w14:paraId="4F0AEAFA">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lang w:bidi="en-US"/>
          <w14:textFill>
            <w14:solidFill>
              <w14:schemeClr w14:val="tx1"/>
            </w14:solidFill>
          </w14:textFill>
        </w:rPr>
        <w:t>锡林</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郭勒盟生态环境局</w:t>
      </w:r>
    </w:p>
    <w:p w14:paraId="1B1AE9F1">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8</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27</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14:paraId="6ABBD571">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auto"/>
          <w:sz w:val="32"/>
          <w:szCs w:val="32"/>
          <w:highlight w:val="none"/>
          <w:lang w:bidi="en-US"/>
        </w:rPr>
      </w:pPr>
    </w:p>
    <w:p w14:paraId="2994E6CC">
      <w:pPr>
        <w:rPr>
          <w:rFonts w:hint="eastAsia"/>
        </w:rPr>
      </w:pPr>
    </w:p>
    <w:p w14:paraId="412FECD1">
      <w:pPr>
        <w:pStyle w:val="3"/>
        <w:rPr>
          <w:rFonts w:hint="eastAsia"/>
        </w:rPr>
      </w:pPr>
    </w:p>
    <w:p w14:paraId="37CEB501">
      <w:pPr>
        <w:pStyle w:val="4"/>
        <w:rPr>
          <w:rFonts w:hint="eastAsia"/>
        </w:rPr>
      </w:pPr>
    </w:p>
    <w:p w14:paraId="3FAF5F0C">
      <w:pPr>
        <w:rPr>
          <w:rFonts w:hint="eastAsia"/>
        </w:rPr>
      </w:pPr>
    </w:p>
    <w:p w14:paraId="42756528">
      <w:pPr>
        <w:rPr>
          <w:rFonts w:hint="eastAsia"/>
        </w:rPr>
      </w:pPr>
    </w:p>
    <w:p w14:paraId="151186E5">
      <w:pPr>
        <w:rPr>
          <w:rFonts w:hint="eastAsia"/>
        </w:rPr>
      </w:pPr>
      <w:bookmarkStart w:id="1" w:name="_GoBack"/>
      <w:bookmarkEnd w:id="1"/>
    </w:p>
    <w:p w14:paraId="4D979F21">
      <w:pPr>
        <w:rPr>
          <w:rFonts w:hint="eastAsia"/>
        </w:rPr>
      </w:pPr>
    </w:p>
    <w:p w14:paraId="057EB119">
      <w:pPr>
        <w:rPr>
          <w:rFonts w:hint="eastAsia" w:ascii="仿宋" w:hAnsi="仿宋" w:eastAsia="仿宋" w:cs="仿宋"/>
          <w:color w:val="auto"/>
          <w:highlight w:val="none"/>
        </w:rPr>
      </w:pPr>
    </w:p>
    <w:p w14:paraId="5CCB499D">
      <w:pPr>
        <w:pStyle w:val="17"/>
        <w:keepNext w:val="0"/>
        <w:keepLines w:val="0"/>
        <w:pageBreakBefore w:val="0"/>
        <w:widowControl w:val="0"/>
        <w:kinsoku/>
        <w:wordWrap/>
        <w:overflowPunct/>
        <w:topLinePunct w:val="0"/>
        <w:bidi w:val="0"/>
        <w:snapToGrid/>
        <w:spacing w:line="500" w:lineRule="exact"/>
        <w:jc w:val="both"/>
        <w:textAlignment w:val="auto"/>
        <w:rPr>
          <w:rFonts w:hint="eastAsia" w:ascii="仿宋" w:hAnsi="仿宋" w:eastAsia="仿宋" w:cs="仿宋"/>
          <w:color w:val="auto"/>
          <w:kern w:val="2"/>
          <w:sz w:val="28"/>
          <w:szCs w:val="28"/>
          <w:highlight w:val="none"/>
          <w:lang w:eastAsia="zh-CN" w:bidi="en-US"/>
        </w:rPr>
      </w:pPr>
      <w:r>
        <w:rPr>
          <w:rFonts w:hint="eastAsia" w:ascii="仿宋" w:hAnsi="仿宋" w:eastAsia="仿宋" w:cs="仿宋"/>
          <w:color w:val="auto"/>
          <w:kern w:val="2"/>
          <w:sz w:val="28"/>
          <w:szCs w:val="28"/>
          <w:highlight w:val="none"/>
          <w:lang w:bidi="en-US"/>
        </w:rPr>
        <w:t>抄送：盟生态环境综合行政执法支队</w:t>
      </w:r>
      <w:r>
        <w:rPr>
          <w:rFonts w:hint="eastAsia" w:ascii="仿宋" w:hAnsi="仿宋" w:eastAsia="仿宋" w:cs="仿宋"/>
          <w:color w:val="auto"/>
          <w:kern w:val="2"/>
          <w:sz w:val="28"/>
          <w:szCs w:val="28"/>
          <w:highlight w:val="none"/>
          <w:lang w:eastAsia="zh-CN" w:bidi="en-US"/>
        </w:rPr>
        <w:t>，</w:t>
      </w:r>
      <w:r>
        <w:rPr>
          <w:rFonts w:hint="eastAsia" w:ascii="仿宋" w:hAnsi="仿宋" w:eastAsia="仿宋" w:cs="仿宋"/>
          <w:color w:val="auto"/>
          <w:kern w:val="2"/>
          <w:sz w:val="28"/>
          <w:szCs w:val="28"/>
          <w:highlight w:val="none"/>
          <w:lang w:bidi="en-US"/>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二连浩特市分</w:t>
      </w:r>
      <w:r>
        <w:rPr>
          <w:rFonts w:hint="eastAsia" w:ascii="仿宋" w:hAnsi="仿宋" w:eastAsia="仿宋" w:cs="仿宋"/>
          <w:color w:val="auto"/>
          <w:kern w:val="2"/>
          <w:sz w:val="28"/>
          <w:szCs w:val="28"/>
          <w:highlight w:val="none"/>
          <w:lang w:eastAsia="zh-CN" w:bidi="en-US"/>
        </w:rPr>
        <w:t>局</w:t>
      </w:r>
    </w:p>
    <w:p w14:paraId="19F29D29">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锡林郭勒盟生态环境局办公室           </w:t>
      </w:r>
      <w:r>
        <w:rPr>
          <w:rFonts w:hint="eastAsia" w:ascii="仿宋" w:hAnsi="仿宋" w:eastAsia="仿宋" w:cs="仿宋"/>
          <w:color w:val="000000" w:themeColor="text1"/>
          <w:sz w:val="28"/>
          <w:szCs w:val="28"/>
          <w:highlight w:val="none"/>
          <w14:textFill>
            <w14:solidFill>
              <w14:schemeClr w14:val="tx1"/>
            </w14:solidFill>
          </w14:textFill>
        </w:rPr>
        <w:t xml:space="preserve">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5</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8</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27</w:t>
      </w:r>
      <w:r>
        <w:rPr>
          <w:rFonts w:hint="eastAsia" w:ascii="仿宋" w:hAnsi="仿宋" w:eastAsia="仿宋" w:cs="仿宋"/>
          <w:color w:val="000000" w:themeColor="text1"/>
          <w:sz w:val="28"/>
          <w:szCs w:val="28"/>
          <w:highlight w:val="none"/>
          <w14:textFill>
            <w14:solidFill>
              <w14:schemeClr w14:val="tx1"/>
            </w14:solidFill>
          </w14:textFill>
        </w:rPr>
        <w:t>日印</w:t>
      </w:r>
      <w:r>
        <w:rPr>
          <w:rFonts w:hint="eastAsia" w:ascii="仿宋" w:hAnsi="仿宋" w:eastAsia="仿宋" w:cs="仿宋"/>
          <w:color w:val="auto"/>
          <w:sz w:val="28"/>
          <w:szCs w:val="28"/>
          <w:highlight w:val="none"/>
        </w:rPr>
        <w:t>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99DF62">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716494">
                          <w:pPr>
                            <w:pStyle w:val="8"/>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5716494">
                    <w:pPr>
                      <w:pStyle w:val="8"/>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940A54"/>
    <w:multiLevelType w:val="singleLevel"/>
    <w:tmpl w:val="4B940A54"/>
    <w:lvl w:ilvl="0" w:tentative="0">
      <w:start w:val="4"/>
      <w:numFmt w:val="chineseCounting"/>
      <w:suff w:val="nothing"/>
      <w:lvlText w:val="（%1）"/>
      <w:lvlJc w:val="left"/>
      <w:rPr>
        <w:rFonts w:hint="eastAsia" w:ascii="楷体" w:hAnsi="楷体" w:eastAsia="楷体" w:cs="楷体"/>
        <w:b w:val="0"/>
        <w:bCs w:val="0"/>
        <w:sz w:val="32"/>
        <w:szCs w:val="32"/>
      </w:rPr>
    </w:lvl>
  </w:abstractNum>
  <w:abstractNum w:abstractNumId="1">
    <w:nsid w:val="7C2ABA95"/>
    <w:multiLevelType w:val="singleLevel"/>
    <w:tmpl w:val="7C2ABA95"/>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23F66B6"/>
    <w:rsid w:val="033C2BF5"/>
    <w:rsid w:val="04082137"/>
    <w:rsid w:val="04D60042"/>
    <w:rsid w:val="05FD1001"/>
    <w:rsid w:val="064265FE"/>
    <w:rsid w:val="065A7A8E"/>
    <w:rsid w:val="07E80A5E"/>
    <w:rsid w:val="08125FE6"/>
    <w:rsid w:val="09F707CE"/>
    <w:rsid w:val="0A055186"/>
    <w:rsid w:val="0B1701D0"/>
    <w:rsid w:val="0C7A4895"/>
    <w:rsid w:val="0D6D6C1D"/>
    <w:rsid w:val="0EE27BE5"/>
    <w:rsid w:val="109F048E"/>
    <w:rsid w:val="127F665A"/>
    <w:rsid w:val="133A3E29"/>
    <w:rsid w:val="134A4ECA"/>
    <w:rsid w:val="13EB21F9"/>
    <w:rsid w:val="18A4506D"/>
    <w:rsid w:val="1B7C0676"/>
    <w:rsid w:val="1BF2CB73"/>
    <w:rsid w:val="1D61177E"/>
    <w:rsid w:val="1F9C573C"/>
    <w:rsid w:val="20C67501"/>
    <w:rsid w:val="20E00C0C"/>
    <w:rsid w:val="22B733D3"/>
    <w:rsid w:val="24B57F51"/>
    <w:rsid w:val="26B75F6B"/>
    <w:rsid w:val="270A5106"/>
    <w:rsid w:val="29D8150D"/>
    <w:rsid w:val="2AAB4039"/>
    <w:rsid w:val="2CF929A0"/>
    <w:rsid w:val="2D875092"/>
    <w:rsid w:val="2F1F3E8C"/>
    <w:rsid w:val="2F2B74F6"/>
    <w:rsid w:val="2F7E7F6E"/>
    <w:rsid w:val="3812264D"/>
    <w:rsid w:val="3AD90E3C"/>
    <w:rsid w:val="3BEB35C3"/>
    <w:rsid w:val="3BFB7ADD"/>
    <w:rsid w:val="3C3E8AA0"/>
    <w:rsid w:val="3C4B2A92"/>
    <w:rsid w:val="3CA66F28"/>
    <w:rsid w:val="3EDBBAD3"/>
    <w:rsid w:val="3FBC777D"/>
    <w:rsid w:val="3FC31BD1"/>
    <w:rsid w:val="445D3A2B"/>
    <w:rsid w:val="466622E2"/>
    <w:rsid w:val="46B26845"/>
    <w:rsid w:val="4A3B72B4"/>
    <w:rsid w:val="4B973E13"/>
    <w:rsid w:val="4CDD40CE"/>
    <w:rsid w:val="4EC33F0B"/>
    <w:rsid w:val="4FDC11D7"/>
    <w:rsid w:val="501114FC"/>
    <w:rsid w:val="511F0080"/>
    <w:rsid w:val="51B03B5F"/>
    <w:rsid w:val="55621614"/>
    <w:rsid w:val="56990422"/>
    <w:rsid w:val="577420E6"/>
    <w:rsid w:val="57B40ADC"/>
    <w:rsid w:val="5B679E5F"/>
    <w:rsid w:val="5C1271C4"/>
    <w:rsid w:val="5C8C51C9"/>
    <w:rsid w:val="5D5E0D8C"/>
    <w:rsid w:val="5DD60DF1"/>
    <w:rsid w:val="5DFFD6AD"/>
    <w:rsid w:val="5FA70BB0"/>
    <w:rsid w:val="617526E2"/>
    <w:rsid w:val="640E5DD6"/>
    <w:rsid w:val="640F77AC"/>
    <w:rsid w:val="6479615F"/>
    <w:rsid w:val="65980358"/>
    <w:rsid w:val="66D37D0B"/>
    <w:rsid w:val="67927E4C"/>
    <w:rsid w:val="68146F4B"/>
    <w:rsid w:val="68387D94"/>
    <w:rsid w:val="68717409"/>
    <w:rsid w:val="69CC12A6"/>
    <w:rsid w:val="6A4F0707"/>
    <w:rsid w:val="6D337A9A"/>
    <w:rsid w:val="6D874340"/>
    <w:rsid w:val="6D965EA7"/>
    <w:rsid w:val="6E1A4AAF"/>
    <w:rsid w:val="6FD159E5"/>
    <w:rsid w:val="6FEE6D0C"/>
    <w:rsid w:val="70EA0941"/>
    <w:rsid w:val="71FFDCEE"/>
    <w:rsid w:val="737F42A4"/>
    <w:rsid w:val="751F6782"/>
    <w:rsid w:val="756C3B4F"/>
    <w:rsid w:val="776575C6"/>
    <w:rsid w:val="77A04D8F"/>
    <w:rsid w:val="77A23F56"/>
    <w:rsid w:val="77FB60A4"/>
    <w:rsid w:val="78CC1696"/>
    <w:rsid w:val="795254DD"/>
    <w:rsid w:val="79F6371A"/>
    <w:rsid w:val="7A556BC2"/>
    <w:rsid w:val="7BB80B28"/>
    <w:rsid w:val="7CE53CE8"/>
    <w:rsid w:val="7E435BD1"/>
    <w:rsid w:val="7E5356DB"/>
    <w:rsid w:val="7F590AE3"/>
    <w:rsid w:val="7F6C2C5A"/>
    <w:rsid w:val="7F7C8CD3"/>
    <w:rsid w:val="7F7CE8F3"/>
    <w:rsid w:val="7FD6261A"/>
    <w:rsid w:val="97FFBFF7"/>
    <w:rsid w:val="AFDFA893"/>
    <w:rsid w:val="B6FB1ACB"/>
    <w:rsid w:val="BBFD157B"/>
    <w:rsid w:val="BBFFB394"/>
    <w:rsid w:val="BDB9872E"/>
    <w:rsid w:val="C73F4456"/>
    <w:rsid w:val="CF77A9DB"/>
    <w:rsid w:val="DBAFDD4B"/>
    <w:rsid w:val="DBD5EE8A"/>
    <w:rsid w:val="DF671AB1"/>
    <w:rsid w:val="E7FD0A82"/>
    <w:rsid w:val="EF6F4B52"/>
    <w:rsid w:val="EFEB112C"/>
    <w:rsid w:val="F3FD86CF"/>
    <w:rsid w:val="F4FE1E3B"/>
    <w:rsid w:val="FC7D141F"/>
    <w:rsid w:val="FE9F31A0"/>
    <w:rsid w:val="FFDE3B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3">
    <w:name w:val="Default Paragraph Font"/>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4"/>
    <w:qFormat/>
    <w:uiPriority w:val="0"/>
    <w:pPr>
      <w:ind w:firstLine="420" w:firstLineChars="200"/>
    </w:pPr>
    <w:rPr>
      <w:rFonts w:ascii="Times New Roman" w:hAnsi="Times New Roman" w:eastAsia="宋体"/>
      <w:szCs w:val="24"/>
    </w:rPr>
  </w:style>
  <w:style w:type="paragraph" w:styleId="4">
    <w:name w:val="Body Text First Indent 2"/>
    <w:basedOn w:val="5"/>
    <w:next w:val="1"/>
    <w:qFormat/>
    <w:uiPriority w:val="0"/>
    <w:pPr>
      <w:adjustRightInd w:val="0"/>
      <w:ind w:firstLine="420"/>
      <w:textAlignment w:val="baseline"/>
    </w:pPr>
    <w:rPr>
      <w:rFonts w:ascii="宋体" w:hAnsi="宋体"/>
      <w:sz w:val="18"/>
      <w:szCs w:val="18"/>
    </w:rPr>
  </w:style>
  <w:style w:type="paragraph" w:styleId="5">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5"/>
    <w:semiHidden/>
    <w:unhideWhenUsed/>
    <w:qFormat/>
    <w:uiPriority w:val="99"/>
    <w:pPr>
      <w:jc w:val="left"/>
    </w:pPr>
  </w:style>
  <w:style w:type="paragraph" w:styleId="7">
    <w:name w:val="Body Text"/>
    <w:basedOn w:val="1"/>
    <w:qFormat/>
    <w:uiPriority w:val="0"/>
    <w:pPr>
      <w:spacing w:after="120"/>
    </w:pPr>
    <w:rPr>
      <w:szCs w:val="24"/>
    </w:rPr>
  </w:style>
  <w:style w:type="paragraph" w:styleId="8">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9">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39"/>
    <w:pPr>
      <w:tabs>
        <w:tab w:val="left" w:pos="284"/>
        <w:tab w:val="right" w:leader="dot" w:pos="8296"/>
      </w:tabs>
    </w:pPr>
  </w:style>
  <w:style w:type="paragraph" w:styleId="11">
    <w:name w:val="annotation subject"/>
    <w:basedOn w:val="6"/>
    <w:next w:val="6"/>
    <w:link w:val="26"/>
    <w:semiHidden/>
    <w:unhideWhenUsed/>
    <w:qFormat/>
    <w:uiPriority w:val="99"/>
    <w:rPr>
      <w:b/>
      <w:bCs/>
    </w:rPr>
  </w:style>
  <w:style w:type="character" w:styleId="14">
    <w:name w:val="Hyperlink"/>
    <w:basedOn w:val="13"/>
    <w:unhideWhenUsed/>
    <w:qFormat/>
    <w:uiPriority w:val="99"/>
    <w:rPr>
      <w:color w:val="0563C1" w:themeColor="hyperlink"/>
      <w:u w:val="single"/>
      <w14:textFill>
        <w14:solidFill>
          <w14:schemeClr w14:val="hlink"/>
        </w14:solidFill>
      </w14:textFill>
    </w:rPr>
  </w:style>
  <w:style w:type="character" w:styleId="15">
    <w:name w:val="annotation reference"/>
    <w:basedOn w:val="13"/>
    <w:semiHidden/>
    <w:unhideWhenUsed/>
    <w:qFormat/>
    <w:uiPriority w:val="99"/>
    <w:rPr>
      <w:sz w:val="21"/>
      <w:szCs w:val="21"/>
    </w:rPr>
  </w:style>
  <w:style w:type="paragraph" w:customStyle="1" w:styleId="16">
    <w:name w:val="[1]正文"/>
    <w:basedOn w:val="1"/>
    <w:qFormat/>
    <w:uiPriority w:val="0"/>
    <w:pPr>
      <w:autoSpaceDE w:val="0"/>
      <w:autoSpaceDN w:val="0"/>
      <w:ind w:left="0" w:leftChars="0" w:firstLine="200" w:firstLineChars="200"/>
    </w:pPr>
    <w:rPr>
      <w:rFonts w:ascii="Times New Roman" w:hAnsi="Times New Roman" w:eastAsia="宋体" w:cs="Times New Roman"/>
      <w:color w:val="000000"/>
      <w:kern w:val="0"/>
      <w:szCs w:val="24"/>
      <w:lang w:val="zh-CN"/>
    </w:rPr>
  </w:style>
  <w:style w:type="paragraph" w:customStyle="1" w:styleId="17">
    <w:name w:val="Default"/>
    <w:basedOn w:val="18"/>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8">
    <w:name w:val="纯文本1"/>
    <w:basedOn w:val="1"/>
    <w:qFormat/>
    <w:uiPriority w:val="0"/>
    <w:rPr>
      <w:rFonts w:ascii="宋体" w:hAnsi="Courier New"/>
      <w:szCs w:val="20"/>
    </w:rPr>
  </w:style>
  <w:style w:type="paragraph" w:customStyle="1" w:styleId="19">
    <w:name w:val="正文1"/>
    <w:basedOn w:val="17"/>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20">
    <w:name w:val="未处理的提及1"/>
    <w:basedOn w:val="13"/>
    <w:semiHidden/>
    <w:unhideWhenUsed/>
    <w:qFormat/>
    <w:uiPriority w:val="99"/>
    <w:rPr>
      <w:color w:val="605E5C"/>
      <w:shd w:val="clear" w:color="auto" w:fill="E1DFDD"/>
    </w:rPr>
  </w:style>
  <w:style w:type="character" w:customStyle="1" w:styleId="21">
    <w:name w:val="页眉 字符"/>
    <w:basedOn w:val="13"/>
    <w:link w:val="9"/>
    <w:qFormat/>
    <w:uiPriority w:val="99"/>
    <w:rPr>
      <w:kern w:val="2"/>
      <w:sz w:val="18"/>
      <w:szCs w:val="18"/>
    </w:rPr>
  </w:style>
  <w:style w:type="paragraph" w:customStyle="1" w:styleId="22">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3">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4">
    <w:name w:val="List Paragraph"/>
    <w:basedOn w:val="1"/>
    <w:qFormat/>
    <w:uiPriority w:val="99"/>
    <w:pPr>
      <w:ind w:firstLine="420" w:firstLineChars="200"/>
    </w:pPr>
  </w:style>
  <w:style w:type="character" w:customStyle="1" w:styleId="25">
    <w:name w:val="批注文字 字符"/>
    <w:basedOn w:val="13"/>
    <w:link w:val="6"/>
    <w:semiHidden/>
    <w:qFormat/>
    <w:uiPriority w:val="99"/>
    <w:rPr>
      <w:kern w:val="2"/>
      <w:sz w:val="21"/>
      <w:szCs w:val="22"/>
    </w:rPr>
  </w:style>
  <w:style w:type="character" w:customStyle="1" w:styleId="26">
    <w:name w:val="批注主题 字符"/>
    <w:basedOn w:val="25"/>
    <w:link w:val="11"/>
    <w:semiHidden/>
    <w:qFormat/>
    <w:uiPriority w:val="99"/>
    <w:rPr>
      <w:b/>
      <w:bCs/>
      <w:kern w:val="2"/>
      <w:sz w:val="21"/>
      <w:szCs w:val="22"/>
    </w:rPr>
  </w:style>
  <w:style w:type="paragraph" w:customStyle="1" w:styleId="27">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8">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 w:type="paragraph" w:customStyle="1" w:styleId="29">
    <w:name w:val="报告正文"/>
    <w:basedOn w:val="1"/>
    <w:qFormat/>
    <w:uiPriority w:val="0"/>
    <w:pPr>
      <w:adjustRightInd w:val="0"/>
      <w:snapToGrid w:val="0"/>
      <w:spacing w:line="360" w:lineRule="auto"/>
      <w:ind w:firstLine="482" w:firstLineChars="200"/>
    </w:pPr>
    <w:rPr>
      <w:color w:val="000000"/>
      <w:sz w:val="24"/>
      <w:szCs w:val="21"/>
    </w:rPr>
  </w:style>
  <w:style w:type="paragraph" w:customStyle="1" w:styleId="30">
    <w:name w:val="正文2"/>
    <w:basedOn w:val="1"/>
    <w:qFormat/>
    <w:uiPriority w:val="0"/>
    <w:pPr>
      <w:spacing w:line="360" w:lineRule="auto"/>
      <w:ind w:firstLine="200" w:firstLineChars="200"/>
    </w:pPr>
    <w:rPr>
      <w:rFonts w:ascii="Times New Roman" w:hAnsi="Times New Roman"/>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1797</Words>
  <Characters>1880</Characters>
  <Lines>19</Lines>
  <Paragraphs>5</Paragraphs>
  <TotalTime>14</TotalTime>
  <ScaleCrop>false</ScaleCrop>
  <LinksUpToDate>false</LinksUpToDate>
  <CharactersWithSpaces>1893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2023-02-03T01:32:00Z</dcterms:created>
  <dc:creator>hui hui</dc:creator>
  <cp:lastModifiedBy>ོʚ 中ོ然ོ ɞ</cp:lastModifiedBy>
  <cp:lastPrinted>2023-02-03T01:39:00Z</cp:lastPrinted>
  <dcterms:modified xsi:type="dcterms:W3CDTF">2025-08-27T08:33:01Z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695F123B30954051A87E79FCC8BF0731_13</vt:lpwstr>
  </property>
  <property fmtid="{D5CDD505-2E9C-101B-9397-08002B2CF9AE}" pid="4" name="KSOTemplateDocerSaveRecord">
    <vt:lpwstr>eyJoZGlkIjoiNTk0MDc0MWE2MzMxMjkwZmE5ODU4OGMzYzc5YjkzMTAiLCJ1c2VySWQiOiI1NDkxMDYxNjAifQ==</vt:lpwstr>
  </property>
</Properties>
</file>