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97FB712">
      <w:pPr>
        <w:keepNext w:val="0"/>
        <w:keepLines w:val="0"/>
        <w:pageBreakBefore w:val="0"/>
        <w:kinsoku/>
        <w:wordWrap/>
        <w:overflowPunct/>
        <w:topLinePunct w:val="0"/>
        <w:bidi w:val="0"/>
        <w:snapToGrid w:val="0"/>
        <w:spacing w:line="560" w:lineRule="exact"/>
        <w:ind w:firstLine="0" w:firstLineChars="0"/>
        <w:rPr>
          <w:rFonts w:hint="eastAsia"/>
          <w:color w:val="C00000"/>
          <w:sz w:val="32"/>
          <w:szCs w:val="32"/>
          <w:highlight w:val="yellow"/>
        </w:rPr>
      </w:pPr>
      <w:bookmarkStart w:id="0" w:name="_Hlk124747957"/>
    </w:p>
    <w:p w14:paraId="48E0E953">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5EA8A0CA">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77C98B34">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18814C2E">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6A638D7D">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3ECD62C3">
      <w:pPr>
        <w:pStyle w:val="26"/>
        <w:keepNext w:val="0"/>
        <w:keepLines w:val="0"/>
        <w:pageBreakBefore w:val="0"/>
        <w:kinsoku/>
        <w:wordWrap/>
        <w:overflowPunct/>
        <w:topLinePunct w:val="0"/>
        <w:bidi w:val="0"/>
        <w:spacing w:line="560" w:lineRule="exact"/>
        <w:ind w:left="0" w:leftChars="0" w:firstLine="0" w:firstLineChars="0"/>
        <w:rPr>
          <w:rFonts w:hint="eastAsia"/>
          <w:sz w:val="32"/>
          <w:szCs w:val="32"/>
          <w:highlight w:val="yellow"/>
        </w:rPr>
      </w:pPr>
    </w:p>
    <w:p w14:paraId="5440E1CC">
      <w:pPr>
        <w:keepNext w:val="0"/>
        <w:keepLines w:val="0"/>
        <w:pageBreakBefore w:val="0"/>
        <w:kinsoku/>
        <w:wordWrap/>
        <w:overflowPunct/>
        <w:topLinePunct w:val="0"/>
        <w:bidi w:val="0"/>
        <w:snapToGrid w:val="0"/>
        <w:spacing w:line="560" w:lineRule="exact"/>
        <w:ind w:left="0" w:leftChars="0" w:firstLine="0" w:firstLineChars="0"/>
        <w:jc w:val="left"/>
        <w:rPr>
          <w:rFonts w:hint="eastAsia"/>
          <w:color w:val="auto"/>
          <w:sz w:val="32"/>
          <w:szCs w:val="32"/>
        </w:rPr>
      </w:pPr>
    </w:p>
    <w:p w14:paraId="1F63A093">
      <w:pPr>
        <w:autoSpaceDE w:val="0"/>
        <w:autoSpaceDN w:val="0"/>
        <w:adjustRightInd w:val="0"/>
        <w:snapToGrid w:val="0"/>
        <w:spacing w:line="560" w:lineRule="exact"/>
        <w:jc w:val="center"/>
        <w:rPr>
          <w:rFonts w:ascii="仿宋_GB2312" w:hAnsi="Times New Roman" w:eastAsia="仿宋_GB2312" w:cs="Arial"/>
          <w:color w:val="auto"/>
          <w:sz w:val="32"/>
          <w:szCs w:val="32"/>
          <w:highlight w:val="none"/>
          <w:lang w:bidi="en-US"/>
        </w:rPr>
      </w:pPr>
      <w:r>
        <w:rPr>
          <w:rFonts w:hint="eastAsia" w:ascii="仿宋_GB2312" w:hAnsi="Times New Roman" w:eastAsia="仿宋_GB2312" w:cs="Arial"/>
          <w:color w:val="auto"/>
          <w:sz w:val="32"/>
          <w:szCs w:val="32"/>
          <w:lang w:bidi="en-US"/>
        </w:rPr>
        <w:t>锡署环审书〔</w:t>
      </w:r>
      <w:r>
        <w:rPr>
          <w:rFonts w:hint="eastAsia" w:ascii="仿宋_GB2312" w:hAnsi="Times New Roman" w:eastAsia="仿宋_GB2312" w:cs="Arial"/>
          <w:color w:val="auto"/>
          <w:sz w:val="32"/>
          <w:szCs w:val="32"/>
          <w:highlight w:val="none"/>
          <w:lang w:bidi="en-US"/>
        </w:rPr>
        <w:t>202</w:t>
      </w:r>
      <w:r>
        <w:rPr>
          <w:rFonts w:hint="eastAsia" w:ascii="仿宋_GB2312" w:hAnsi="Times New Roman" w:eastAsia="仿宋_GB2312" w:cs="Arial"/>
          <w:color w:val="auto"/>
          <w:sz w:val="32"/>
          <w:szCs w:val="32"/>
          <w:highlight w:val="none"/>
          <w:lang w:val="en-US" w:eastAsia="zh-CN" w:bidi="en-US"/>
        </w:rPr>
        <w:t>5</w:t>
      </w:r>
      <w:r>
        <w:rPr>
          <w:rFonts w:hint="eastAsia" w:ascii="仿宋_GB2312" w:hAnsi="Times New Roman" w:eastAsia="仿宋_GB2312" w:cs="Arial"/>
          <w:color w:val="auto"/>
          <w:sz w:val="32"/>
          <w:szCs w:val="32"/>
          <w:highlight w:val="none"/>
          <w:lang w:bidi="en-US"/>
        </w:rPr>
        <w:t>〕</w:t>
      </w:r>
      <w:r>
        <w:rPr>
          <w:rFonts w:hint="eastAsia" w:ascii="仿宋_GB2312" w:hAnsi="Times New Roman" w:eastAsia="仿宋_GB2312" w:cs="Arial"/>
          <w:color w:val="auto"/>
          <w:sz w:val="32"/>
          <w:szCs w:val="32"/>
          <w:highlight w:val="none"/>
          <w:lang w:val="en-US" w:eastAsia="zh-CN" w:bidi="en-US"/>
        </w:rPr>
        <w:t>31</w:t>
      </w:r>
      <w:r>
        <w:rPr>
          <w:rFonts w:hint="eastAsia" w:ascii="仿宋_GB2312" w:hAnsi="Times New Roman" w:eastAsia="仿宋_GB2312" w:cs="Arial"/>
          <w:color w:val="auto"/>
          <w:sz w:val="32"/>
          <w:szCs w:val="32"/>
          <w:highlight w:val="none"/>
          <w:lang w:bidi="en-US"/>
        </w:rPr>
        <w:t>号</w:t>
      </w:r>
    </w:p>
    <w:p w14:paraId="1BFA2F69">
      <w:pPr>
        <w:widowControl/>
        <w:spacing w:line="700" w:lineRule="exact"/>
        <w:jc w:val="center"/>
        <w:textAlignment w:val="baseline"/>
        <w:rPr>
          <w:rFonts w:hint="eastAsia" w:ascii="方正小标宋简体" w:hAnsi="方正小标宋简体" w:eastAsia="方正小标宋简体" w:cs="方正小标宋简体"/>
          <w:bCs/>
          <w:color w:val="auto"/>
          <w:sz w:val="44"/>
          <w:szCs w:val="44"/>
          <w:highlight w:val="none"/>
        </w:rPr>
      </w:pPr>
    </w:p>
    <w:p w14:paraId="25ED4317">
      <w:pPr>
        <w:widowControl/>
        <w:spacing w:line="700" w:lineRule="exact"/>
        <w:jc w:val="center"/>
        <w:textAlignment w:val="baseline"/>
        <w:rPr>
          <w:rFonts w:ascii="方正小标宋简体" w:hAnsi="方正小标宋简体" w:eastAsia="方正小标宋简体" w:cs="方正小标宋简体"/>
          <w:bCs/>
          <w:color w:val="auto"/>
          <w:sz w:val="44"/>
          <w:szCs w:val="44"/>
          <w:highlight w:val="none"/>
        </w:rPr>
      </w:pPr>
      <w:r>
        <w:rPr>
          <w:rFonts w:hint="eastAsia" w:ascii="方正小标宋简体" w:hAnsi="方正小标宋简体" w:eastAsia="方正小标宋简体" w:cs="方正小标宋简体"/>
          <w:bCs/>
          <w:color w:val="auto"/>
          <w:sz w:val="44"/>
          <w:szCs w:val="44"/>
          <w:highlight w:val="none"/>
        </w:rPr>
        <w:t>锡林郭勒盟生态环境局</w:t>
      </w:r>
    </w:p>
    <w:bookmarkEnd w:id="0"/>
    <w:p w14:paraId="4E2C9C91">
      <w:pPr>
        <w:autoSpaceDE w:val="0"/>
        <w:autoSpaceDN w:val="0"/>
        <w:adjustRightInd w:val="0"/>
        <w:snapToGrid w:val="0"/>
        <w:spacing w:line="700" w:lineRule="exact"/>
        <w:jc w:val="center"/>
        <w:rPr>
          <w:rFonts w:ascii="方正小标宋简体" w:hAnsi="方正小标宋简体" w:eastAsia="方正小标宋简体" w:cs="方正小标宋简体"/>
          <w:bCs/>
          <w:color w:val="auto"/>
          <w:sz w:val="44"/>
          <w:szCs w:val="44"/>
          <w:highlight w:val="none"/>
        </w:rPr>
      </w:pPr>
      <w:r>
        <w:rPr>
          <w:rFonts w:hint="eastAsia" w:ascii="方正小标宋简体" w:hAnsi="方正小标宋简体" w:eastAsia="方正小标宋简体" w:cs="方正小标宋简体"/>
          <w:bCs/>
          <w:color w:val="auto"/>
          <w:sz w:val="44"/>
          <w:szCs w:val="44"/>
          <w:highlight w:val="none"/>
        </w:rPr>
        <w:t>关于</w:t>
      </w:r>
      <w:r>
        <w:rPr>
          <w:rFonts w:hint="eastAsia" w:ascii="方正小标宋简体" w:hAnsi="方正小标宋简体" w:eastAsia="方正小标宋简体" w:cs="方正小标宋简体"/>
          <w:bCs/>
          <w:color w:val="auto"/>
          <w:sz w:val="44"/>
          <w:szCs w:val="44"/>
          <w:highlight w:val="none"/>
          <w:lang w:val="en-US" w:eastAsia="zh-CN"/>
        </w:rPr>
        <w:t>锡林郭勒承接产业开发区明安图产业园格盟诺金新能源有限责任公司园区绿色供电项目</w:t>
      </w:r>
      <w:r>
        <w:rPr>
          <w:rFonts w:hint="eastAsia" w:ascii="方正小标宋简体" w:hAnsi="方正小标宋简体" w:eastAsia="方正小标宋简体" w:cs="方正小标宋简体"/>
          <w:bCs/>
          <w:color w:val="auto"/>
          <w:sz w:val="44"/>
          <w:szCs w:val="44"/>
          <w:highlight w:val="none"/>
        </w:rPr>
        <w:t>环境影响报告书的批复</w:t>
      </w:r>
    </w:p>
    <w:p w14:paraId="3A15A36C">
      <w:pPr>
        <w:autoSpaceDE w:val="0"/>
        <w:autoSpaceDN w:val="0"/>
        <w:adjustRightInd w:val="0"/>
        <w:snapToGrid w:val="0"/>
        <w:spacing w:line="520" w:lineRule="exact"/>
        <w:rPr>
          <w:rFonts w:ascii="仿宋_GB2312" w:hAnsi="仿宋_GB2312" w:eastAsia="仿宋_GB2312" w:cs="仿宋_GB2312"/>
          <w:color w:val="auto"/>
          <w:sz w:val="32"/>
          <w:szCs w:val="32"/>
          <w:lang w:bidi="en-US"/>
        </w:rPr>
      </w:pPr>
    </w:p>
    <w:p w14:paraId="598F22F7">
      <w:pPr>
        <w:keepNext w:val="0"/>
        <w:keepLines w:val="0"/>
        <w:pageBreakBefore w:val="0"/>
        <w:widowControl w:val="0"/>
        <w:kinsoku/>
        <w:wordWrap/>
        <w:overflowPunct/>
        <w:autoSpaceDE w:val="0"/>
        <w:autoSpaceDN w:val="0"/>
        <w:bidi w:val="0"/>
        <w:adjustRightInd w:val="0"/>
        <w:snapToGrid w:val="0"/>
        <w:spacing w:line="560" w:lineRule="exact"/>
        <w:jc w:val="both"/>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sz w:val="32"/>
          <w:szCs w:val="32"/>
          <w:lang w:val="en-US" w:eastAsia="zh-CN" w:bidi="en-US"/>
        </w:rPr>
        <w:t>内蒙古格盟诺金新能源有限责任公司</w:t>
      </w:r>
      <w:r>
        <w:rPr>
          <w:rFonts w:hint="eastAsia" w:ascii="仿宋_GB2312" w:hAnsi="仿宋_GB2312" w:eastAsia="仿宋_GB2312" w:cs="仿宋_GB2312"/>
          <w:color w:val="auto"/>
          <w:sz w:val="32"/>
          <w:szCs w:val="32"/>
          <w:lang w:bidi="en-US"/>
        </w:rPr>
        <w:t>：</w:t>
      </w:r>
    </w:p>
    <w:p w14:paraId="3999B544">
      <w:pPr>
        <w:keepNext w:val="0"/>
        <w:keepLines w:val="0"/>
        <w:pageBreakBefore w:val="0"/>
        <w:widowControl w:val="0"/>
        <w:kinsoku/>
        <w:wordWrap/>
        <w:overflowPunct/>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sz w:val="32"/>
          <w:szCs w:val="32"/>
          <w:lang w:bidi="en-US"/>
        </w:rPr>
        <w:t>你单位报送的《</w:t>
      </w:r>
      <w:r>
        <w:rPr>
          <w:rFonts w:hint="eastAsia" w:ascii="仿宋_GB2312" w:hAnsi="仿宋_GB2312" w:eastAsia="仿宋_GB2312" w:cs="仿宋_GB2312"/>
          <w:color w:val="auto"/>
          <w:sz w:val="32"/>
          <w:szCs w:val="32"/>
          <w:lang w:val="en-US" w:eastAsia="zh-CN" w:bidi="en-US"/>
        </w:rPr>
        <w:t>锡林郭勒承接产业开发区明安图产业园格盟诺金新能源有限责任公司园区绿色供电项目</w:t>
      </w:r>
      <w:r>
        <w:rPr>
          <w:rFonts w:hint="eastAsia" w:ascii="仿宋_GB2312" w:hAnsi="仿宋_GB2312" w:eastAsia="仿宋_GB2312" w:cs="仿宋_GB2312"/>
          <w:color w:val="auto"/>
          <w:sz w:val="32"/>
          <w:szCs w:val="32"/>
          <w:lang w:bidi="en-US"/>
        </w:rPr>
        <w:t>环境影响报告书》（</w:t>
      </w:r>
      <w:r>
        <w:rPr>
          <w:rFonts w:hint="eastAsia" w:ascii="仿宋_GB2312" w:hAnsi="仿宋_GB2312" w:eastAsia="仿宋_GB2312" w:cs="仿宋_GB2312"/>
          <w:color w:val="auto"/>
          <w:sz w:val="32"/>
          <w:szCs w:val="32"/>
          <w:lang w:eastAsia="zh-Hans" w:bidi="en-US"/>
        </w:rPr>
        <w:t>以下简称《报告书》</w:t>
      </w:r>
      <w:r>
        <w:rPr>
          <w:rFonts w:hint="eastAsia" w:ascii="仿宋_GB2312" w:hAnsi="仿宋_GB2312" w:eastAsia="仿宋_GB2312" w:cs="仿宋_GB2312"/>
          <w:color w:val="auto"/>
          <w:sz w:val="32"/>
          <w:szCs w:val="32"/>
          <w:lang w:bidi="en-US"/>
        </w:rPr>
        <w:t>）收悉。经研究，批复如下：</w:t>
      </w:r>
    </w:p>
    <w:p w14:paraId="49976F9D">
      <w:pPr>
        <w:pStyle w:val="25"/>
        <w:keepNext w:val="0"/>
        <w:keepLines w:val="0"/>
        <w:pageBreakBefore w:val="0"/>
        <w:widowControl w:val="0"/>
        <w:numPr>
          <w:ilvl w:val="0"/>
          <w:numId w:val="0"/>
        </w:numPr>
        <w:kinsoku/>
        <w:wordWrap/>
        <w:overflowPunct/>
        <w:bidi w:val="0"/>
        <w:spacing w:line="560" w:lineRule="exact"/>
        <w:ind w:firstLine="640" w:firstLineChars="200"/>
        <w:jc w:val="both"/>
        <w:textAlignment w:val="auto"/>
        <w:rPr>
          <w:rFonts w:hint="eastAsia" w:ascii="仿宋_GB2312" w:hAnsi="仿宋_GB2312" w:eastAsia="仿宋_GB2312" w:cs="仿宋_GB2312"/>
          <w:b w:val="0"/>
          <w:bCs/>
          <w:color w:val="auto"/>
          <w:kern w:val="0"/>
          <w:sz w:val="32"/>
          <w:szCs w:val="32"/>
          <w:lang w:val="en-US" w:eastAsia="zh-CN" w:bidi="ar"/>
        </w:rPr>
      </w:pPr>
      <w:r>
        <w:rPr>
          <w:rFonts w:hint="eastAsia" w:ascii="仿宋_GB2312" w:hAnsi="仿宋_GB2312" w:eastAsia="仿宋_GB2312" w:cs="仿宋_GB2312"/>
          <w:color w:val="auto"/>
          <w:sz w:val="32"/>
          <w:szCs w:val="32"/>
          <w:lang w:val="en-US" w:eastAsia="zh-CN" w:bidi="en-US"/>
        </w:rPr>
        <w:t>一、锡林郭勒承接产业开发区明安图产业园格盟诺金新能源有限责任公司园区绿色供电项目</w:t>
      </w:r>
      <w:r>
        <w:rPr>
          <w:rFonts w:hint="eastAsia" w:ascii="仿宋_GB2312" w:hAnsi="仿宋_GB2312" w:eastAsia="仿宋_GB2312" w:cs="仿宋_GB2312"/>
          <w:b w:val="0"/>
          <w:bCs/>
          <w:color w:val="auto"/>
          <w:kern w:val="0"/>
          <w:sz w:val="32"/>
          <w:szCs w:val="32"/>
          <w:lang w:val="en-US" w:eastAsia="zh-CN" w:bidi="ar"/>
        </w:rPr>
        <w:t>位于锡林郭勒盟正镶白旗宝力根陶海苏木境内，总占地面积81.3934公顷，其中永久占地面积25.2072公顷，临时占地面积56.1862公顷。本项目总装机容量270MW，分两期建设，一期建设100MW，安装16台单机容量6.25MW机组；二期建设170MW，安装26台单机容量6.25MW和1台单机容量7.5MW机组，并安装配套的机组箱式变压器，风电机组与箱变组合方式为一机一变，同时建设集电线路、检修道路等配套工程。项目建成后，风电场年平均发电量7.29亿KWh。</w:t>
      </w:r>
    </w:p>
    <w:p w14:paraId="414623E7">
      <w:pPr>
        <w:keepNext w:val="0"/>
        <w:keepLines w:val="0"/>
        <w:pageBreakBefore w:val="0"/>
        <w:widowControl w:val="0"/>
        <w:kinsoku/>
        <w:wordWrap/>
        <w:overflowPunct/>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根据中华人民共和国国家发展和改革委员会发布的《产业结构调整指导目录（2024年本）》，本项目属于允许类。项目已取得锡林郭勒盟能源局核准文件，项目代码为：</w:t>
      </w:r>
      <w:r>
        <w:rPr>
          <w:rFonts w:hint="eastAsia" w:ascii="仿宋_GB2312" w:hAnsi="仿宋_GB2312" w:eastAsia="仿宋_GB2312" w:cs="仿宋_GB2312"/>
          <w:color w:val="auto"/>
          <w:kern w:val="2"/>
          <w:sz w:val="32"/>
          <w:szCs w:val="32"/>
          <w:highlight w:val="none"/>
          <w:lang w:val="en-US" w:eastAsia="zh-CN" w:bidi="en-US"/>
        </w:rPr>
        <w:t>2407-152529-60-01-658086</w:t>
      </w:r>
      <w:r>
        <w:rPr>
          <w:rFonts w:hint="eastAsia" w:ascii="仿宋_GB2312" w:hAnsi="仿宋_GB2312" w:eastAsia="仿宋_GB2312" w:cs="仿宋_GB2312"/>
          <w:color w:val="auto"/>
          <w:kern w:val="2"/>
          <w:sz w:val="32"/>
          <w:szCs w:val="32"/>
          <w:lang w:val="en-US" w:eastAsia="zh-CN" w:bidi="ar-SA"/>
        </w:rPr>
        <w:t>。项目的建设符合锡林郭勒盟生态环境分区管控相关要求，符合相关法律规范和行业规范要求。《报告书》认为，在全面落实各项生态保护和污染防治措施的前提下，项目建设对环境的不利影响能够得到一定的缓解和控制。因此，我局原则同意本项目环境影响报告书总体评价结论和拟采取的生态环境保护措施。</w:t>
      </w:r>
    </w:p>
    <w:p w14:paraId="2E28EE73">
      <w:pPr>
        <w:keepNext w:val="0"/>
        <w:keepLines w:val="0"/>
        <w:pageBreakBefore w:val="0"/>
        <w:widowControl w:val="0"/>
        <w:kinsoku/>
        <w:wordWrap/>
        <w:overflowPunct/>
        <w:autoSpaceDE w:val="0"/>
        <w:autoSpaceDN w:val="0"/>
        <w:bidi w:val="0"/>
        <w:adjustRightInd w:val="0"/>
        <w:snapToGrid w:val="0"/>
        <w:spacing w:line="560" w:lineRule="exact"/>
        <w:ind w:firstLine="640" w:firstLineChars="200"/>
        <w:jc w:val="both"/>
        <w:textAlignment w:val="auto"/>
        <w:rPr>
          <w:rFonts w:hint="eastAsia" w:ascii="楷体" w:hAnsi="楷体" w:eastAsia="楷体" w:cs="楷体"/>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二、项目在设计、建设和运营过程中还应做好以下工作。</w:t>
      </w:r>
    </w:p>
    <w:p w14:paraId="44FE6AFB">
      <w:pPr>
        <w:pStyle w:val="5"/>
        <w:keepNext w:val="0"/>
        <w:keepLines w:val="0"/>
        <w:pageBreakBefore w:val="0"/>
        <w:widowControl w:val="0"/>
        <w:kinsoku/>
        <w:wordWrap/>
        <w:overflowPunct/>
        <w:bidi w:val="0"/>
        <w:spacing w:line="560" w:lineRule="exact"/>
        <w:ind w:firstLine="640"/>
        <w:textAlignment w:val="auto"/>
        <w:rPr>
          <w:rFonts w:ascii="仿宋_GB2312" w:hAnsi="仿宋_GB2312" w:eastAsia="仿宋_GB2312" w:cs="仿宋_GB2312"/>
          <w:snapToGrid/>
          <w:sz w:val="32"/>
          <w:szCs w:val="32"/>
        </w:rPr>
      </w:pPr>
      <w:r>
        <w:rPr>
          <w:rFonts w:hint="eastAsia" w:ascii="楷体" w:hAnsi="楷体" w:eastAsia="楷体" w:cs="楷体"/>
          <w:color w:val="auto"/>
          <w:kern w:val="2"/>
          <w:sz w:val="32"/>
          <w:szCs w:val="32"/>
          <w:lang w:val="en-US" w:eastAsia="zh-CN" w:bidi="ar-SA"/>
        </w:rPr>
        <w:t>（一）全面落实《报告书》提出的各项生态环境保护措施。</w:t>
      </w:r>
      <w:r>
        <w:rPr>
          <w:rFonts w:hint="eastAsia" w:ascii="仿宋_GB2312" w:hAnsi="仿宋_GB2312" w:eastAsia="仿宋_GB2312" w:cs="仿宋_GB2312"/>
          <w:snapToGrid/>
          <w:sz w:val="32"/>
          <w:szCs w:val="32"/>
        </w:rPr>
        <w:t>严格执行国家和地方产业政策、生态环境准入清单、污染防治和生态保护的相关要求，有新调整或细化规定的，按照新规定执行。</w:t>
      </w:r>
    </w:p>
    <w:p w14:paraId="19B79AE5">
      <w:pPr>
        <w:pStyle w:val="5"/>
        <w:keepNext w:val="0"/>
        <w:keepLines w:val="0"/>
        <w:pageBreakBefore w:val="0"/>
        <w:widowControl w:val="0"/>
        <w:kinsoku/>
        <w:wordWrap/>
        <w:overflowPunct/>
        <w:bidi w:val="0"/>
        <w:spacing w:line="560" w:lineRule="exact"/>
        <w:ind w:firstLine="640"/>
        <w:textAlignment w:val="auto"/>
        <w:rPr>
          <w:rFonts w:ascii="仿宋_GB2312" w:hAnsi="仿宋_GB2312" w:eastAsia="仿宋_GB2312" w:cs="仿宋_GB2312"/>
          <w:snapToGrid/>
          <w:sz w:val="32"/>
          <w:szCs w:val="32"/>
        </w:rPr>
      </w:pPr>
      <w:r>
        <w:rPr>
          <w:rFonts w:hint="eastAsia" w:ascii="楷体" w:hAnsi="楷体" w:eastAsia="楷体" w:cs="楷体"/>
          <w:color w:val="auto"/>
          <w:kern w:val="2"/>
          <w:sz w:val="32"/>
          <w:szCs w:val="32"/>
          <w:lang w:val="en-US" w:eastAsia="zh-CN" w:bidi="ar-SA"/>
        </w:rPr>
        <w:t>（二）加强施工期间的环境管理工作。</w:t>
      </w:r>
      <w:r>
        <w:rPr>
          <w:rFonts w:hint="eastAsia" w:ascii="仿宋_GB2312" w:hAnsi="仿宋_GB2312" w:eastAsia="仿宋_GB2312" w:cs="仿宋_GB2312"/>
          <w:snapToGrid/>
          <w:sz w:val="32"/>
          <w:szCs w:val="32"/>
        </w:rPr>
        <w:t>开挖时对作业面和土堆喷水，避免在大风天气下进行装卸作业，运输采用封闭式车辆，对运输道路定期洒水抑尘；合理安排施工时间、合理布局施工现场、选用低噪声的作业机具、采取个人防护、严格管理施工过程；施工期生产废水经隔油池、沉淀池处理后回用，生活污水由防渗旱厕收集；弃土完工后进行土地整治利用；建筑垃圾应在指定的堆放点存放，并送达当地环卫部门指定倾倒点处置；生活垃圾及时收集到场内指定的垃圾箱，并定期清运到当地环卫部门指定地点集中处置；施工结束后对临时占地区域进行覆土和植被恢复。</w:t>
      </w:r>
    </w:p>
    <w:p w14:paraId="11892078">
      <w:pPr>
        <w:keepNext w:val="0"/>
        <w:keepLines w:val="0"/>
        <w:pageBreakBefore w:val="0"/>
        <w:widowControl w:val="0"/>
        <w:kinsoku/>
        <w:wordWrap/>
        <w:overflowPunct/>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楷体" w:hAnsi="楷体" w:eastAsia="楷体" w:cs="楷体"/>
          <w:color w:val="auto"/>
          <w:kern w:val="2"/>
          <w:sz w:val="32"/>
          <w:szCs w:val="32"/>
          <w:lang w:val="en-US" w:eastAsia="zh-CN" w:bidi="ar-SA"/>
        </w:rPr>
        <w:t>（三）严格落实各项大气污染防治措施。</w:t>
      </w:r>
      <w:r>
        <w:rPr>
          <w:rFonts w:hint="eastAsia" w:ascii="仿宋_GB2312" w:hAnsi="仿宋_GB2312" w:eastAsia="仿宋_GB2312" w:cs="仿宋_GB2312"/>
          <w:color w:val="auto"/>
          <w:kern w:val="2"/>
          <w:sz w:val="32"/>
          <w:szCs w:val="32"/>
          <w:lang w:val="en-US" w:eastAsia="zh-CN" w:bidi="ar-SA"/>
        </w:rPr>
        <w:t>项目运营期无废气产生，要求做好施工期扬尘污染防治，露天堆放物料应加以覆盖；开挖的土石方及时回填或运至指定地点，对施工作业面及堆场洒水降尘；运输车辆限制车速，运输道路保持清洁，定期洒水抑尘。</w:t>
      </w:r>
    </w:p>
    <w:p w14:paraId="09A5CABD">
      <w:pPr>
        <w:keepNext w:val="0"/>
        <w:keepLines w:val="0"/>
        <w:pageBreakBefore w:val="0"/>
        <w:widowControl w:val="0"/>
        <w:kinsoku/>
        <w:wordWrap/>
        <w:overflowPunct/>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lang w:val="en-GB" w:eastAsia="zh-CN" w:bidi="en-US"/>
        </w:rPr>
      </w:pPr>
      <w:r>
        <w:rPr>
          <w:rFonts w:hint="eastAsia" w:ascii="楷体" w:hAnsi="楷体" w:eastAsia="楷体" w:cs="楷体"/>
          <w:color w:val="auto"/>
          <w:kern w:val="2"/>
          <w:sz w:val="32"/>
          <w:szCs w:val="32"/>
          <w:lang w:val="en-US" w:eastAsia="zh-CN" w:bidi="ar-SA"/>
        </w:rPr>
        <w:t>（四）严格落实固体废物污染防治措施。</w:t>
      </w:r>
      <w:r>
        <w:rPr>
          <w:rFonts w:hint="eastAsia" w:ascii="仿宋_GB2312" w:hAnsi="仿宋_GB2312" w:eastAsia="仿宋_GB2312" w:cs="仿宋_GB2312"/>
          <w:color w:val="auto"/>
          <w:sz w:val="32"/>
          <w:szCs w:val="32"/>
          <w:lang w:val="en-GB" w:eastAsia="zh-CN" w:bidi="en-US"/>
        </w:rPr>
        <w:t>检修过程产生的废变压油、废油桶及废铅酸蓄电池均依托升压站内标准化危废暂存间分类分区收集暂存后，定期委托有资质的单位上门回收处置。事故废油通过事故油池收集暂存后，委托有资质的单位及时拉运处置。人员生活垃圾均由封闭式垃圾箱收集后，定期清运至当地环卫部门指定地点处理。</w:t>
      </w:r>
    </w:p>
    <w:p w14:paraId="7553E370">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color w:val="auto"/>
          <w:kern w:val="2"/>
          <w:sz w:val="32"/>
          <w:szCs w:val="32"/>
          <w:lang w:val="en-US" w:eastAsia="zh-CN" w:bidi="en-US"/>
        </w:rPr>
      </w:pPr>
      <w:r>
        <w:rPr>
          <w:rFonts w:hint="eastAsia" w:ascii="楷体" w:hAnsi="楷体" w:eastAsia="楷体" w:cs="楷体"/>
          <w:color w:val="auto"/>
          <w:kern w:val="2"/>
          <w:sz w:val="32"/>
          <w:szCs w:val="32"/>
          <w:lang w:val="en-US" w:eastAsia="zh-CN" w:bidi="ar-SA"/>
        </w:rPr>
        <w:t>（五）严格落实各项水污染防治措施。</w:t>
      </w:r>
      <w:r>
        <w:rPr>
          <w:rFonts w:hint="eastAsia" w:ascii="仿宋_GB2312" w:hAnsi="仿宋_GB2312" w:eastAsia="仿宋_GB2312" w:cs="仿宋_GB2312"/>
          <w:color w:val="auto"/>
          <w:sz w:val="32"/>
          <w:szCs w:val="32"/>
          <w:lang w:eastAsia="zh-CN" w:bidi="en-US"/>
        </w:rPr>
        <w:t>本项目运营期无生产废水，工作人员生活污水依托升压站内一体化污水处理设备处理后，夏季作为站区绿化用水，冬季委托环卫部门拉运处置。</w:t>
      </w:r>
    </w:p>
    <w:p w14:paraId="1C408DEB">
      <w:pPr>
        <w:keepNext w:val="0"/>
        <w:keepLines w:val="0"/>
        <w:pageBreakBefore w:val="0"/>
        <w:widowControl w:val="0"/>
        <w:numPr>
          <w:ilvl w:val="0"/>
          <w:numId w:val="0"/>
        </w:numPr>
        <w:kinsoku/>
        <w:wordWrap/>
        <w:overflowPunct/>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lang w:val="en-US" w:eastAsia="zh-CN" w:bidi="en-US"/>
        </w:rPr>
      </w:pPr>
      <w:r>
        <w:rPr>
          <w:rFonts w:hint="eastAsia" w:ascii="楷体" w:hAnsi="楷体" w:eastAsia="楷体" w:cs="楷体"/>
          <w:color w:val="auto"/>
          <w:kern w:val="2"/>
          <w:sz w:val="32"/>
          <w:szCs w:val="32"/>
          <w:lang w:val="en-US" w:eastAsia="zh-CN" w:bidi="ar-SA"/>
        </w:rPr>
        <w:t>（六）严格落实噪声防治措施。</w:t>
      </w:r>
      <w:r>
        <w:rPr>
          <w:rFonts w:hint="eastAsia" w:ascii="仿宋_GB2312" w:hAnsi="仿宋_GB2312" w:eastAsia="仿宋_GB2312" w:cs="仿宋_GB2312"/>
          <w:color w:val="auto"/>
          <w:sz w:val="32"/>
          <w:szCs w:val="32"/>
          <w:lang w:bidi="en-US"/>
        </w:rPr>
        <w:t>本项目运营期噪声源主要为风电机组及配套设施运行噪声。通过优化风机布局，选用低噪设备，加强风机日常维护，定期检查风机机械系统。最终噪声排放满足《工业企业厂界环境噪声排放标准》（GB12348-2008）1类标准限值要求。</w:t>
      </w:r>
    </w:p>
    <w:p w14:paraId="2D0D2BE1">
      <w:pPr>
        <w:keepNext w:val="0"/>
        <w:keepLines w:val="0"/>
        <w:pageBreakBefore w:val="0"/>
        <w:widowControl w:val="0"/>
        <w:numPr>
          <w:ilvl w:val="0"/>
          <w:numId w:val="0"/>
        </w:numPr>
        <w:kinsoku/>
        <w:wordWrap/>
        <w:overflowPunct/>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sz w:val="32"/>
          <w:szCs w:val="32"/>
          <w:lang w:bidi="en-US"/>
        </w:rPr>
        <w:t>三、项目建设必须严格执行配套的环境保护设施与主体工程同时设计、同时施工、同时投产使用的环境保护“三同时”制度。严格落实污染防治措施设计要求。应将优化和细化后的各项污染防治措施及概算纳入设计以及施工等招标文件及合同，并明确责任。按规定程序实施竣工环境保护验收。</w:t>
      </w:r>
    </w:p>
    <w:p w14:paraId="36E2E738">
      <w:pPr>
        <w:keepNext w:val="0"/>
        <w:keepLines w:val="0"/>
        <w:pageBreakBefore w:val="0"/>
        <w:widowControl w:val="0"/>
        <w:kinsoku/>
        <w:wordWrap/>
        <w:overflowPunct/>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sz w:val="32"/>
          <w:szCs w:val="32"/>
          <w:lang w:bidi="en-US"/>
        </w:rPr>
        <w:t>四、我局委托锡林郭勒盟生态环境局</w:t>
      </w:r>
      <w:r>
        <w:rPr>
          <w:rFonts w:hint="eastAsia" w:ascii="仿宋_GB2312" w:hAnsi="仿宋_GB2312" w:eastAsia="仿宋_GB2312" w:cs="仿宋_GB2312"/>
          <w:color w:val="auto"/>
          <w:sz w:val="32"/>
          <w:szCs w:val="32"/>
          <w:lang w:eastAsia="zh-CN" w:bidi="en-US"/>
        </w:rPr>
        <w:t>正镶白旗分局</w:t>
      </w:r>
      <w:r>
        <w:rPr>
          <w:rFonts w:hint="eastAsia" w:ascii="仿宋_GB2312" w:hAnsi="仿宋_GB2312" w:eastAsia="仿宋_GB2312" w:cs="仿宋_GB2312"/>
          <w:color w:val="auto"/>
          <w:sz w:val="32"/>
          <w:szCs w:val="32"/>
          <w:lang w:bidi="en-US"/>
        </w:rPr>
        <w:t>对该项目各项污染防治措施落实情况进行监督检查和管理。</w:t>
      </w:r>
    </w:p>
    <w:p w14:paraId="7B6A7FEF">
      <w:pPr>
        <w:keepNext w:val="0"/>
        <w:keepLines w:val="0"/>
        <w:pageBreakBefore w:val="0"/>
        <w:widowControl w:val="0"/>
        <w:kinsoku/>
        <w:wordWrap/>
        <w:overflowPunct/>
        <w:autoSpaceDE w:val="0"/>
        <w:autoSpaceDN w:val="0"/>
        <w:bidi w:val="0"/>
        <w:adjustRightInd w:val="0"/>
        <w:snapToGrid w:val="0"/>
        <w:spacing w:line="560" w:lineRule="exact"/>
        <w:textAlignment w:val="auto"/>
        <w:rPr>
          <w:rFonts w:hint="eastAsia" w:ascii="仿宋_GB2312" w:hAnsi="仿宋_GB2312" w:eastAsia="仿宋_GB2312" w:cs="仿宋_GB2312"/>
          <w:color w:val="auto"/>
          <w:sz w:val="32"/>
          <w:szCs w:val="32"/>
          <w:lang w:bidi="en-US"/>
        </w:rPr>
      </w:pPr>
    </w:p>
    <w:p w14:paraId="59A8FA32">
      <w:pPr>
        <w:keepNext w:val="0"/>
        <w:keepLines w:val="0"/>
        <w:pageBreakBefore w:val="0"/>
        <w:widowControl w:val="0"/>
        <w:kinsoku/>
        <w:wordWrap/>
        <w:overflowPunct/>
        <w:autoSpaceDE w:val="0"/>
        <w:autoSpaceDN w:val="0"/>
        <w:bidi w:val="0"/>
        <w:adjustRightInd w:val="0"/>
        <w:snapToGrid w:val="0"/>
        <w:spacing w:line="560" w:lineRule="exact"/>
        <w:ind w:firstLine="640" w:firstLineChars="200"/>
        <w:textAlignment w:val="auto"/>
        <w:rPr>
          <w:rFonts w:hint="eastAsia" w:ascii="仿宋_GB2312" w:hAnsi="仿宋_GB2312" w:eastAsia="仿宋_GB2312" w:cs="仿宋_GB2312"/>
          <w:color w:val="auto"/>
          <w:sz w:val="32"/>
          <w:szCs w:val="32"/>
          <w:lang w:eastAsia="zh-CN" w:bidi="en-US"/>
        </w:rPr>
      </w:pPr>
    </w:p>
    <w:p w14:paraId="1A14C6BD">
      <w:pPr>
        <w:keepNext w:val="0"/>
        <w:keepLines w:val="0"/>
        <w:pageBreakBefore w:val="0"/>
        <w:widowControl w:val="0"/>
        <w:kinsoku/>
        <w:wordWrap/>
        <w:overflowPunct/>
        <w:autoSpaceDE w:val="0"/>
        <w:autoSpaceDN w:val="0"/>
        <w:bidi w:val="0"/>
        <w:adjustRightInd w:val="0"/>
        <w:snapToGrid w:val="0"/>
        <w:spacing w:line="560" w:lineRule="exact"/>
        <w:ind w:firstLine="640" w:firstLineChars="200"/>
        <w:textAlignment w:val="auto"/>
        <w:rPr>
          <w:rFonts w:hint="eastAsia" w:ascii="仿宋_GB2312" w:hAnsi="仿宋_GB2312" w:eastAsia="仿宋_GB2312" w:cs="仿宋_GB2312"/>
          <w:color w:val="auto"/>
          <w:sz w:val="32"/>
          <w:szCs w:val="32"/>
          <w:lang w:eastAsia="zh-CN" w:bidi="en-US"/>
        </w:rPr>
      </w:pPr>
    </w:p>
    <w:p w14:paraId="7D38BB4F">
      <w:pPr>
        <w:keepNext w:val="0"/>
        <w:keepLines w:val="0"/>
        <w:pageBreakBefore w:val="0"/>
        <w:widowControl w:val="0"/>
        <w:kinsoku/>
        <w:wordWrap/>
        <w:overflowPunct/>
        <w:autoSpaceDE w:val="0"/>
        <w:autoSpaceDN w:val="0"/>
        <w:bidi w:val="0"/>
        <w:adjustRightInd w:val="0"/>
        <w:snapToGrid w:val="0"/>
        <w:spacing w:line="560" w:lineRule="exact"/>
        <w:ind w:firstLine="4160" w:firstLineChars="1300"/>
        <w:textAlignment w:val="auto"/>
        <w:rPr>
          <w:rFonts w:hint="eastAsia" w:ascii="仿宋_GB2312" w:hAnsi="仿宋_GB2312" w:eastAsia="仿宋_GB2312" w:cs="仿宋_GB2312"/>
          <w:color w:val="auto"/>
          <w:sz w:val="32"/>
          <w:szCs w:val="32"/>
          <w:highlight w:val="none"/>
          <w:lang w:bidi="en-US"/>
        </w:rPr>
      </w:pPr>
      <w:r>
        <w:rPr>
          <w:rFonts w:hint="eastAsia" w:ascii="仿宋_GB2312" w:hAnsi="仿宋_GB2312" w:eastAsia="仿宋_GB2312" w:cs="仿宋_GB2312"/>
          <w:color w:val="auto"/>
          <w:sz w:val="32"/>
          <w:szCs w:val="32"/>
          <w:lang w:bidi="en-US"/>
        </w:rPr>
        <w:t>锡林</w:t>
      </w:r>
      <w:r>
        <w:rPr>
          <w:rFonts w:hint="eastAsia" w:ascii="仿宋_GB2312" w:hAnsi="仿宋_GB2312" w:eastAsia="仿宋_GB2312" w:cs="仿宋_GB2312"/>
          <w:color w:val="auto"/>
          <w:sz w:val="32"/>
          <w:szCs w:val="32"/>
          <w:highlight w:val="none"/>
          <w:lang w:bidi="en-US"/>
        </w:rPr>
        <w:t>郭勒盟生态环境局</w:t>
      </w:r>
    </w:p>
    <w:p w14:paraId="79DD03A0">
      <w:pPr>
        <w:keepNext w:val="0"/>
        <w:keepLines w:val="0"/>
        <w:pageBreakBefore w:val="0"/>
        <w:widowControl w:val="0"/>
        <w:kinsoku/>
        <w:wordWrap/>
        <w:overflowPunct/>
        <w:autoSpaceDE w:val="0"/>
        <w:autoSpaceDN w:val="0"/>
        <w:bidi w:val="0"/>
        <w:adjustRightInd w:val="0"/>
        <w:snapToGrid w:val="0"/>
        <w:spacing w:line="560" w:lineRule="exact"/>
        <w:ind w:firstLine="4800" w:firstLineChars="1500"/>
        <w:textAlignment w:val="auto"/>
        <w:rPr>
          <w:rFonts w:hint="eastAsia" w:ascii="仿宋_GB2312" w:hAnsi="仿宋_GB2312" w:eastAsia="仿宋_GB2312" w:cs="仿宋_GB2312"/>
          <w:color w:val="auto"/>
          <w:sz w:val="32"/>
          <w:szCs w:val="32"/>
          <w:highlight w:val="none"/>
          <w:lang w:bidi="en-US"/>
        </w:rPr>
      </w:pPr>
      <w:r>
        <w:rPr>
          <w:rFonts w:hint="eastAsia" w:ascii="仿宋_GB2312" w:hAnsi="仿宋_GB2312" w:eastAsia="仿宋_GB2312" w:cs="仿宋_GB2312"/>
          <w:color w:val="auto"/>
          <w:sz w:val="32"/>
          <w:szCs w:val="32"/>
          <w:highlight w:val="none"/>
          <w:lang w:bidi="en-US"/>
        </w:rPr>
        <w:t>202</w:t>
      </w:r>
      <w:r>
        <w:rPr>
          <w:rFonts w:hint="eastAsia" w:ascii="仿宋_GB2312" w:hAnsi="仿宋_GB2312" w:eastAsia="仿宋_GB2312" w:cs="仿宋_GB2312"/>
          <w:color w:val="auto"/>
          <w:sz w:val="32"/>
          <w:szCs w:val="32"/>
          <w:highlight w:val="none"/>
          <w:lang w:val="en-US" w:eastAsia="zh-CN" w:bidi="en-US"/>
        </w:rPr>
        <w:t>5</w:t>
      </w:r>
      <w:r>
        <w:rPr>
          <w:rFonts w:hint="eastAsia" w:ascii="仿宋_GB2312" w:hAnsi="仿宋_GB2312" w:eastAsia="仿宋_GB2312" w:cs="仿宋_GB2312"/>
          <w:color w:val="auto"/>
          <w:sz w:val="32"/>
          <w:szCs w:val="32"/>
          <w:highlight w:val="none"/>
          <w:lang w:bidi="en-US"/>
        </w:rPr>
        <w:t>年</w:t>
      </w:r>
      <w:r>
        <w:rPr>
          <w:rFonts w:hint="eastAsia" w:ascii="仿宋_GB2312" w:hAnsi="仿宋_GB2312" w:eastAsia="仿宋_GB2312" w:cs="仿宋_GB2312"/>
          <w:color w:val="auto"/>
          <w:sz w:val="32"/>
          <w:szCs w:val="32"/>
          <w:highlight w:val="none"/>
          <w:lang w:val="en-US" w:eastAsia="zh-CN" w:bidi="en-US"/>
        </w:rPr>
        <w:t>8</w:t>
      </w:r>
      <w:r>
        <w:rPr>
          <w:rFonts w:hint="eastAsia" w:ascii="仿宋_GB2312" w:hAnsi="仿宋_GB2312" w:eastAsia="仿宋_GB2312" w:cs="仿宋_GB2312"/>
          <w:color w:val="auto"/>
          <w:sz w:val="32"/>
          <w:szCs w:val="32"/>
          <w:highlight w:val="none"/>
          <w:lang w:bidi="en-US"/>
        </w:rPr>
        <w:t>月</w:t>
      </w:r>
      <w:r>
        <w:rPr>
          <w:rFonts w:hint="eastAsia" w:ascii="仿宋_GB2312" w:hAnsi="仿宋_GB2312" w:eastAsia="仿宋_GB2312" w:cs="仿宋_GB2312"/>
          <w:color w:val="auto"/>
          <w:sz w:val="32"/>
          <w:szCs w:val="32"/>
          <w:highlight w:val="none"/>
          <w:lang w:val="en-US" w:eastAsia="zh-CN" w:bidi="en-US"/>
        </w:rPr>
        <w:t>28</w:t>
      </w:r>
      <w:r>
        <w:rPr>
          <w:rFonts w:hint="eastAsia" w:ascii="仿宋_GB2312" w:hAnsi="仿宋_GB2312" w:eastAsia="仿宋_GB2312" w:cs="仿宋_GB2312"/>
          <w:color w:val="auto"/>
          <w:sz w:val="32"/>
          <w:szCs w:val="32"/>
          <w:highlight w:val="none"/>
          <w:lang w:bidi="en-US"/>
        </w:rPr>
        <w:t>日</w:t>
      </w:r>
    </w:p>
    <w:p w14:paraId="14567B77">
      <w:pPr>
        <w:keepNext w:val="0"/>
        <w:keepLines w:val="0"/>
        <w:pageBreakBefore w:val="0"/>
        <w:widowControl w:val="0"/>
        <w:kinsoku/>
        <w:wordWrap/>
        <w:overflowPunct/>
        <w:autoSpaceDE w:val="0"/>
        <w:autoSpaceDN w:val="0"/>
        <w:bidi w:val="0"/>
        <w:adjustRightInd w:val="0"/>
        <w:snapToGrid w:val="0"/>
        <w:spacing w:line="560" w:lineRule="exact"/>
        <w:textAlignment w:val="auto"/>
        <w:rPr>
          <w:rFonts w:hint="eastAsia" w:ascii="仿宋_GB2312" w:hAnsi="仿宋_GB2312" w:eastAsia="仿宋_GB2312" w:cs="仿宋_GB2312"/>
          <w:color w:val="auto"/>
          <w:sz w:val="32"/>
          <w:szCs w:val="32"/>
          <w:highlight w:val="none"/>
          <w:lang w:bidi="en-US"/>
        </w:rPr>
      </w:pPr>
    </w:p>
    <w:p w14:paraId="7046641D">
      <w:pPr>
        <w:keepNext w:val="0"/>
        <w:keepLines w:val="0"/>
        <w:pageBreakBefore w:val="0"/>
        <w:widowControl w:val="0"/>
        <w:kinsoku/>
        <w:wordWrap/>
        <w:overflowPunct/>
        <w:autoSpaceDE w:val="0"/>
        <w:autoSpaceDN w:val="0"/>
        <w:bidi w:val="0"/>
        <w:adjustRightInd w:val="0"/>
        <w:snapToGrid w:val="0"/>
        <w:spacing w:line="560" w:lineRule="exact"/>
        <w:textAlignment w:val="auto"/>
        <w:rPr>
          <w:rFonts w:hint="eastAsia" w:ascii="仿宋_GB2312" w:hAnsi="仿宋_GB2312" w:eastAsia="仿宋_GB2312" w:cs="仿宋_GB2312"/>
          <w:color w:val="auto"/>
          <w:sz w:val="32"/>
          <w:szCs w:val="32"/>
          <w:highlight w:val="none"/>
          <w:lang w:bidi="en-US"/>
        </w:rPr>
      </w:pPr>
    </w:p>
    <w:p w14:paraId="2E6D138E">
      <w:pPr>
        <w:keepNext w:val="0"/>
        <w:keepLines w:val="0"/>
        <w:pageBreakBefore w:val="0"/>
        <w:widowControl w:val="0"/>
        <w:kinsoku/>
        <w:wordWrap/>
        <w:overflowPunct/>
        <w:autoSpaceDE w:val="0"/>
        <w:autoSpaceDN w:val="0"/>
        <w:bidi w:val="0"/>
        <w:adjustRightInd w:val="0"/>
        <w:snapToGrid w:val="0"/>
        <w:spacing w:line="560" w:lineRule="exact"/>
        <w:textAlignment w:val="auto"/>
        <w:rPr>
          <w:rFonts w:hint="eastAsia" w:ascii="仿宋_GB2312" w:hAnsi="仿宋_GB2312" w:eastAsia="仿宋_GB2312" w:cs="仿宋_GB2312"/>
          <w:color w:val="auto"/>
          <w:sz w:val="32"/>
          <w:szCs w:val="32"/>
          <w:highlight w:val="none"/>
          <w:lang w:bidi="en-US"/>
        </w:rPr>
      </w:pPr>
    </w:p>
    <w:p w14:paraId="7E2A4E9F">
      <w:pPr>
        <w:rPr>
          <w:rFonts w:hint="eastAsia"/>
        </w:rPr>
      </w:pPr>
    </w:p>
    <w:p w14:paraId="75ACF22F">
      <w:pPr>
        <w:pStyle w:val="2"/>
        <w:ind w:left="0" w:leftChars="0" w:firstLine="0" w:firstLineChars="0"/>
        <w:rPr>
          <w:rFonts w:hint="eastAsia"/>
        </w:rPr>
      </w:pPr>
    </w:p>
    <w:p w14:paraId="5D705553">
      <w:pPr>
        <w:keepNext w:val="0"/>
        <w:keepLines w:val="0"/>
        <w:pageBreakBefore w:val="0"/>
        <w:widowControl w:val="0"/>
        <w:kinsoku/>
        <w:wordWrap/>
        <w:overflowPunct/>
        <w:autoSpaceDE w:val="0"/>
        <w:autoSpaceDN w:val="0"/>
        <w:bidi w:val="0"/>
        <w:adjustRightInd w:val="0"/>
        <w:snapToGrid w:val="0"/>
        <w:spacing w:line="560" w:lineRule="exact"/>
        <w:textAlignment w:val="auto"/>
        <w:rPr>
          <w:rFonts w:hint="eastAsia" w:ascii="仿宋_GB2312" w:hAnsi="仿宋_GB2312" w:eastAsia="仿宋_GB2312" w:cs="仿宋_GB2312"/>
          <w:color w:val="auto"/>
          <w:sz w:val="32"/>
          <w:szCs w:val="32"/>
          <w:highlight w:val="none"/>
          <w:lang w:bidi="en-US"/>
        </w:rPr>
      </w:pPr>
      <w:bookmarkStart w:id="1" w:name="_GoBack"/>
      <w:bookmarkEnd w:id="1"/>
    </w:p>
    <w:p w14:paraId="24B5C153">
      <w:pPr>
        <w:pStyle w:val="2"/>
        <w:rPr>
          <w:rFonts w:hint="eastAsia"/>
        </w:rPr>
      </w:pPr>
    </w:p>
    <w:p w14:paraId="775357C7">
      <w:pPr>
        <w:pStyle w:val="15"/>
        <w:keepNext w:val="0"/>
        <w:keepLines w:val="0"/>
        <w:pageBreakBefore w:val="0"/>
        <w:widowControl w:val="0"/>
        <w:kinsoku/>
        <w:wordWrap/>
        <w:overflowPunct/>
        <w:topLinePunct w:val="0"/>
        <w:bidi w:val="0"/>
        <w:snapToGrid/>
        <w:spacing w:line="500" w:lineRule="exact"/>
        <w:ind w:firstLine="280" w:firstLineChars="100"/>
        <w:jc w:val="both"/>
        <w:textAlignment w:val="auto"/>
        <w:rPr>
          <w:rFonts w:hint="eastAsia" w:ascii="仿宋" w:hAnsi="仿宋" w:eastAsia="仿宋" w:cs="仿宋"/>
          <w:color w:val="000000" w:themeColor="text1"/>
          <w:kern w:val="2"/>
          <w:sz w:val="28"/>
          <w:szCs w:val="28"/>
          <w:highlight w:val="none"/>
          <w:lang w:eastAsia="zh-CN" w:bidi="en-US"/>
          <w14:textFill>
            <w14:solidFill>
              <w14:schemeClr w14:val="tx1"/>
            </w14:solidFill>
          </w14:textFill>
        </w:rPr>
      </w:pPr>
      <w:r>
        <w:rPr>
          <w:rFonts w:hint="eastAsia" w:ascii="仿宋" w:hAnsi="仿宋" w:eastAsia="仿宋" w:cs="仿宋"/>
          <w:color w:val="auto"/>
          <w:kern w:val="2"/>
          <w:sz w:val="28"/>
          <w:szCs w:val="28"/>
          <w:highlight w:val="none"/>
          <w:lang w:bidi="en-US"/>
        </w:rPr>
        <w:t>抄送：盟生态环境综合行政执法支队</w:t>
      </w:r>
      <w:r>
        <w:rPr>
          <w:rFonts w:hint="eastAsia" w:ascii="仿宋" w:hAnsi="仿宋" w:eastAsia="仿宋" w:cs="仿宋"/>
          <w:color w:val="auto"/>
          <w:kern w:val="2"/>
          <w:sz w:val="28"/>
          <w:szCs w:val="28"/>
          <w:highlight w:val="none"/>
          <w:lang w:eastAsia="zh-CN" w:bidi="en-US"/>
        </w:rPr>
        <w:t>，</w:t>
      </w:r>
      <w:r>
        <w:rPr>
          <w:rFonts w:hint="eastAsia" w:ascii="仿宋" w:hAnsi="仿宋" w:eastAsia="仿宋" w:cs="仿宋"/>
          <w:color w:val="auto"/>
          <w:kern w:val="2"/>
          <w:sz w:val="28"/>
          <w:szCs w:val="28"/>
          <w:highlight w:val="none"/>
          <w:lang w:bidi="en-US"/>
        </w:rPr>
        <w:t>盟生态环</w:t>
      </w:r>
      <w:r>
        <w:rPr>
          <w:rFonts w:hint="eastAsia" w:ascii="仿宋" w:hAnsi="仿宋" w:eastAsia="仿宋" w:cs="仿宋"/>
          <w:color w:val="000000" w:themeColor="text1"/>
          <w:kern w:val="2"/>
          <w:sz w:val="28"/>
          <w:szCs w:val="28"/>
          <w:highlight w:val="none"/>
          <w:lang w:bidi="en-US"/>
          <w14:textFill>
            <w14:solidFill>
              <w14:schemeClr w14:val="tx1"/>
            </w14:solidFill>
          </w14:textFill>
        </w:rPr>
        <w:t>境局</w:t>
      </w:r>
      <w:r>
        <w:rPr>
          <w:rFonts w:hint="eastAsia" w:ascii="仿宋" w:hAnsi="仿宋" w:eastAsia="仿宋" w:cs="仿宋"/>
          <w:color w:val="000000" w:themeColor="text1"/>
          <w:kern w:val="2"/>
          <w:sz w:val="28"/>
          <w:szCs w:val="28"/>
          <w:highlight w:val="none"/>
          <w:lang w:eastAsia="zh-CN" w:bidi="en-US"/>
          <w14:textFill>
            <w14:solidFill>
              <w14:schemeClr w14:val="tx1"/>
            </w14:solidFill>
          </w14:textFill>
        </w:rPr>
        <w:t>正镶白旗</w:t>
      </w:r>
    </w:p>
    <w:p w14:paraId="0E9054CE">
      <w:pPr>
        <w:pStyle w:val="15"/>
        <w:keepNext w:val="0"/>
        <w:keepLines w:val="0"/>
        <w:pageBreakBefore w:val="0"/>
        <w:widowControl w:val="0"/>
        <w:kinsoku/>
        <w:wordWrap/>
        <w:overflowPunct/>
        <w:topLinePunct w:val="0"/>
        <w:bidi w:val="0"/>
        <w:snapToGrid/>
        <w:spacing w:line="500" w:lineRule="exact"/>
        <w:ind w:firstLine="1120" w:firstLineChars="400"/>
        <w:jc w:val="both"/>
        <w:textAlignment w:val="auto"/>
        <w:rPr>
          <w:rFonts w:hint="eastAsia" w:ascii="仿宋" w:hAnsi="仿宋" w:eastAsia="仿宋" w:cs="仿宋"/>
          <w:color w:val="auto"/>
          <w:kern w:val="2"/>
          <w:sz w:val="28"/>
          <w:szCs w:val="28"/>
          <w:highlight w:val="none"/>
          <w:lang w:eastAsia="zh-CN" w:bidi="en-US"/>
        </w:rPr>
      </w:pPr>
      <w:r>
        <w:rPr>
          <w:rFonts w:hint="eastAsia" w:ascii="仿宋" w:hAnsi="仿宋" w:eastAsia="仿宋" w:cs="仿宋"/>
          <w:color w:val="000000" w:themeColor="text1"/>
          <w:kern w:val="2"/>
          <w:sz w:val="28"/>
          <w:szCs w:val="28"/>
          <w:highlight w:val="none"/>
          <w:lang w:eastAsia="zh-CN" w:bidi="en-US"/>
          <w14:textFill>
            <w14:solidFill>
              <w14:schemeClr w14:val="tx1"/>
            </w14:solidFill>
          </w14:textFill>
        </w:rPr>
        <w:t>分</w:t>
      </w:r>
      <w:r>
        <w:rPr>
          <w:rFonts w:hint="eastAsia" w:ascii="仿宋" w:hAnsi="仿宋" w:eastAsia="仿宋" w:cs="仿宋"/>
          <w:color w:val="auto"/>
          <w:kern w:val="2"/>
          <w:sz w:val="28"/>
          <w:szCs w:val="28"/>
          <w:highlight w:val="none"/>
          <w:lang w:eastAsia="zh-CN" w:bidi="en-US"/>
        </w:rPr>
        <w:t>局。</w:t>
      </w:r>
    </w:p>
    <w:p w14:paraId="5129C6FB">
      <w:pPr>
        <w:keepNext w:val="0"/>
        <w:keepLines w:val="0"/>
        <w:pageBreakBefore w:val="0"/>
        <w:widowControl w:val="0"/>
        <w:pBdr>
          <w:top w:val="single" w:color="auto" w:sz="4" w:space="1"/>
          <w:left w:val="none" w:color="auto" w:sz="0" w:space="4"/>
          <w:bottom w:val="single" w:color="auto" w:sz="4" w:space="1"/>
          <w:right w:val="none" w:color="auto" w:sz="0" w:space="4"/>
        </w:pBdr>
        <w:kinsoku/>
        <w:wordWrap/>
        <w:overflowPunct/>
        <w:topLinePunct w:val="0"/>
        <w:bidi w:val="0"/>
        <w:snapToGrid/>
        <w:spacing w:line="500" w:lineRule="exact"/>
        <w:ind w:firstLine="280" w:firstLineChars="100"/>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锡林郭勒盟生态环境局办公室         202</w:t>
      </w:r>
      <w:r>
        <w:rPr>
          <w:rFonts w:hint="eastAsia" w:ascii="仿宋" w:hAnsi="仿宋" w:eastAsia="仿宋" w:cs="仿宋"/>
          <w:color w:val="auto"/>
          <w:sz w:val="28"/>
          <w:szCs w:val="28"/>
          <w:highlight w:val="none"/>
          <w:lang w:val="en-US" w:eastAsia="zh-CN"/>
        </w:rPr>
        <w:t>5</w:t>
      </w:r>
      <w:r>
        <w:rPr>
          <w:rFonts w:hint="eastAsia" w:ascii="仿宋" w:hAnsi="仿宋" w:eastAsia="仿宋" w:cs="仿宋"/>
          <w:color w:val="auto"/>
          <w:sz w:val="28"/>
          <w:szCs w:val="28"/>
          <w:highlight w:val="none"/>
        </w:rPr>
        <w:t>年</w:t>
      </w:r>
      <w:r>
        <w:rPr>
          <w:rFonts w:hint="eastAsia" w:ascii="仿宋" w:hAnsi="仿宋" w:eastAsia="仿宋" w:cs="仿宋"/>
          <w:color w:val="auto"/>
          <w:sz w:val="28"/>
          <w:szCs w:val="28"/>
          <w:highlight w:val="none"/>
          <w:lang w:val="en-US" w:eastAsia="zh-CN"/>
        </w:rPr>
        <w:t>8</w:t>
      </w:r>
      <w:r>
        <w:rPr>
          <w:rFonts w:hint="eastAsia" w:ascii="仿宋" w:hAnsi="仿宋" w:eastAsia="仿宋" w:cs="仿宋"/>
          <w:color w:val="auto"/>
          <w:sz w:val="28"/>
          <w:szCs w:val="28"/>
          <w:highlight w:val="none"/>
        </w:rPr>
        <w:t>月</w:t>
      </w:r>
      <w:r>
        <w:rPr>
          <w:rFonts w:hint="eastAsia" w:ascii="仿宋" w:hAnsi="仿宋" w:eastAsia="仿宋" w:cs="仿宋"/>
          <w:color w:val="auto"/>
          <w:sz w:val="28"/>
          <w:szCs w:val="28"/>
          <w:highlight w:val="none"/>
          <w:lang w:val="en-US" w:eastAsia="zh-CN"/>
        </w:rPr>
        <w:t>28</w:t>
      </w:r>
      <w:r>
        <w:rPr>
          <w:rFonts w:hint="eastAsia" w:ascii="仿宋" w:hAnsi="仿宋" w:eastAsia="仿宋" w:cs="仿宋"/>
          <w:color w:val="auto"/>
          <w:sz w:val="28"/>
          <w:szCs w:val="28"/>
          <w:highlight w:val="none"/>
        </w:rPr>
        <w:t>日印发</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宋体"/>
    <w:panose1 w:val="02010600030101010101"/>
    <w:charset w:val="86"/>
    <w:family w:val="auto"/>
    <w:pitch w:val="default"/>
    <w:sig w:usb0="00000000" w:usb1="00000000"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等线">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707984">
    <w:pPr>
      <w:pStyle w:val="7"/>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23D82B9">
                          <w:pPr>
                            <w:pStyle w:val="7"/>
                            <w:rPr>
                              <w:sz w:val="28"/>
                              <w:szCs w:val="28"/>
                            </w:rPr>
                          </w:pP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023D82B9">
                    <w:pPr>
                      <w:pStyle w:val="7"/>
                      <w:rPr>
                        <w:sz w:val="28"/>
                        <w:szCs w:val="28"/>
                      </w:rPr>
                    </w:pP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jVjZjliNThiMThmZTZiMTZlZjM4YWI1NWNjNGNiZjYifQ=="/>
  </w:docVars>
  <w:rsids>
    <w:rsidRoot w:val="00BE15C5"/>
    <w:rsid w:val="00096BAA"/>
    <w:rsid w:val="001577BB"/>
    <w:rsid w:val="00157C95"/>
    <w:rsid w:val="001A08E0"/>
    <w:rsid w:val="0023504A"/>
    <w:rsid w:val="00275F15"/>
    <w:rsid w:val="0029260D"/>
    <w:rsid w:val="0030521F"/>
    <w:rsid w:val="00314696"/>
    <w:rsid w:val="00333BAE"/>
    <w:rsid w:val="00351DD5"/>
    <w:rsid w:val="0036799A"/>
    <w:rsid w:val="003F6E8C"/>
    <w:rsid w:val="00565FD0"/>
    <w:rsid w:val="006D5A5C"/>
    <w:rsid w:val="0078439C"/>
    <w:rsid w:val="008169E9"/>
    <w:rsid w:val="008B4F82"/>
    <w:rsid w:val="008C5ED5"/>
    <w:rsid w:val="00977DFE"/>
    <w:rsid w:val="00981820"/>
    <w:rsid w:val="00A74547"/>
    <w:rsid w:val="00B3474C"/>
    <w:rsid w:val="00BB3EEE"/>
    <w:rsid w:val="00BE15C5"/>
    <w:rsid w:val="00C054DA"/>
    <w:rsid w:val="00C23C2B"/>
    <w:rsid w:val="00C769C0"/>
    <w:rsid w:val="00CA00EE"/>
    <w:rsid w:val="00D14C38"/>
    <w:rsid w:val="00D37553"/>
    <w:rsid w:val="00DA6EE3"/>
    <w:rsid w:val="00E76C09"/>
    <w:rsid w:val="00F13EA9"/>
    <w:rsid w:val="00F96E63"/>
    <w:rsid w:val="00FF17CD"/>
    <w:rsid w:val="019C606F"/>
    <w:rsid w:val="033C2BF5"/>
    <w:rsid w:val="04082137"/>
    <w:rsid w:val="04D60042"/>
    <w:rsid w:val="05FD1001"/>
    <w:rsid w:val="064265FE"/>
    <w:rsid w:val="065A7A8E"/>
    <w:rsid w:val="07E80A5E"/>
    <w:rsid w:val="08125FE6"/>
    <w:rsid w:val="09F707CE"/>
    <w:rsid w:val="0A055186"/>
    <w:rsid w:val="0C7A4895"/>
    <w:rsid w:val="0D6D6C1D"/>
    <w:rsid w:val="0EE27BE5"/>
    <w:rsid w:val="109F048E"/>
    <w:rsid w:val="133A3E29"/>
    <w:rsid w:val="134A4ECA"/>
    <w:rsid w:val="1772A69C"/>
    <w:rsid w:val="1B7C0676"/>
    <w:rsid w:val="1BF2CB73"/>
    <w:rsid w:val="1D61177E"/>
    <w:rsid w:val="1F9C573C"/>
    <w:rsid w:val="20FD21D9"/>
    <w:rsid w:val="22B733D3"/>
    <w:rsid w:val="29D8150D"/>
    <w:rsid w:val="2CF929A0"/>
    <w:rsid w:val="2F1F3E8C"/>
    <w:rsid w:val="2F2B74F6"/>
    <w:rsid w:val="2F7E7F6E"/>
    <w:rsid w:val="2F7F303D"/>
    <w:rsid w:val="37DB3B17"/>
    <w:rsid w:val="37DFB9CE"/>
    <w:rsid w:val="38763ED8"/>
    <w:rsid w:val="3AD90E3C"/>
    <w:rsid w:val="3BFB7ADD"/>
    <w:rsid w:val="3EDBBAD3"/>
    <w:rsid w:val="3FC31BD1"/>
    <w:rsid w:val="445D3A2B"/>
    <w:rsid w:val="466622E2"/>
    <w:rsid w:val="46B26845"/>
    <w:rsid w:val="4A3B72B4"/>
    <w:rsid w:val="4CDD40CE"/>
    <w:rsid w:val="4FFB87F7"/>
    <w:rsid w:val="501114FC"/>
    <w:rsid w:val="56990422"/>
    <w:rsid w:val="58B80B09"/>
    <w:rsid w:val="5C1271C4"/>
    <w:rsid w:val="5DF7C719"/>
    <w:rsid w:val="5DFFD6AD"/>
    <w:rsid w:val="5FA70BB0"/>
    <w:rsid w:val="5FDE5DAC"/>
    <w:rsid w:val="617526E2"/>
    <w:rsid w:val="640E5DD6"/>
    <w:rsid w:val="640F77AC"/>
    <w:rsid w:val="6479615F"/>
    <w:rsid w:val="65980358"/>
    <w:rsid w:val="67927E4C"/>
    <w:rsid w:val="68387D94"/>
    <w:rsid w:val="69CC12A6"/>
    <w:rsid w:val="6BD00E31"/>
    <w:rsid w:val="6E1A4AAF"/>
    <w:rsid w:val="6FD159E5"/>
    <w:rsid w:val="6FEE6D0C"/>
    <w:rsid w:val="70EA0941"/>
    <w:rsid w:val="71FFDCEE"/>
    <w:rsid w:val="737F42A4"/>
    <w:rsid w:val="740D1653"/>
    <w:rsid w:val="77483AA9"/>
    <w:rsid w:val="776575C6"/>
    <w:rsid w:val="77A04D8F"/>
    <w:rsid w:val="77A23F56"/>
    <w:rsid w:val="77FB60A4"/>
    <w:rsid w:val="78CC1696"/>
    <w:rsid w:val="795254DD"/>
    <w:rsid w:val="79F6371A"/>
    <w:rsid w:val="7B74E570"/>
    <w:rsid w:val="7C7FDDB9"/>
    <w:rsid w:val="7CE53CE8"/>
    <w:rsid w:val="7E5356DB"/>
    <w:rsid w:val="7F5DA376"/>
    <w:rsid w:val="7F6C2C5A"/>
    <w:rsid w:val="7F7C8CD3"/>
    <w:rsid w:val="7F7CE8F3"/>
    <w:rsid w:val="7F9F8E51"/>
    <w:rsid w:val="7FBF49B1"/>
    <w:rsid w:val="7FD6261A"/>
    <w:rsid w:val="7FDD5E1F"/>
    <w:rsid w:val="7FFF783F"/>
    <w:rsid w:val="8EFFAFD8"/>
    <w:rsid w:val="92CD1A93"/>
    <w:rsid w:val="979EC8C1"/>
    <w:rsid w:val="97FFBFF7"/>
    <w:rsid w:val="9AD73E0D"/>
    <w:rsid w:val="A7FFBEB9"/>
    <w:rsid w:val="AFDFA893"/>
    <w:rsid w:val="B6FB1ACB"/>
    <w:rsid w:val="BBD7B086"/>
    <w:rsid w:val="BBFD157B"/>
    <w:rsid w:val="BBFFB394"/>
    <w:rsid w:val="BDB9872E"/>
    <w:rsid w:val="CF77A9DB"/>
    <w:rsid w:val="DAFDAA89"/>
    <w:rsid w:val="DBAFDD4B"/>
    <w:rsid w:val="DBD5EE8A"/>
    <w:rsid w:val="DF671AB1"/>
    <w:rsid w:val="DF7B31B7"/>
    <w:rsid w:val="DFBDCEE2"/>
    <w:rsid w:val="DFF844CC"/>
    <w:rsid w:val="E7FD0A82"/>
    <w:rsid w:val="EF6F4B52"/>
    <w:rsid w:val="EFEB112C"/>
    <w:rsid w:val="F3FD86CF"/>
    <w:rsid w:val="F4FE1E3B"/>
    <w:rsid w:val="F87F4D24"/>
    <w:rsid w:val="FC7D141F"/>
    <w:rsid w:val="FE9F31A0"/>
    <w:rsid w:val="FFDD1C5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iPriority="99"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4">
    <w:name w:val="heading 4"/>
    <w:basedOn w:val="1"/>
    <w:next w:val="1"/>
    <w:unhideWhenUsed/>
    <w:qFormat/>
    <w:uiPriority w:val="9"/>
    <w:pPr>
      <w:keepNext/>
      <w:keepLines/>
      <w:adjustRightInd w:val="0"/>
      <w:snapToGrid w:val="0"/>
      <w:jc w:val="left"/>
      <w:outlineLvl w:val="3"/>
    </w:pPr>
    <w:rPr>
      <w:rFonts w:cstheme="majorBidi"/>
      <w:b/>
      <w:bCs/>
      <w:szCs w:val="28"/>
    </w:rPr>
  </w:style>
  <w:style w:type="character" w:default="1" w:styleId="12">
    <w:name w:val="Default Paragraph Font"/>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1"/>
    <w:qFormat/>
    <w:uiPriority w:val="0"/>
    <w:pPr>
      <w:adjustRightInd w:val="0"/>
      <w:ind w:firstLine="420"/>
      <w:textAlignment w:val="baseline"/>
    </w:pPr>
    <w:rPr>
      <w:rFonts w:ascii="宋体" w:hAnsi="宋体"/>
      <w:sz w:val="18"/>
      <w:szCs w:val="18"/>
    </w:rPr>
  </w:style>
  <w:style w:type="paragraph" w:styleId="3">
    <w:name w:val="Body Text Indent"/>
    <w:basedOn w:val="1"/>
    <w:next w:val="1"/>
    <w:qFormat/>
    <w:uiPriority w:val="0"/>
    <w:pPr>
      <w:spacing w:after="120"/>
      <w:ind w:left="420" w:leftChars="200"/>
    </w:pPr>
    <w:rPr>
      <w:rFonts w:ascii="Times New Roman" w:hAnsi="Times New Roman" w:eastAsia="宋体" w:cs="Times New Roman"/>
      <w:szCs w:val="20"/>
    </w:rPr>
  </w:style>
  <w:style w:type="paragraph" w:styleId="5">
    <w:name w:val="Normal Indent"/>
    <w:basedOn w:val="1"/>
    <w:next w:val="2"/>
    <w:qFormat/>
    <w:uiPriority w:val="0"/>
    <w:pPr>
      <w:ind w:firstLine="420" w:firstLineChars="200"/>
    </w:pPr>
    <w:rPr>
      <w:rFonts w:ascii="Times New Roman" w:hAnsi="Times New Roman" w:eastAsia="宋体"/>
      <w:szCs w:val="24"/>
    </w:rPr>
  </w:style>
  <w:style w:type="paragraph" w:styleId="6">
    <w:name w:val="annotation text"/>
    <w:basedOn w:val="1"/>
    <w:link w:val="23"/>
    <w:semiHidden/>
    <w:unhideWhenUsed/>
    <w:qFormat/>
    <w:uiPriority w:val="99"/>
    <w:pPr>
      <w:jc w:val="left"/>
    </w:pPr>
  </w:style>
  <w:style w:type="paragraph" w:styleId="7">
    <w:name w:val="footer"/>
    <w:basedOn w:val="1"/>
    <w:qFormat/>
    <w:uiPriority w:val="0"/>
    <w:pPr>
      <w:tabs>
        <w:tab w:val="center" w:pos="4153"/>
        <w:tab w:val="right" w:pos="8306"/>
      </w:tabs>
      <w:snapToGrid w:val="0"/>
      <w:jc w:val="left"/>
    </w:pPr>
    <w:rPr>
      <w:rFonts w:ascii="Times New Roman" w:hAnsi="Times New Roman" w:eastAsia="宋体" w:cs="Times New Roman"/>
      <w:sz w:val="18"/>
    </w:rPr>
  </w:style>
  <w:style w:type="paragraph" w:styleId="8">
    <w:name w:val="header"/>
    <w:basedOn w:val="1"/>
    <w:link w:val="19"/>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toc 1"/>
    <w:basedOn w:val="1"/>
    <w:next w:val="1"/>
    <w:qFormat/>
    <w:uiPriority w:val="39"/>
    <w:pPr>
      <w:tabs>
        <w:tab w:val="left" w:pos="284"/>
        <w:tab w:val="right" w:leader="dot" w:pos="8296"/>
      </w:tabs>
    </w:pPr>
  </w:style>
  <w:style w:type="paragraph" w:styleId="10">
    <w:name w:val="annotation subject"/>
    <w:basedOn w:val="6"/>
    <w:next w:val="6"/>
    <w:link w:val="24"/>
    <w:semiHidden/>
    <w:unhideWhenUsed/>
    <w:qFormat/>
    <w:uiPriority w:val="99"/>
    <w:rPr>
      <w:b/>
      <w:bCs/>
    </w:rPr>
  </w:style>
  <w:style w:type="character" w:styleId="13">
    <w:name w:val="Hyperlink"/>
    <w:basedOn w:val="12"/>
    <w:unhideWhenUsed/>
    <w:qFormat/>
    <w:uiPriority w:val="99"/>
    <w:rPr>
      <w:color w:val="0563C1" w:themeColor="hyperlink"/>
      <w:u w:val="single"/>
      <w14:textFill>
        <w14:solidFill>
          <w14:schemeClr w14:val="hlink"/>
        </w14:solidFill>
      </w14:textFill>
    </w:rPr>
  </w:style>
  <w:style w:type="character" w:styleId="14">
    <w:name w:val="annotation reference"/>
    <w:basedOn w:val="12"/>
    <w:semiHidden/>
    <w:unhideWhenUsed/>
    <w:qFormat/>
    <w:uiPriority w:val="99"/>
    <w:rPr>
      <w:sz w:val="21"/>
      <w:szCs w:val="21"/>
    </w:rPr>
  </w:style>
  <w:style w:type="paragraph" w:customStyle="1" w:styleId="15">
    <w:name w:val="Default"/>
    <w:basedOn w:val="16"/>
    <w:next w:val="1"/>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16">
    <w:name w:val="纯文本1"/>
    <w:basedOn w:val="1"/>
    <w:qFormat/>
    <w:uiPriority w:val="0"/>
    <w:rPr>
      <w:rFonts w:ascii="宋体" w:hAnsi="Courier New"/>
      <w:szCs w:val="20"/>
    </w:rPr>
  </w:style>
  <w:style w:type="paragraph" w:customStyle="1" w:styleId="17">
    <w:name w:val="正文1"/>
    <w:basedOn w:val="15"/>
    <w:next w:val="1"/>
    <w:qFormat/>
    <w:uiPriority w:val="0"/>
    <w:pPr>
      <w:tabs>
        <w:tab w:val="left" w:pos="0"/>
        <w:tab w:val="left" w:pos="7012"/>
      </w:tabs>
      <w:autoSpaceDE w:val="0"/>
      <w:autoSpaceDN w:val="0"/>
      <w:spacing w:beforeLines="25" w:afterLines="25" w:line="360" w:lineRule="auto"/>
      <w:ind w:firstLine="480" w:firstLineChars="200"/>
    </w:pPr>
    <w:rPr>
      <w:rFonts w:ascii="宋体" w:hAnsi="Calibri" w:cs="宋体"/>
      <w:color w:val="000000"/>
      <w:sz w:val="24"/>
      <w:szCs w:val="24"/>
    </w:rPr>
  </w:style>
  <w:style w:type="character" w:customStyle="1" w:styleId="18">
    <w:name w:val="未处理的提及1"/>
    <w:basedOn w:val="12"/>
    <w:semiHidden/>
    <w:unhideWhenUsed/>
    <w:qFormat/>
    <w:uiPriority w:val="99"/>
    <w:rPr>
      <w:color w:val="605E5C"/>
      <w:shd w:val="clear" w:color="auto" w:fill="E1DFDD"/>
    </w:rPr>
  </w:style>
  <w:style w:type="character" w:customStyle="1" w:styleId="19">
    <w:name w:val="页眉 字符"/>
    <w:basedOn w:val="12"/>
    <w:link w:val="8"/>
    <w:qFormat/>
    <w:uiPriority w:val="99"/>
    <w:rPr>
      <w:kern w:val="2"/>
      <w:sz w:val="18"/>
      <w:szCs w:val="18"/>
    </w:rPr>
  </w:style>
  <w:style w:type="paragraph" w:customStyle="1" w:styleId="20">
    <w:name w:val="表文"/>
    <w:basedOn w:val="1"/>
    <w:qFormat/>
    <w:uiPriority w:val="0"/>
    <w:pPr>
      <w:overflowPunct w:val="0"/>
      <w:spacing w:line="440" w:lineRule="exact"/>
      <w:jc w:val="center"/>
      <w:textAlignment w:val="baseline"/>
    </w:pPr>
    <w:rPr>
      <w:rFonts w:ascii="Arial" w:hAnsi="Arial" w:eastAsia="宋体" w:cs="Times New Roman"/>
      <w:szCs w:val="20"/>
    </w:rPr>
  </w:style>
  <w:style w:type="paragraph" w:customStyle="1" w:styleId="21">
    <w:name w:val="样式 (符号) 宋体 小四 行距: 1.5 倍行距"/>
    <w:basedOn w:val="1"/>
    <w:qFormat/>
    <w:uiPriority w:val="0"/>
    <w:pPr>
      <w:spacing w:line="360" w:lineRule="auto"/>
      <w:ind w:firstLine="200" w:firstLineChars="200"/>
    </w:pPr>
    <w:rPr>
      <w:rFonts w:ascii="Times New Roman" w:hAnsi="Times New Roman" w:eastAsia="宋体" w:cs="宋体"/>
      <w:sz w:val="24"/>
      <w:szCs w:val="24"/>
    </w:rPr>
  </w:style>
  <w:style w:type="paragraph" w:styleId="22">
    <w:name w:val="List Paragraph"/>
    <w:basedOn w:val="1"/>
    <w:qFormat/>
    <w:uiPriority w:val="99"/>
    <w:pPr>
      <w:ind w:firstLine="420" w:firstLineChars="200"/>
    </w:pPr>
  </w:style>
  <w:style w:type="character" w:customStyle="1" w:styleId="23">
    <w:name w:val="批注文字 字符"/>
    <w:basedOn w:val="12"/>
    <w:link w:val="6"/>
    <w:semiHidden/>
    <w:qFormat/>
    <w:uiPriority w:val="99"/>
    <w:rPr>
      <w:kern w:val="2"/>
      <w:sz w:val="21"/>
      <w:szCs w:val="22"/>
    </w:rPr>
  </w:style>
  <w:style w:type="character" w:customStyle="1" w:styleId="24">
    <w:name w:val="批注主题 字符"/>
    <w:basedOn w:val="23"/>
    <w:link w:val="10"/>
    <w:semiHidden/>
    <w:qFormat/>
    <w:uiPriority w:val="99"/>
    <w:rPr>
      <w:b/>
      <w:bCs/>
      <w:kern w:val="2"/>
      <w:sz w:val="21"/>
      <w:szCs w:val="22"/>
    </w:rPr>
  </w:style>
  <w:style w:type="paragraph" w:customStyle="1" w:styleId="25">
    <w:name w:val="高-正文"/>
    <w:basedOn w:val="1"/>
    <w:qFormat/>
    <w:uiPriority w:val="0"/>
    <w:pPr>
      <w:topLinePunct/>
      <w:adjustRightInd w:val="0"/>
      <w:snapToGrid w:val="0"/>
      <w:spacing w:line="480" w:lineRule="exact"/>
      <w:ind w:firstLine="600"/>
    </w:pPr>
    <w:rPr>
      <w:rFonts w:ascii="等线" w:hAnsi="等线" w:eastAsia="等线"/>
    </w:rPr>
  </w:style>
  <w:style w:type="paragraph" w:customStyle="1" w:styleId="26">
    <w:name w:val="报告书正文"/>
    <w:basedOn w:val="1"/>
    <w:qFormat/>
    <w:uiPriority w:val="0"/>
    <w:pPr>
      <w:adjustRightInd w:val="0"/>
      <w:snapToGrid w:val="0"/>
      <w:spacing w:line="360" w:lineRule="auto"/>
      <w:ind w:firstLine="425" w:firstLineChars="200"/>
      <w:textAlignment w:val="baseline"/>
    </w:pPr>
    <w:rPr>
      <w:rFonts w:ascii="Arial" w:hAnsi="Arial"/>
      <w:kern w:val="0"/>
      <w:sz w:val="24"/>
      <w:szCs w:val="22"/>
      <w:lang w:eastAsia="en-US" w:bidi="en-US"/>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4</Pages>
  <Words>1652</Words>
  <Characters>1752</Characters>
  <Lines>19</Lines>
  <Paragraphs>5</Paragraphs>
  <TotalTime>13</TotalTime>
  <ScaleCrop>false</ScaleCrop>
  <LinksUpToDate>false</LinksUpToDate>
  <CharactersWithSpaces>1761</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2023-02-06T01:32:00Z</dcterms:created>
  <dc:creator>hui hui</dc:creator>
  <cp:lastModifiedBy>ོʚ 中ོ然ོ ɞ</cp:lastModifiedBy>
  <cp:lastPrinted>2023-02-06T01:39:00Z</cp:lastPrinted>
  <dcterms:modified xsi:type="dcterms:W3CDTF">2025-08-28T07:21:48Z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A8B18472AC3EA464CACDAE68D9D8A818</vt:lpwstr>
  </property>
  <property fmtid="{D5CDD505-2E9C-101B-9397-08002B2CF9AE}" pid="4" name="KSOTemplateDocerSaveRecord">
    <vt:lpwstr>eyJoZGlkIjoiNTk0MDc0MWE2MzMxMjkwZmE5ODU4OGMzYzc5YjkzMTAiLCJ1c2VySWQiOiI1NDkxMDYxNjAifQ==</vt:lpwstr>
  </property>
</Properties>
</file>