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D8DECF">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9D94D87">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D124D92">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D6B28C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FA5CD15">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46C665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7D3154C0">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33C3754B">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75C54B39">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4BE418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r>
        <w:rPr>
          <w:rFonts w:hint="eastAsia"/>
        </w:rPr>
        <w:t>锡市环</w:t>
      </w:r>
      <w:r>
        <w:rPr>
          <w:rFonts w:hint="eastAsia"/>
          <w:lang w:val="en-US" w:eastAsia="zh-CN"/>
        </w:rPr>
        <w:t>审</w:t>
      </w:r>
      <w:r>
        <w:rPr>
          <w:rFonts w:hint="eastAsia"/>
        </w:rPr>
        <w:t>表﹝2025﹞</w:t>
      </w:r>
      <w:r>
        <w:rPr>
          <w:rFonts w:hint="eastAsia"/>
          <w:lang w:val="en-US" w:eastAsia="zh-CN"/>
        </w:rPr>
        <w:t>17</w:t>
      </w:r>
      <w:r>
        <w:rPr>
          <w:rFonts w:hint="eastAsia"/>
        </w:rPr>
        <w:t>号</w:t>
      </w:r>
    </w:p>
    <w:p w14:paraId="78E05B8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p>
    <w:p w14:paraId="7810FA7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锡林郭勒盟生态环境局</w:t>
      </w:r>
    </w:p>
    <w:p w14:paraId="394DF73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lang w:val="en-US" w:eastAsia="zh-CN"/>
        </w:rPr>
        <w:t>关于</w:t>
      </w:r>
      <w:r>
        <w:rPr>
          <w:rFonts w:hint="eastAsia" w:ascii="方正小标宋简体" w:hAnsi="方正小标宋简体" w:eastAsia="方正小标宋简体" w:cs="方正小标宋简体"/>
          <w:sz w:val="44"/>
          <w:szCs w:val="44"/>
          <w:lang w:eastAsia="zh-CN"/>
        </w:rPr>
        <w:t>锡林浩特市</w:t>
      </w:r>
      <w:r>
        <w:rPr>
          <w:rFonts w:hint="eastAsia" w:ascii="方正小标宋简体" w:hAnsi="方正小标宋简体" w:eastAsia="方正小标宋简体" w:cs="方正小标宋简体"/>
          <w:sz w:val="44"/>
          <w:szCs w:val="44"/>
        </w:rPr>
        <w:t>沃汗奶食加工部奶制品</w:t>
      </w:r>
    </w:p>
    <w:p w14:paraId="2223100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r>
        <w:rPr>
          <w:rFonts w:hint="eastAsia" w:ascii="方正小标宋简体" w:hAnsi="方正小标宋简体" w:eastAsia="方正小标宋简体" w:cs="方正小标宋简体"/>
          <w:sz w:val="44"/>
          <w:szCs w:val="44"/>
        </w:rPr>
        <w:t>加工项目环境影响报告表的批复</w:t>
      </w:r>
    </w:p>
    <w:p w14:paraId="3A14340D">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09425F23">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锡林浩特市沃汗奶食加工部：</w:t>
      </w:r>
    </w:p>
    <w:p w14:paraId="04E2373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你单位报送的《锡林浩特市沃汗奶食加工部奶制品加工项目环境影响报告表》已收悉。经研究，现批复如下：</w:t>
      </w:r>
    </w:p>
    <w:p w14:paraId="7559996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ascii="黑体" w:hAnsi="黑体" w:eastAsia="黑体" w:cs="黑体"/>
        </w:rPr>
        <w:t>一、建设项目基本情况</w:t>
      </w:r>
    </w:p>
    <w:p w14:paraId="5C04438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锡林浩特市沃汗奶食加工部奶制品加工项目位于内蒙古锡林郭勒盟锡林浩特市中小企业创业园内，建设性质为新建项目，项目总占地面积298平方米，主要建设内容包括1条奶酪生产线、1条奶豆腐生产线、1条奶皮子生产线，年生产规模为奶酪6吨、奶豆腐20吨、奶皮子30000张。项目总投资80万元，其中环保投资</w:t>
      </w:r>
      <w:r>
        <w:rPr>
          <w:rFonts w:hint="eastAsia"/>
          <w:lang w:val="en-US" w:eastAsia="zh-CN"/>
        </w:rPr>
        <w:t>8</w:t>
      </w:r>
      <w:r>
        <w:rPr>
          <w:rFonts w:hint="eastAsia"/>
        </w:rPr>
        <w:t>万元，占总投资的</w:t>
      </w:r>
      <w:r>
        <w:rPr>
          <w:rFonts w:hint="eastAsia"/>
          <w:lang w:val="en-US" w:eastAsia="zh-CN"/>
        </w:rPr>
        <w:t>10</w:t>
      </w:r>
      <w:r>
        <w:rPr>
          <w:rFonts w:hint="eastAsia"/>
        </w:rPr>
        <w:t>%。</w:t>
      </w:r>
    </w:p>
    <w:p w14:paraId="4C938E5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highlight w:val="none"/>
        </w:rPr>
      </w:pPr>
      <w:r>
        <w:rPr>
          <w:rFonts w:hint="eastAsia"/>
          <w:highlight w:val="none"/>
        </w:rPr>
        <w:t>根据《产业结构调整指导目录（2024年本）》，该项目属于</w:t>
      </w:r>
      <w:r>
        <w:rPr>
          <w:rFonts w:hint="eastAsia"/>
          <w:highlight w:val="none"/>
          <w:lang w:val="en-US" w:eastAsia="zh-CN"/>
        </w:rPr>
        <w:t>允许</w:t>
      </w:r>
      <w:r>
        <w:rPr>
          <w:rFonts w:hint="eastAsia"/>
          <w:highlight w:val="none"/>
        </w:rPr>
        <w:t>类项目。根据《锡林郭勒盟生态环境准入清单》，项目位于</w:t>
      </w:r>
      <w:r>
        <w:rPr>
          <w:rFonts w:hint="eastAsia"/>
          <w:highlight w:val="none"/>
          <w:lang w:eastAsia="zh-CN"/>
        </w:rPr>
        <w:t>“</w:t>
      </w:r>
      <w:r>
        <w:rPr>
          <w:rFonts w:hint="eastAsia"/>
          <w:highlight w:val="none"/>
        </w:rPr>
        <w:t>锡林浩特市城镇开发边界</w:t>
      </w:r>
      <w:r>
        <w:rPr>
          <w:rFonts w:hint="eastAsia"/>
          <w:highlight w:val="none"/>
          <w:lang w:eastAsia="zh-CN"/>
        </w:rPr>
        <w:t>（</w:t>
      </w:r>
      <w:r>
        <w:rPr>
          <w:rFonts w:hint="eastAsia"/>
          <w:highlight w:val="none"/>
        </w:rPr>
        <w:t>ZH15250220001</w:t>
      </w:r>
      <w:r>
        <w:rPr>
          <w:rFonts w:hint="eastAsia"/>
          <w:highlight w:val="none"/>
          <w:lang w:eastAsia="zh-CN"/>
        </w:rPr>
        <w:t>）</w:t>
      </w:r>
      <w:r>
        <w:rPr>
          <w:rFonts w:hint="eastAsia"/>
          <w:highlight w:val="none"/>
          <w:lang w:val="en-US" w:eastAsia="zh-CN"/>
        </w:rPr>
        <w:t>/</w:t>
      </w:r>
      <w:r>
        <w:rPr>
          <w:rFonts w:hint="eastAsia"/>
          <w:highlight w:val="none"/>
        </w:rPr>
        <w:t>重点管控单元</w:t>
      </w:r>
      <w:r>
        <w:rPr>
          <w:rFonts w:hint="eastAsia"/>
          <w:highlight w:val="none"/>
          <w:lang w:eastAsia="zh-CN"/>
        </w:rPr>
        <w:t>”</w:t>
      </w:r>
      <w:r>
        <w:rPr>
          <w:rFonts w:hint="eastAsia"/>
          <w:highlight w:val="none"/>
        </w:rPr>
        <w:t>，建设运营应严格执行所属单元管控要求。</w:t>
      </w:r>
    </w:p>
    <w:p w14:paraId="2BE6509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highlight w:val="none"/>
        </w:rPr>
      </w:pPr>
      <w:r>
        <w:rPr>
          <w:rFonts w:hint="eastAsia" w:ascii="黑体" w:hAnsi="黑体" w:eastAsia="黑体" w:cs="黑体"/>
          <w:highlight w:val="none"/>
        </w:rPr>
        <w:t>二、项目建设及运营过程中的相关职责</w:t>
      </w:r>
    </w:p>
    <w:p w14:paraId="037D5EC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highlight w:val="none"/>
        </w:rPr>
      </w:pPr>
      <w:r>
        <w:rPr>
          <w:rFonts w:hint="eastAsia" w:ascii="楷体" w:hAnsi="楷体" w:eastAsia="楷体" w:cs="楷体"/>
          <w:b/>
          <w:bCs/>
          <w:highlight w:val="none"/>
        </w:rPr>
        <w:t>（一）废气方面</w:t>
      </w:r>
    </w:p>
    <w:p w14:paraId="482D8A7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eastAsia="仿宋_GB2312"/>
          <w:lang w:val="en-US" w:eastAsia="zh-CN"/>
        </w:rPr>
      </w:pPr>
      <w:r>
        <w:rPr>
          <w:rFonts w:hint="eastAsia"/>
        </w:rPr>
        <w:t>严格落实各项大气污染防治措施。在设计、建设和运行中，按照“环保优先、绿色发展”目标和循环经济、清洁生产的理念，采用成熟可靠、技术先进、环境友好的工艺技术方案，选用优质装备和原材料，强化各装置节能降耗措施，减少污染物的产生量和排放量。</w:t>
      </w:r>
      <w:r>
        <w:rPr>
          <w:rFonts w:hint="eastAsia"/>
          <w:lang w:val="en-US" w:eastAsia="zh-CN"/>
        </w:rPr>
        <w:t>项目运营期大气污染物主要为发酵过程产生的废气及污水处理站废气，针对发酵过程产生的废气通过加强机械通风等措施处理后达标排放；针对污水处理站产生的废气，通过各设施池体密封加盖、定期喷洒除臭剂等措施处理后达标排放。</w:t>
      </w:r>
    </w:p>
    <w:p w14:paraId="26A63A7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（二）废水方面</w:t>
      </w:r>
    </w:p>
    <w:p w14:paraId="7660221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eastAsia="仿宋_GB2312"/>
          <w:lang w:val="en-US" w:eastAsia="zh-CN"/>
        </w:rPr>
      </w:pPr>
      <w:r>
        <w:rPr>
          <w:rFonts w:hint="eastAsia"/>
        </w:rPr>
        <w:t>严格落实各项水污染防治措施。根据“雨污分流、清污分流、分质处理、一水多用”的原则，进一步提高水的回用率，减少新鲜水用量和废水产生量。</w:t>
      </w:r>
      <w:r>
        <w:rPr>
          <w:rFonts w:hint="eastAsia"/>
          <w:lang w:val="en-US" w:eastAsia="zh-CN"/>
        </w:rPr>
        <w:t>项目新建</w:t>
      </w:r>
      <w:r>
        <w:rPr>
          <w:rFonts w:hint="eastAsia"/>
        </w:rPr>
        <w:t>一体化污水处理设施</w:t>
      </w:r>
      <w:r>
        <w:rPr>
          <w:rFonts w:hint="eastAsia"/>
          <w:lang w:eastAsia="zh-CN"/>
        </w:rPr>
        <w:t>，</w:t>
      </w:r>
      <w:r>
        <w:rPr>
          <w:rFonts w:hint="eastAsia"/>
          <w:lang w:val="en-US" w:eastAsia="zh-CN"/>
        </w:rPr>
        <w:t>处理工艺</w:t>
      </w:r>
      <w:r>
        <w:rPr>
          <w:rFonts w:hint="eastAsia"/>
          <w:highlight w:val="none"/>
          <w:lang w:val="en-US" w:eastAsia="zh-CN"/>
        </w:rPr>
        <w:t>为“调节池+缺氧池+膜生物反应池”，处</w:t>
      </w:r>
      <w:r>
        <w:rPr>
          <w:rFonts w:hint="eastAsia"/>
          <w:lang w:val="en-US" w:eastAsia="zh-CN"/>
        </w:rPr>
        <w:t>理规模为</w:t>
      </w:r>
      <w:r>
        <w:rPr>
          <w:rFonts w:hint="eastAsia"/>
        </w:rPr>
        <w:t>1</w:t>
      </w:r>
      <w:r>
        <w:rPr>
          <w:rFonts w:hint="eastAsia"/>
          <w:lang w:val="en-US" w:eastAsia="zh-CN"/>
        </w:rPr>
        <w:t>5吨/天</w:t>
      </w:r>
      <w:bookmarkStart w:id="0" w:name="_GoBack"/>
      <w:bookmarkEnd w:id="0"/>
      <w:r>
        <w:rPr>
          <w:rFonts w:hint="eastAsia"/>
          <w:lang w:eastAsia="zh-CN"/>
        </w:rPr>
        <w:t>。</w:t>
      </w:r>
      <w:r>
        <w:rPr>
          <w:rFonts w:hint="eastAsia"/>
          <w:lang w:val="en-US" w:eastAsia="zh-CN"/>
        </w:rPr>
        <w:t>运营期产生的</w:t>
      </w:r>
      <w:r>
        <w:rPr>
          <w:rFonts w:hint="eastAsia"/>
        </w:rPr>
        <w:t>生活污水、设备清洗废水、地面冲洗废水</w:t>
      </w:r>
      <w:r>
        <w:rPr>
          <w:rFonts w:hint="eastAsia"/>
          <w:lang w:val="en-US" w:eastAsia="zh-CN"/>
        </w:rPr>
        <w:t>通过厂区内</w:t>
      </w:r>
      <w:r>
        <w:rPr>
          <w:rFonts w:hint="eastAsia"/>
        </w:rPr>
        <w:t>一体化污水处理设施处理</w:t>
      </w:r>
      <w:r>
        <w:rPr>
          <w:rFonts w:hint="eastAsia"/>
          <w:lang w:val="en-US" w:eastAsia="zh-CN"/>
        </w:rPr>
        <w:t>达标</w:t>
      </w:r>
      <w:r>
        <w:rPr>
          <w:rFonts w:hint="eastAsia"/>
        </w:rPr>
        <w:t>后</w:t>
      </w:r>
      <w:r>
        <w:rPr>
          <w:rFonts w:hint="eastAsia"/>
          <w:lang w:val="en-US" w:eastAsia="zh-CN"/>
        </w:rPr>
        <w:t>由市政管网排放</w:t>
      </w:r>
      <w:r>
        <w:rPr>
          <w:rFonts w:hint="eastAsia"/>
        </w:rPr>
        <w:t>至锡林浩特市</w:t>
      </w:r>
      <w:r>
        <w:rPr>
          <w:rFonts w:hint="eastAsia"/>
          <w:lang w:val="en-US" w:eastAsia="zh-CN"/>
        </w:rPr>
        <w:t>城镇</w:t>
      </w:r>
      <w:r>
        <w:rPr>
          <w:rFonts w:hint="eastAsia"/>
        </w:rPr>
        <w:t>污水处理厂</w:t>
      </w:r>
      <w:r>
        <w:rPr>
          <w:rFonts w:hint="eastAsia"/>
          <w:lang w:val="en-US" w:eastAsia="zh-CN"/>
        </w:rPr>
        <w:t>进一步</w:t>
      </w:r>
      <w:r>
        <w:rPr>
          <w:rFonts w:hint="eastAsia"/>
        </w:rPr>
        <w:t>处理</w:t>
      </w:r>
      <w:r>
        <w:rPr>
          <w:rFonts w:hint="eastAsia"/>
          <w:lang w:eastAsia="zh-CN"/>
        </w:rPr>
        <w:t>；</w:t>
      </w:r>
      <w:r>
        <w:rPr>
          <w:rFonts w:hint="eastAsia"/>
        </w:rPr>
        <w:t>废乳清外售</w:t>
      </w:r>
      <w:r>
        <w:rPr>
          <w:rFonts w:hint="eastAsia"/>
          <w:lang w:val="en-US" w:eastAsia="zh-CN"/>
        </w:rPr>
        <w:t>处置。</w:t>
      </w:r>
    </w:p>
    <w:p w14:paraId="4AAB722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（三）噪声方面</w:t>
      </w:r>
    </w:p>
    <w:p w14:paraId="3765F4B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严格落实噪声防治措施。通过选用低噪声设备，做好减震装置、消声器，设立隔声罩等综合治理措施，以减少噪声传播和影响范围；加强机械的保养维护，确保良好的运行状态，从而减少噪声产生；加强项目周边绿化，增加植被覆盖，如树木和草坪，以吸收和隔离噪声，确保范围内声环境质量达标。倡导科学管理、文明生产、环保生产，确保噪声污染物达标排放。</w:t>
      </w:r>
    </w:p>
    <w:p w14:paraId="54471D9C">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（四）固废方面</w:t>
      </w:r>
    </w:p>
    <w:p w14:paraId="005D4A0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lang w:val="en-US" w:eastAsia="zh-CN"/>
        </w:rPr>
      </w:pPr>
      <w:r>
        <w:rPr>
          <w:rFonts w:hint="eastAsia"/>
        </w:rPr>
        <w:t>加强固体废物处置管理。按照固体废物“资源化、减量化、无害化”处置原则，落实各类固体废物的收集、处置和综合利用措施。</w:t>
      </w:r>
      <w:r>
        <w:rPr>
          <w:rFonts w:hint="eastAsia"/>
          <w:lang w:val="en-US" w:eastAsia="zh-CN"/>
        </w:rPr>
        <w:t>项目污水处理站产生的污泥经处理含水率等指标满足处置标准后委托有资质的单位进行处理；废包装袋、生活垃圾等收集后委托环卫部门进行处置。进一步加强固体废物管理，确保各类固体废物得到合理处置，防止造成环境污染。</w:t>
      </w:r>
    </w:p>
    <w:p w14:paraId="0EA686A1">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（五）进一步提高环保投入，提高周边绿化率。</w:t>
      </w:r>
    </w:p>
    <w:p w14:paraId="1F4B03E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（六）做好</w:t>
      </w:r>
      <w:r>
        <w:rPr>
          <w:rFonts w:hint="eastAsia" w:ascii="楷体" w:hAnsi="楷体" w:eastAsia="楷体" w:cs="楷体"/>
          <w:b/>
          <w:bCs/>
          <w:lang w:val="en-US" w:eastAsia="zh-CN"/>
        </w:rPr>
        <w:t>各防渗区</w:t>
      </w:r>
      <w:r>
        <w:rPr>
          <w:rFonts w:hint="eastAsia" w:ascii="楷体" w:hAnsi="楷体" w:eastAsia="楷体" w:cs="楷体"/>
          <w:b/>
          <w:bCs/>
        </w:rPr>
        <w:t>的分区防渗措施。</w:t>
      </w:r>
    </w:p>
    <w:p w14:paraId="25D1A00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三、执行“三同时”制度</w:t>
      </w:r>
    </w:p>
    <w:p w14:paraId="5318721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项目建设必须严格执行环境保护设施与主体工程同时设计、同时施工、同时投产使用的环境保护“三同时”制度。</w:t>
      </w:r>
    </w:p>
    <w:p w14:paraId="6A11257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（一）要将环境保护措施纳入初步设计报告并落实环保设施投资概算。</w:t>
      </w:r>
    </w:p>
    <w:p w14:paraId="3BBC280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（二）要将环境保护设施建设纳入施工合同，保证环境保护设施建设进度和</w:t>
      </w:r>
      <w:r>
        <w:rPr>
          <w:rFonts w:hint="eastAsia"/>
          <w:lang w:eastAsia="zh-CN"/>
        </w:rPr>
        <w:t>资</w:t>
      </w:r>
      <w:r>
        <w:rPr>
          <w:rFonts w:hint="eastAsia"/>
        </w:rPr>
        <w:t>金</w:t>
      </w:r>
      <w:r>
        <w:rPr>
          <w:rFonts w:hint="eastAsia"/>
          <w:lang w:eastAsia="zh-CN"/>
        </w:rPr>
        <w:t>投入</w:t>
      </w:r>
      <w:r>
        <w:rPr>
          <w:rFonts w:hint="eastAsia"/>
        </w:rPr>
        <w:t>。</w:t>
      </w:r>
    </w:p>
    <w:p w14:paraId="117E250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（三）项目竣工后须按规定程序实施竣工环境保护验收，验收合格后方可正式投运。</w:t>
      </w:r>
    </w:p>
    <w:p w14:paraId="65A4085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四、其他要求</w:t>
      </w:r>
    </w:p>
    <w:p w14:paraId="72E71D0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锡林郭勒盟生态环境综合行政执法支队对该项目建设</w:t>
      </w:r>
      <w:r>
        <w:rPr>
          <w:rFonts w:hint="eastAsia"/>
          <w:lang w:val="en-US" w:eastAsia="zh-CN"/>
        </w:rPr>
        <w:t>运营</w:t>
      </w:r>
      <w:r>
        <w:rPr>
          <w:rFonts w:hint="eastAsia"/>
        </w:rPr>
        <w:t>期间各项生态环境保护措施落实情况进行监督检查和管理。</w:t>
      </w:r>
    </w:p>
    <w:p w14:paraId="3D8544CC">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0C9385DE">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071D2198">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0BCD5105">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r>
        <w:rPr>
          <w:rFonts w:hint="eastAsia"/>
        </w:rPr>
        <w:t>锡林郭勒盟生态环境局</w:t>
      </w:r>
    </w:p>
    <w:p w14:paraId="7DE562CC">
      <w:pPr>
        <w:keepNext w:val="0"/>
        <w:keepLines w:val="0"/>
        <w:pageBreakBefore w:val="0"/>
        <w:widowControl w:val="0"/>
        <w:kinsoku/>
        <w:wordWrap/>
        <w:overflowPunct/>
        <w:topLinePunct w:val="0"/>
        <w:autoSpaceDE/>
        <w:autoSpaceDN/>
        <w:bidi w:val="0"/>
        <w:adjustRightInd/>
        <w:snapToGrid/>
        <w:spacing w:line="560" w:lineRule="exact"/>
        <w:ind w:firstLine="5440" w:firstLineChars="1700"/>
        <w:textAlignment w:val="auto"/>
        <w:rPr>
          <w:rFonts w:hint="eastAsia"/>
          <w:lang w:val="en-US" w:eastAsia="zh-CN"/>
        </w:rPr>
      </w:pPr>
      <w:r>
        <w:rPr>
          <w:rFonts w:hint="eastAsia"/>
          <w:lang w:val="en-US" w:eastAsia="zh-CN"/>
        </w:rPr>
        <w:t>2025年7月18日</w:t>
      </w:r>
    </w:p>
    <w:p w14:paraId="11931823">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3A5689D8">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7CE3B55A">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15A1CCF5">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3FFF10A0">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5404813E">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5FEEE5D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sz w:val="28"/>
          <w:szCs w:val="28"/>
        </w:rPr>
      </w:pPr>
      <w:r>
        <w:rPr>
          <w:sz w:val="32"/>
        </w:rPr>
        <mc:AlternateContent>
          <mc:Choice Requires="wps">
            <w:drawing>
              <wp:anchor distT="0" distB="0" distL="114300" distR="114300" simplePos="0" relativeHeight="251659264" behindDoc="0" locked="0" layoutInCell="1" allowOverlap="1">
                <wp:simplePos x="0" y="0"/>
                <wp:positionH relativeFrom="column">
                  <wp:posOffset>171450</wp:posOffset>
                </wp:positionH>
                <wp:positionV relativeFrom="paragraph">
                  <wp:posOffset>73660</wp:posOffset>
                </wp:positionV>
                <wp:extent cx="5305425" cy="0"/>
                <wp:effectExtent l="0" t="6350" r="0" b="6350"/>
                <wp:wrapNone/>
                <wp:docPr id="6" name="直接连接符 6"/>
                <wp:cNvGraphicFramePr/>
                <a:graphic xmlns:a="http://schemas.openxmlformats.org/drawingml/2006/main">
                  <a:graphicData uri="http://schemas.microsoft.com/office/word/2010/wordprocessingShape">
                    <wps:wsp>
                      <wps:cNvCnPr/>
                      <wps:spPr>
                        <a:xfrm>
                          <a:off x="895985" y="8778875"/>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5.8pt;height:0pt;width:417.75pt;z-index:251659264;mso-width-relative:page;mso-height-relative:page;" filled="f" stroked="t" coordsize="21600,21600" o:gfxdata="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GZj4U3XAAAACAEAAA8AAAAAAAAAAQAgAAAAIgAAAGRycy9kb3ducmV2LnhtbFBLAQIUABQA&#10;AAAIAIdO4kDxZxZS8QEAAL0DAAAOAAAAAAAAAAEAIAAAACYBAABkcnMvZTJvRG9jLnhtbFBLBQYA&#10;AAAABgAGAFkBAACJBQAAAAA=&#10;">
                <v:fill on="f" focussize="0,0"/>
                <v:stroke weight="1pt" color="#000000 [3213]" miterlimit="8" joinstyle="miter"/>
                <v:imagedata o:title=""/>
                <o:lock v:ext="edit" aspectratio="f"/>
              </v:line>
            </w:pict>
          </mc:Fallback>
        </mc:AlternateContent>
      </w:r>
      <w:r>
        <w:rPr>
          <w:rFonts w:hint="eastAsia"/>
          <w:sz w:val="28"/>
          <w:szCs w:val="28"/>
        </w:rPr>
        <w:t>抄送：盟生态环境综合行政执法支队、盟生态环境局锡市分局</w:t>
      </w:r>
    </w:p>
    <w:p w14:paraId="40ADBCE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sz w:val="28"/>
          <w:szCs w:val="28"/>
        </w:rPr>
      </w:pPr>
      <w:r>
        <w:rPr>
          <w:sz w:val="32"/>
        </w:rPr>
        <mc:AlternateContent>
          <mc:Choice Requires="wps">
            <w:drawing>
              <wp:anchor distT="0" distB="0" distL="114300" distR="114300" simplePos="0" relativeHeight="251661312" behindDoc="0" locked="0" layoutInCell="1" allowOverlap="1">
                <wp:simplePos x="0" y="0"/>
                <wp:positionH relativeFrom="column">
                  <wp:posOffset>171450</wp:posOffset>
                </wp:positionH>
                <wp:positionV relativeFrom="paragraph">
                  <wp:posOffset>387985</wp:posOffset>
                </wp:positionV>
                <wp:extent cx="5305425" cy="0"/>
                <wp:effectExtent l="0" t="6350" r="0" b="6350"/>
                <wp:wrapNone/>
                <wp:docPr id="11" name="直接连接符 11"/>
                <wp:cNvGraphicFramePr/>
                <a:graphic xmlns:a="http://schemas.openxmlformats.org/drawingml/2006/main">
                  <a:graphicData uri="http://schemas.microsoft.com/office/word/2010/wordprocessingShape">
                    <wps:wsp>
                      <wps:cNvCnPr/>
                      <wps:spPr>
                        <a:xfrm>
                          <a:off x="0" y="0"/>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30.55pt;height:0pt;width:417.75pt;z-index:251661312;mso-width-relative:page;mso-height-relative:page;" filled="f" stroked="t" coordsize="21600,21600" o:gfxdata="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wsNAk2AAA&#10;AAgBAAAPAAAAAAAAAAEAIAAAACIAAABkcnMvZG93bnJldi54bWxQSwECFAAUAAAACACHTuJAgsFU&#10;tuUBAAC0AwAADgAAAAAAAAABACAAAAAnAQAAZHJzL2Uyb0RvYy54bWxQSwUGAAAAAAYABgBZAQAA&#10;fgUAAAAA&#10;">
                <v:fill on="f" focussize="0,0"/>
                <v:stroke weight="1pt" color="#000000 [3213]" miterlimit="8" joinstyle="miter"/>
                <v:imagedata o:title=""/>
                <o:lock v:ext="edit" aspectratio="f"/>
              </v:line>
            </w:pict>
          </mc:Fallback>
        </mc:AlternateContent>
      </w:r>
      <w:r>
        <w:rPr>
          <w:sz w:val="32"/>
        </w:rPr>
        <mc:AlternateContent>
          <mc:Choice Requires="wps">
            <w:drawing>
              <wp:anchor distT="0" distB="0" distL="114300" distR="114300" simplePos="0" relativeHeight="251660288" behindDoc="0" locked="0" layoutInCell="1" allowOverlap="1">
                <wp:simplePos x="0" y="0"/>
                <wp:positionH relativeFrom="column">
                  <wp:posOffset>171450</wp:posOffset>
                </wp:positionH>
                <wp:positionV relativeFrom="paragraph">
                  <wp:posOffset>83185</wp:posOffset>
                </wp:positionV>
                <wp:extent cx="5305425" cy="0"/>
                <wp:effectExtent l="0" t="6350" r="0" b="6350"/>
                <wp:wrapNone/>
                <wp:docPr id="10" name="直接连接符 10"/>
                <wp:cNvGraphicFramePr/>
                <a:graphic xmlns:a="http://schemas.openxmlformats.org/drawingml/2006/main">
                  <a:graphicData uri="http://schemas.microsoft.com/office/word/2010/wordprocessingShape">
                    <wps:wsp>
                      <wps:cNvCnPr/>
                      <wps:spPr>
                        <a:xfrm>
                          <a:off x="0" y="0"/>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6.55pt;height:0pt;width:417.75pt;z-index:251660288;mso-width-relative:page;mso-height-relative:page;" filled="f" stroked="t" coordsize="21600,21600" o:gfxdata="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t5UwS9cAAAAI&#10;AQAADwAAAAAAAAABACAAAAAiAAAAZHJzL2Rvd25yZXYueG1sUEsBAhQAFAAAAAgAh07iQFF5Q7Xk&#10;AQAAtAMAAA4AAAAAAAAAAQAgAAAAJgEAAGRycy9lMm9Eb2MueG1sUEsFBgAAAAAGAAYAWQEAAHwF&#10;AAAAAA==&#10;">
                <v:fill on="f" focussize="0,0"/>
                <v:stroke weight="1pt" color="#000000 [3213]" miterlimit="8" joinstyle="miter"/>
                <v:imagedata o:title=""/>
                <o:lock v:ext="edit" aspectratio="f"/>
              </v:line>
            </w:pict>
          </mc:Fallback>
        </mc:AlternateContent>
      </w:r>
      <w:r>
        <w:rPr>
          <w:rFonts w:hint="eastAsia"/>
          <w:sz w:val="28"/>
          <w:szCs w:val="28"/>
        </w:rPr>
        <w:t xml:space="preserve">锡林郭勒盟生态环境局办公室        </w:t>
      </w:r>
      <w:r>
        <w:rPr>
          <w:rFonts w:hint="eastAsia"/>
          <w:sz w:val="28"/>
          <w:szCs w:val="28"/>
          <w:lang w:val="en-US" w:eastAsia="zh-CN"/>
        </w:rPr>
        <w:t xml:space="preserve"> 2025年7月18日</w:t>
      </w:r>
      <w:r>
        <w:rPr>
          <w:rFonts w:hint="eastAsia"/>
          <w:sz w:val="28"/>
          <w:szCs w:val="28"/>
        </w:rPr>
        <w:t>印发</w:t>
      </w:r>
    </w:p>
    <w:sectPr>
      <w:footerReference r:id="rId3" w:type="default"/>
      <w:pgSz w:w="11906" w:h="16838"/>
      <w:pgMar w:top="2154" w:right="1531" w:bottom="1928" w:left="1531" w:header="851" w:footer="992" w:gutter="0"/>
      <w:pgNumType w:fmt="numberInDash"/>
      <w:cols w:space="0" w:num="1"/>
      <w:rtlGutter w:val="0"/>
      <w:docGrid w:type="lines" w:linePitch="43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AD9B32">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EC70174">
                          <w:pPr>
                            <w:pStyle w:val="2"/>
                            <w:rPr>
                              <w:rFonts w:hint="eastAsia" w:ascii="楷体" w:hAnsi="楷体" w:eastAsia="楷体" w:cs="楷体"/>
                              <w:sz w:val="28"/>
                              <w:szCs w:val="28"/>
                            </w:rPr>
                          </w:pPr>
                        </w:p>
                        <w:p w14:paraId="1AD90072">
                          <w:pPr>
                            <w:pStyle w:val="2"/>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1</w:t>
                          </w:r>
                          <w:r>
                            <w:rPr>
                              <w:rFonts w:hint="eastAsia" w:ascii="楷体" w:hAnsi="楷体" w:eastAsia="楷体" w:cs="楷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14:paraId="6EC70174">
                    <w:pPr>
                      <w:pStyle w:val="2"/>
                      <w:rPr>
                        <w:rFonts w:hint="eastAsia" w:ascii="楷体" w:hAnsi="楷体" w:eastAsia="楷体" w:cs="楷体"/>
                        <w:sz w:val="28"/>
                        <w:szCs w:val="28"/>
                      </w:rPr>
                    </w:pPr>
                  </w:p>
                  <w:p w14:paraId="1AD90072">
                    <w:pPr>
                      <w:pStyle w:val="2"/>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1</w:t>
                    </w:r>
                    <w:r>
                      <w:rPr>
                        <w:rFonts w:hint="eastAsia" w:ascii="楷体" w:hAnsi="楷体" w:eastAsia="楷体" w:cs="楷体"/>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A2M2VmMTViNjIwOWYxYWM0Mjc1NTRkYTQ5MDY3MzQifQ=="/>
  </w:docVars>
  <w:rsids>
    <w:rsidRoot w:val="00000000"/>
    <w:rsid w:val="00425BC0"/>
    <w:rsid w:val="0070738A"/>
    <w:rsid w:val="017350FB"/>
    <w:rsid w:val="018207C5"/>
    <w:rsid w:val="01C012ED"/>
    <w:rsid w:val="0227136C"/>
    <w:rsid w:val="02313F99"/>
    <w:rsid w:val="02505281"/>
    <w:rsid w:val="025F0B06"/>
    <w:rsid w:val="02F31FD9"/>
    <w:rsid w:val="04565F0C"/>
    <w:rsid w:val="048B5BE2"/>
    <w:rsid w:val="05E800DE"/>
    <w:rsid w:val="06A709CA"/>
    <w:rsid w:val="06F747D9"/>
    <w:rsid w:val="074D5C69"/>
    <w:rsid w:val="07CC1A54"/>
    <w:rsid w:val="081B5186"/>
    <w:rsid w:val="09AC4ECD"/>
    <w:rsid w:val="09D74664"/>
    <w:rsid w:val="0B4E5BBB"/>
    <w:rsid w:val="0B506547"/>
    <w:rsid w:val="0CB61617"/>
    <w:rsid w:val="0CFB58CF"/>
    <w:rsid w:val="0D336E17"/>
    <w:rsid w:val="0D756ED0"/>
    <w:rsid w:val="0DD8176C"/>
    <w:rsid w:val="0DFB5D03"/>
    <w:rsid w:val="0E1C4DF8"/>
    <w:rsid w:val="0E4929AB"/>
    <w:rsid w:val="0EC8358F"/>
    <w:rsid w:val="0F684E4E"/>
    <w:rsid w:val="10C76C75"/>
    <w:rsid w:val="10E2302E"/>
    <w:rsid w:val="120B303E"/>
    <w:rsid w:val="139E4A43"/>
    <w:rsid w:val="142B6BEC"/>
    <w:rsid w:val="1486051A"/>
    <w:rsid w:val="164125A5"/>
    <w:rsid w:val="16645E6C"/>
    <w:rsid w:val="16DE2E67"/>
    <w:rsid w:val="16E276A1"/>
    <w:rsid w:val="17B85C2A"/>
    <w:rsid w:val="17C476FF"/>
    <w:rsid w:val="17C92852"/>
    <w:rsid w:val="18BA4999"/>
    <w:rsid w:val="18C140E3"/>
    <w:rsid w:val="18CB25F9"/>
    <w:rsid w:val="1917525C"/>
    <w:rsid w:val="195F581C"/>
    <w:rsid w:val="19B62042"/>
    <w:rsid w:val="1ABF755B"/>
    <w:rsid w:val="1ADD6614"/>
    <w:rsid w:val="1B1B6AA2"/>
    <w:rsid w:val="1B2B5375"/>
    <w:rsid w:val="1C191C7C"/>
    <w:rsid w:val="1C6B38EC"/>
    <w:rsid w:val="1C810BEC"/>
    <w:rsid w:val="1CBC1555"/>
    <w:rsid w:val="1CD73C10"/>
    <w:rsid w:val="1CDA7555"/>
    <w:rsid w:val="1CEB326A"/>
    <w:rsid w:val="1D71334C"/>
    <w:rsid w:val="1DD42D4F"/>
    <w:rsid w:val="1DD548E1"/>
    <w:rsid w:val="1E980356"/>
    <w:rsid w:val="1ECE699F"/>
    <w:rsid w:val="1EEB3D1B"/>
    <w:rsid w:val="1F187782"/>
    <w:rsid w:val="1F2D56A1"/>
    <w:rsid w:val="1FE43FA1"/>
    <w:rsid w:val="1FEE1AC6"/>
    <w:rsid w:val="200D03CB"/>
    <w:rsid w:val="20336CE1"/>
    <w:rsid w:val="20E944E0"/>
    <w:rsid w:val="21B06E88"/>
    <w:rsid w:val="22197924"/>
    <w:rsid w:val="22D45251"/>
    <w:rsid w:val="22EC5646"/>
    <w:rsid w:val="23D83C37"/>
    <w:rsid w:val="24B85AC3"/>
    <w:rsid w:val="24CC2727"/>
    <w:rsid w:val="24E40586"/>
    <w:rsid w:val="24FD755C"/>
    <w:rsid w:val="25105990"/>
    <w:rsid w:val="256A0B3D"/>
    <w:rsid w:val="265175A7"/>
    <w:rsid w:val="272C0399"/>
    <w:rsid w:val="27386837"/>
    <w:rsid w:val="28DD6492"/>
    <w:rsid w:val="298D1A91"/>
    <w:rsid w:val="29A053DC"/>
    <w:rsid w:val="29A9603F"/>
    <w:rsid w:val="2A030CB2"/>
    <w:rsid w:val="2A346916"/>
    <w:rsid w:val="2A5833C3"/>
    <w:rsid w:val="2AD74E2E"/>
    <w:rsid w:val="2B0269A3"/>
    <w:rsid w:val="2B22254D"/>
    <w:rsid w:val="2B7500B4"/>
    <w:rsid w:val="2C1D6E5D"/>
    <w:rsid w:val="2D185661"/>
    <w:rsid w:val="2D654973"/>
    <w:rsid w:val="2E647545"/>
    <w:rsid w:val="2E70730F"/>
    <w:rsid w:val="2EBD7A3C"/>
    <w:rsid w:val="2EC22E44"/>
    <w:rsid w:val="2F3E4FAD"/>
    <w:rsid w:val="2FA953FC"/>
    <w:rsid w:val="2FEB6D20"/>
    <w:rsid w:val="311C0372"/>
    <w:rsid w:val="31396A7E"/>
    <w:rsid w:val="31460E11"/>
    <w:rsid w:val="3179422E"/>
    <w:rsid w:val="31950829"/>
    <w:rsid w:val="32560617"/>
    <w:rsid w:val="32AF31AF"/>
    <w:rsid w:val="32DC56D7"/>
    <w:rsid w:val="333E5341"/>
    <w:rsid w:val="344D1C8E"/>
    <w:rsid w:val="348A3C65"/>
    <w:rsid w:val="34CE2DFE"/>
    <w:rsid w:val="34FA563A"/>
    <w:rsid w:val="35C67F79"/>
    <w:rsid w:val="35C948C7"/>
    <w:rsid w:val="35E56568"/>
    <w:rsid w:val="36A30098"/>
    <w:rsid w:val="36FA6F28"/>
    <w:rsid w:val="370339F0"/>
    <w:rsid w:val="37403D5B"/>
    <w:rsid w:val="37C823FE"/>
    <w:rsid w:val="380B3B4E"/>
    <w:rsid w:val="38F54B56"/>
    <w:rsid w:val="39D06507"/>
    <w:rsid w:val="39DF7F56"/>
    <w:rsid w:val="3A1D0633"/>
    <w:rsid w:val="3A3E668A"/>
    <w:rsid w:val="3A7F4DBA"/>
    <w:rsid w:val="3B4A51A8"/>
    <w:rsid w:val="3B5A5793"/>
    <w:rsid w:val="3BF27D19"/>
    <w:rsid w:val="3C1674D0"/>
    <w:rsid w:val="3C3D5DDF"/>
    <w:rsid w:val="3C547AC7"/>
    <w:rsid w:val="3C573FED"/>
    <w:rsid w:val="3C885F88"/>
    <w:rsid w:val="3CBC3E83"/>
    <w:rsid w:val="3CFC1E6C"/>
    <w:rsid w:val="3D5B369C"/>
    <w:rsid w:val="3D651D55"/>
    <w:rsid w:val="3DE503C5"/>
    <w:rsid w:val="3E6F5651"/>
    <w:rsid w:val="3F0C1354"/>
    <w:rsid w:val="3F41048B"/>
    <w:rsid w:val="3FDF4CAD"/>
    <w:rsid w:val="402D0ECF"/>
    <w:rsid w:val="4086373C"/>
    <w:rsid w:val="40B72674"/>
    <w:rsid w:val="41590791"/>
    <w:rsid w:val="4185518C"/>
    <w:rsid w:val="41936BF0"/>
    <w:rsid w:val="41984EBF"/>
    <w:rsid w:val="41AD1BAE"/>
    <w:rsid w:val="41FF4F3E"/>
    <w:rsid w:val="42DD4FD8"/>
    <w:rsid w:val="42EE2EEE"/>
    <w:rsid w:val="435E53D2"/>
    <w:rsid w:val="43916338"/>
    <w:rsid w:val="43E947BE"/>
    <w:rsid w:val="44534DE1"/>
    <w:rsid w:val="448F3867"/>
    <w:rsid w:val="44962EB9"/>
    <w:rsid w:val="44E73A68"/>
    <w:rsid w:val="45673B36"/>
    <w:rsid w:val="46935C55"/>
    <w:rsid w:val="46C040A0"/>
    <w:rsid w:val="46CC756B"/>
    <w:rsid w:val="46F24AE2"/>
    <w:rsid w:val="46F65AB6"/>
    <w:rsid w:val="472D3C48"/>
    <w:rsid w:val="47864444"/>
    <w:rsid w:val="481B7AFF"/>
    <w:rsid w:val="481D611E"/>
    <w:rsid w:val="493B1763"/>
    <w:rsid w:val="49C84105"/>
    <w:rsid w:val="4A011472"/>
    <w:rsid w:val="4A111CB3"/>
    <w:rsid w:val="4A3F2651"/>
    <w:rsid w:val="4A6203A8"/>
    <w:rsid w:val="4ABC0F2E"/>
    <w:rsid w:val="4B047772"/>
    <w:rsid w:val="4B0715AA"/>
    <w:rsid w:val="4B0D769D"/>
    <w:rsid w:val="4B1410C5"/>
    <w:rsid w:val="4B4B32CD"/>
    <w:rsid w:val="4B6C6F7C"/>
    <w:rsid w:val="4B890B2B"/>
    <w:rsid w:val="4BAD3BC3"/>
    <w:rsid w:val="4C1F4975"/>
    <w:rsid w:val="4C2B51F3"/>
    <w:rsid w:val="4C926232"/>
    <w:rsid w:val="4D0F38CF"/>
    <w:rsid w:val="4D123EA4"/>
    <w:rsid w:val="4D9A7FE1"/>
    <w:rsid w:val="4D9E2A9F"/>
    <w:rsid w:val="4E097E94"/>
    <w:rsid w:val="4E4D7031"/>
    <w:rsid w:val="4E8559DE"/>
    <w:rsid w:val="4F260926"/>
    <w:rsid w:val="4F4F2935"/>
    <w:rsid w:val="4FBC0F82"/>
    <w:rsid w:val="4FFB301B"/>
    <w:rsid w:val="508807F5"/>
    <w:rsid w:val="50D47DA5"/>
    <w:rsid w:val="51BD48F1"/>
    <w:rsid w:val="51CB2E5E"/>
    <w:rsid w:val="52307478"/>
    <w:rsid w:val="52A64E63"/>
    <w:rsid w:val="53ED479A"/>
    <w:rsid w:val="55983288"/>
    <w:rsid w:val="56063A10"/>
    <w:rsid w:val="56157207"/>
    <w:rsid w:val="57DE1C43"/>
    <w:rsid w:val="57ED7CDD"/>
    <w:rsid w:val="58197E1A"/>
    <w:rsid w:val="581D5CC6"/>
    <w:rsid w:val="585B3B3E"/>
    <w:rsid w:val="58807A14"/>
    <w:rsid w:val="594924D9"/>
    <w:rsid w:val="5A5A6003"/>
    <w:rsid w:val="5A9164F8"/>
    <w:rsid w:val="5AD10D06"/>
    <w:rsid w:val="5AE30668"/>
    <w:rsid w:val="5AE605F2"/>
    <w:rsid w:val="5BBD4F0B"/>
    <w:rsid w:val="5C3A6E47"/>
    <w:rsid w:val="5C7C63A1"/>
    <w:rsid w:val="5D4F6922"/>
    <w:rsid w:val="5DCA244C"/>
    <w:rsid w:val="5EAE2BA6"/>
    <w:rsid w:val="5FB25DFC"/>
    <w:rsid w:val="600850D5"/>
    <w:rsid w:val="604C0EF7"/>
    <w:rsid w:val="60A56859"/>
    <w:rsid w:val="60FA5EB0"/>
    <w:rsid w:val="614D5EC2"/>
    <w:rsid w:val="618C2F57"/>
    <w:rsid w:val="62131FDF"/>
    <w:rsid w:val="628306A0"/>
    <w:rsid w:val="63473BF7"/>
    <w:rsid w:val="638C75A0"/>
    <w:rsid w:val="63B3128D"/>
    <w:rsid w:val="63E12AF6"/>
    <w:rsid w:val="651D1811"/>
    <w:rsid w:val="653A1F3B"/>
    <w:rsid w:val="65C50E3A"/>
    <w:rsid w:val="65F8742B"/>
    <w:rsid w:val="65FA3636"/>
    <w:rsid w:val="675D6DC0"/>
    <w:rsid w:val="67B8077F"/>
    <w:rsid w:val="67C972D1"/>
    <w:rsid w:val="67CB129B"/>
    <w:rsid w:val="67D57A24"/>
    <w:rsid w:val="67D6379C"/>
    <w:rsid w:val="67E71F3C"/>
    <w:rsid w:val="68623D98"/>
    <w:rsid w:val="689A40B9"/>
    <w:rsid w:val="694251E2"/>
    <w:rsid w:val="6A047FD5"/>
    <w:rsid w:val="6A103F70"/>
    <w:rsid w:val="6A884BFC"/>
    <w:rsid w:val="6B4001B5"/>
    <w:rsid w:val="6C63320F"/>
    <w:rsid w:val="6D0C15C3"/>
    <w:rsid w:val="6D1567FF"/>
    <w:rsid w:val="6D4025A3"/>
    <w:rsid w:val="6D605AE9"/>
    <w:rsid w:val="6F7C6062"/>
    <w:rsid w:val="6FEF5D43"/>
    <w:rsid w:val="70F133F4"/>
    <w:rsid w:val="710812D5"/>
    <w:rsid w:val="7214383E"/>
    <w:rsid w:val="72381204"/>
    <w:rsid w:val="72AB5DE3"/>
    <w:rsid w:val="72ED47BB"/>
    <w:rsid w:val="73DF154D"/>
    <w:rsid w:val="73F77193"/>
    <w:rsid w:val="74C44B0A"/>
    <w:rsid w:val="755824D8"/>
    <w:rsid w:val="75751760"/>
    <w:rsid w:val="762C0553"/>
    <w:rsid w:val="76C40854"/>
    <w:rsid w:val="773B448B"/>
    <w:rsid w:val="77636CFD"/>
    <w:rsid w:val="77AF1B9B"/>
    <w:rsid w:val="77D9530E"/>
    <w:rsid w:val="78255DA7"/>
    <w:rsid w:val="78B04D31"/>
    <w:rsid w:val="791412EC"/>
    <w:rsid w:val="799A618E"/>
    <w:rsid w:val="79D435A8"/>
    <w:rsid w:val="7A73769A"/>
    <w:rsid w:val="7AEE530B"/>
    <w:rsid w:val="7BF34CC8"/>
    <w:rsid w:val="7C0400B6"/>
    <w:rsid w:val="7D146DE8"/>
    <w:rsid w:val="7D7D0332"/>
    <w:rsid w:val="7DB859C6"/>
    <w:rsid w:val="7E3736CB"/>
    <w:rsid w:val="7E5D1143"/>
    <w:rsid w:val="7F052E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仿宋_GB2312" w:hAnsi="仿宋_GB2312" w:eastAsia="仿宋_GB2312" w:cs="仿宋_GB2312"/>
      <w:kern w:val="2"/>
      <w:sz w:val="32"/>
      <w:szCs w:val="3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1466</Words>
  <Characters>1504</Characters>
  <Lines>0</Lines>
  <Paragraphs>0</Paragraphs>
  <TotalTime>7</TotalTime>
  <ScaleCrop>false</ScaleCrop>
  <LinksUpToDate>false</LinksUpToDate>
  <CharactersWithSpaces>1513</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2022-10-17T08:28:00Z</dcterms:created>
  <dc:creator>DELL</dc:creator>
  <cp:lastModifiedBy>WPS_1712737004</cp:lastModifiedBy>
  <cp:lastPrinted>2025-03-25T09:01:00Z</cp:lastPrinted>
  <dcterms:modified xsi:type="dcterms:W3CDTF">2025-07-15T02:34:12Z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F2272C73ADBF40BA9F461E5581216794</vt:lpwstr>
  </property>
  <property fmtid="{D5CDD505-2E9C-101B-9397-08002B2CF9AE}" pid="4" name="KSOTemplateDocerSaveRecord">
    <vt:lpwstr>eyJoZGlkIjoiYzA2M2VmMTViNjIwOWYxYWM0Mjc1NTRkYTQ5MDY3MzQiLCJ1c2VySWQiOiIxNTkyMTgzNDY3In0=</vt:lpwstr>
  </property>
</Properties>
</file>