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B0E19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highlight w:val="none"/>
        </w:rPr>
      </w:pPr>
    </w:p>
    <w:p w14:paraId="38D9205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highlight w:val="none"/>
        </w:rPr>
      </w:pPr>
    </w:p>
    <w:p w14:paraId="49B2D60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highlight w:val="none"/>
        </w:rPr>
      </w:pPr>
    </w:p>
    <w:p w14:paraId="2F67ACC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highlight w:val="none"/>
        </w:rPr>
      </w:pPr>
    </w:p>
    <w:p w14:paraId="33247CF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highlight w:val="none"/>
        </w:rPr>
      </w:pPr>
    </w:p>
    <w:p w14:paraId="29D84D5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highlight w:val="none"/>
        </w:rPr>
      </w:pPr>
    </w:p>
    <w:p w14:paraId="0DD50CB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highlight w:val="none"/>
        </w:rPr>
      </w:pPr>
    </w:p>
    <w:p w14:paraId="3D62AB3D">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highlight w:val="none"/>
        </w:rPr>
      </w:pPr>
    </w:p>
    <w:p w14:paraId="29251D1C">
      <w:pPr>
        <w:keepNext w:val="0"/>
        <w:keepLines w:val="0"/>
        <w:pageBreakBefore w:val="0"/>
        <w:widowControl w:val="0"/>
        <w:kinsoku/>
        <w:wordWrap/>
        <w:overflowPunct/>
        <w:topLinePunct w:val="0"/>
        <w:bidi w:val="0"/>
        <w:snapToGrid w:val="0"/>
        <w:spacing w:line="560" w:lineRule="exact"/>
        <w:jc w:val="center"/>
        <w:rPr>
          <w:rFonts w:ascii="仿宋_GB2312" w:hAnsi="Calibri" w:eastAsia="仿宋_GB2312" w:cs="Arial"/>
          <w:color w:val="auto"/>
          <w:sz w:val="32"/>
          <w:szCs w:val="32"/>
          <w:highlight w:val="none"/>
        </w:rPr>
      </w:pPr>
      <w:r>
        <w:rPr>
          <w:rFonts w:hint="eastAsia" w:ascii="仿宋_GB2312" w:hAnsi="Calibri" w:eastAsia="仿宋_GB2312" w:cs="Arial"/>
          <w:color w:val="auto"/>
          <w:sz w:val="32"/>
          <w:szCs w:val="32"/>
          <w:highlight w:val="none"/>
        </w:rPr>
        <w:t>东环审表</w:t>
      </w:r>
      <w:r>
        <w:rPr>
          <w:rFonts w:hint="eastAsia" w:ascii="仿宋_GB2312" w:hAnsi="黑体" w:eastAsia="仿宋_GB2312" w:cs="Arial"/>
          <w:color w:val="auto"/>
          <w:sz w:val="32"/>
          <w:szCs w:val="32"/>
          <w:highlight w:val="none"/>
        </w:rPr>
        <w:t>〔202</w:t>
      </w:r>
      <w:r>
        <w:rPr>
          <w:rFonts w:hint="eastAsia" w:ascii="仿宋_GB2312" w:hAnsi="黑体" w:eastAsia="仿宋_GB2312" w:cs="Arial"/>
          <w:color w:val="auto"/>
          <w:sz w:val="32"/>
          <w:szCs w:val="32"/>
          <w:highlight w:val="none"/>
          <w:lang w:val="en-US" w:eastAsia="zh-CN"/>
        </w:rPr>
        <w:t>5</w:t>
      </w:r>
      <w:r>
        <w:rPr>
          <w:rFonts w:hint="eastAsia" w:ascii="仿宋_GB2312" w:hAnsi="黑体" w:eastAsia="仿宋_GB2312" w:cs="Arial"/>
          <w:color w:val="auto"/>
          <w:sz w:val="32"/>
          <w:szCs w:val="32"/>
          <w:highlight w:val="none"/>
        </w:rPr>
        <w:t>〕</w:t>
      </w:r>
      <w:r>
        <w:rPr>
          <w:rFonts w:hint="eastAsia" w:ascii="仿宋_GB2312" w:hAnsi="Calibri" w:eastAsia="仿宋_GB2312" w:cs="Arial"/>
          <w:color w:val="auto"/>
          <w:sz w:val="32"/>
          <w:szCs w:val="32"/>
          <w:highlight w:val="none"/>
          <w:lang w:val="en-US" w:eastAsia="zh-CN"/>
        </w:rPr>
        <w:t>19</w:t>
      </w:r>
      <w:r>
        <w:rPr>
          <w:rFonts w:hint="eastAsia" w:ascii="仿宋_GB2312" w:hAnsi="Calibri" w:eastAsia="仿宋_GB2312" w:cs="Arial"/>
          <w:color w:val="auto"/>
          <w:sz w:val="32"/>
          <w:szCs w:val="32"/>
          <w:highlight w:val="none"/>
        </w:rPr>
        <w:t xml:space="preserve">号   </w:t>
      </w:r>
    </w:p>
    <w:p w14:paraId="48EDA33E">
      <w:pPr>
        <w:keepNext w:val="0"/>
        <w:keepLines w:val="0"/>
        <w:pageBreakBefore w:val="0"/>
        <w:widowControl w:val="0"/>
        <w:kinsoku/>
        <w:wordWrap/>
        <w:overflowPunct/>
        <w:topLinePunct w:val="0"/>
        <w:bidi w:val="0"/>
        <w:snapToGrid w:val="0"/>
        <w:spacing w:line="560" w:lineRule="exact"/>
        <w:rPr>
          <w:rFonts w:hint="eastAsia" w:ascii="Calibri" w:hAnsi="Calibri" w:eastAsia="宋体" w:cs="Arial"/>
          <w:color w:val="auto"/>
          <w:sz w:val="44"/>
          <w:szCs w:val="44"/>
          <w:highlight w:val="none"/>
        </w:rPr>
      </w:pPr>
      <w:r>
        <w:rPr>
          <w:rFonts w:ascii="Calibri" w:hAnsi="Calibri" w:eastAsia="宋体" w:cs="Arial"/>
          <w:color w:val="auto"/>
          <w:sz w:val="28"/>
          <w:szCs w:val="28"/>
          <w:highlight w:val="none"/>
        </w:rPr>
        <w:t xml:space="preserve"> </w:t>
      </w:r>
    </w:p>
    <w:p w14:paraId="30939483">
      <w:pPr>
        <w:keepNext w:val="0"/>
        <w:keepLines w:val="0"/>
        <w:pageBreakBefore w:val="0"/>
        <w:widowControl w:val="0"/>
        <w:kinsoku/>
        <w:wordWrap/>
        <w:overflowPunct/>
        <w:topLinePunct w:val="0"/>
        <w:autoSpaceDE w:val="0"/>
        <w:bidi w:val="0"/>
        <w:spacing w:line="560" w:lineRule="exact"/>
        <w:jc w:val="center"/>
        <w:textAlignment w:val="baseline"/>
        <w:rPr>
          <w:rFonts w:hint="eastAsia" w:ascii="方正小标宋简体" w:hAnsi="Calibri" w:eastAsia="方正小标宋简体" w:cs="Arial"/>
          <w:color w:val="auto"/>
          <w:sz w:val="44"/>
          <w:szCs w:val="44"/>
          <w:highlight w:val="none"/>
        </w:rPr>
      </w:pPr>
      <w:r>
        <w:rPr>
          <w:rFonts w:hint="eastAsia" w:ascii="方正小标宋简体" w:hAnsi="Calibri" w:eastAsia="方正小标宋简体" w:cs="Arial"/>
          <w:color w:val="auto"/>
          <w:sz w:val="44"/>
          <w:szCs w:val="44"/>
          <w:highlight w:val="none"/>
        </w:rPr>
        <w:t>锡林郭勒盟生态环境局</w:t>
      </w:r>
    </w:p>
    <w:p w14:paraId="745B315E">
      <w:pPr>
        <w:keepNext w:val="0"/>
        <w:keepLines w:val="0"/>
        <w:pageBreakBefore w:val="0"/>
        <w:widowControl w:val="0"/>
        <w:kinsoku/>
        <w:wordWrap/>
        <w:overflowPunct/>
        <w:topLinePunct w:val="0"/>
        <w:autoSpaceDE w:val="0"/>
        <w:bidi w:val="0"/>
        <w:spacing w:line="560" w:lineRule="exact"/>
        <w:jc w:val="center"/>
        <w:textAlignment w:val="baseline"/>
        <w:rPr>
          <w:rFonts w:hint="eastAsia" w:ascii="方正小标宋简体" w:hAnsi="Calibri" w:eastAsia="方正小标宋简体" w:cs="Arial"/>
          <w:color w:val="auto"/>
          <w:sz w:val="44"/>
          <w:szCs w:val="44"/>
          <w:highlight w:val="none"/>
        </w:rPr>
      </w:pPr>
      <w:bookmarkStart w:id="0" w:name="OLE_LINK1"/>
      <w:r>
        <w:rPr>
          <w:rFonts w:hint="eastAsia" w:ascii="方正小标宋简体" w:hAnsi="Calibri" w:eastAsia="方正小标宋简体" w:cs="Arial"/>
          <w:color w:val="auto"/>
          <w:sz w:val="44"/>
          <w:szCs w:val="44"/>
          <w:highlight w:val="none"/>
        </w:rPr>
        <w:t>关于</w:t>
      </w:r>
      <w:r>
        <w:rPr>
          <w:rFonts w:hint="eastAsia" w:ascii="方正小标宋简体" w:hAnsi="Calibri" w:eastAsia="方正小标宋简体" w:cs="Arial"/>
          <w:color w:val="auto"/>
          <w:sz w:val="44"/>
          <w:szCs w:val="44"/>
          <w:highlight w:val="none"/>
          <w:lang w:val="en-US" w:eastAsia="zh-CN"/>
        </w:rPr>
        <w:t>宝2井探井勘探项目</w:t>
      </w:r>
      <w:r>
        <w:rPr>
          <w:rFonts w:hint="eastAsia" w:ascii="方正小标宋简体" w:hAnsi="Calibri" w:eastAsia="方正小标宋简体" w:cs="Arial"/>
          <w:color w:val="auto"/>
          <w:sz w:val="44"/>
          <w:szCs w:val="44"/>
          <w:highlight w:val="none"/>
        </w:rPr>
        <w:t xml:space="preserve">环境影响报告表的批复 </w:t>
      </w:r>
    </w:p>
    <w:bookmarkEnd w:id="0"/>
    <w:p w14:paraId="5C50DEFA">
      <w:pPr>
        <w:keepNext w:val="0"/>
        <w:keepLines w:val="0"/>
        <w:pageBreakBefore w:val="0"/>
        <w:widowControl w:val="0"/>
        <w:kinsoku/>
        <w:wordWrap/>
        <w:overflowPunct/>
        <w:topLinePunct w:val="0"/>
        <w:bidi w:val="0"/>
        <w:adjustRightInd w:val="0"/>
        <w:snapToGrid w:val="0"/>
        <w:spacing w:line="560" w:lineRule="exact"/>
        <w:jc w:val="left"/>
        <w:rPr>
          <w:rFonts w:hint="eastAsia" w:ascii="仿宋_GB2312" w:hAnsi="Calibri" w:eastAsia="仿宋_GB2312" w:cs="Arial"/>
          <w:color w:val="auto"/>
          <w:sz w:val="36"/>
          <w:szCs w:val="36"/>
          <w:highlight w:val="none"/>
        </w:rPr>
      </w:pPr>
      <w:r>
        <w:rPr>
          <w:rFonts w:hint="eastAsia" w:ascii="方正小标宋简体" w:hAnsi="Calibri" w:eastAsia="方正小标宋简体" w:cs="Arial"/>
          <w:color w:val="auto"/>
          <w:sz w:val="44"/>
          <w:szCs w:val="44"/>
          <w:highlight w:val="none"/>
          <w:lang w:val="en-US" w:eastAsia="zh-CN"/>
        </w:rPr>
        <w:t xml:space="preserve"> </w:t>
      </w:r>
      <w:r>
        <w:rPr>
          <w:rFonts w:hint="eastAsia" w:ascii="仿宋_GB2312" w:hAnsi="Calibri" w:eastAsia="仿宋_GB2312" w:cs="Arial"/>
          <w:color w:val="auto"/>
          <w:sz w:val="36"/>
          <w:szCs w:val="36"/>
          <w:highlight w:val="none"/>
        </w:rPr>
        <w:t xml:space="preserve"> </w:t>
      </w:r>
    </w:p>
    <w:p w14:paraId="0B963E6F">
      <w:pPr>
        <w:keepNext w:val="0"/>
        <w:keepLines w:val="0"/>
        <w:pageBreakBefore w:val="0"/>
        <w:widowControl w:val="0"/>
        <w:kinsoku/>
        <w:wordWrap/>
        <w:overflowPunct/>
        <w:topLinePunct w:val="0"/>
        <w:autoSpaceDN/>
        <w:bidi w:val="0"/>
        <w:spacing w:line="520" w:lineRule="exact"/>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东乌珠穆沁旗海天量子石油开发有限公司</w:t>
      </w:r>
      <w:r>
        <w:rPr>
          <w:rFonts w:hint="eastAsia" w:ascii="仿宋_GB2312" w:hAnsi="仿宋_GB2312" w:eastAsia="仿宋_GB2312" w:cs="仿宋_GB2312"/>
          <w:color w:val="auto"/>
          <w:sz w:val="32"/>
          <w:szCs w:val="32"/>
          <w:highlight w:val="none"/>
        </w:rPr>
        <w:t>:</w:t>
      </w:r>
    </w:p>
    <w:p w14:paraId="5597E2B4">
      <w:pPr>
        <w:keepNext w:val="0"/>
        <w:keepLines w:val="0"/>
        <w:pageBreakBefore w:val="0"/>
        <w:widowControl w:val="0"/>
        <w:kinsoku/>
        <w:wordWrap/>
        <w:overflowPunct/>
        <w:topLinePunct w:val="0"/>
        <w:autoSpaceDE w:val="0"/>
        <w:autoSpaceDN/>
        <w:bidi w:val="0"/>
        <w:adjustRightInd w:val="0"/>
        <w:snapToGrid w:val="0"/>
        <w:spacing w:line="520" w:lineRule="exact"/>
        <w:ind w:firstLine="640" w:firstLineChars="200"/>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bCs/>
          <w:color w:val="auto"/>
          <w:sz w:val="32"/>
          <w:szCs w:val="32"/>
          <w:highlight w:val="none"/>
        </w:rPr>
        <w:t>你公司委托</w:t>
      </w:r>
      <w:r>
        <w:rPr>
          <w:rFonts w:hint="eastAsia" w:ascii="仿宋_GB2312" w:hAnsi="仿宋_GB2312" w:eastAsia="仿宋_GB2312" w:cs="仿宋_GB2312"/>
          <w:bCs/>
          <w:color w:val="auto"/>
          <w:sz w:val="32"/>
          <w:szCs w:val="32"/>
          <w:highlight w:val="none"/>
          <w:lang w:eastAsia="zh-CN"/>
        </w:rPr>
        <w:t>锡林郭勒盟中安环境技术咨询有限责任公司</w:t>
      </w:r>
      <w:r>
        <w:rPr>
          <w:rFonts w:hint="eastAsia" w:ascii="仿宋_GB2312" w:hAnsi="仿宋_GB2312" w:eastAsia="仿宋_GB2312" w:cs="仿宋_GB2312"/>
          <w:bCs/>
          <w:color w:val="auto"/>
          <w:sz w:val="32"/>
          <w:szCs w:val="32"/>
          <w:highlight w:val="none"/>
        </w:rPr>
        <w:t>编制的《</w:t>
      </w:r>
      <w:r>
        <w:rPr>
          <w:rFonts w:hint="eastAsia" w:ascii="仿宋_GB2312" w:hAnsi="仿宋_GB2312" w:eastAsia="仿宋_GB2312" w:cs="仿宋_GB2312"/>
          <w:bCs/>
          <w:color w:val="auto"/>
          <w:sz w:val="32"/>
          <w:szCs w:val="32"/>
          <w:highlight w:val="none"/>
          <w:lang w:val="en-US" w:eastAsia="zh-CN"/>
        </w:rPr>
        <w:t>宝2井探井勘探项目</w:t>
      </w:r>
      <w:r>
        <w:rPr>
          <w:rFonts w:hint="eastAsia" w:ascii="仿宋_GB2312" w:hAnsi="仿宋_GB2312" w:eastAsia="仿宋_GB2312" w:cs="仿宋_GB2312"/>
          <w:bCs/>
          <w:color w:val="auto"/>
          <w:sz w:val="32"/>
          <w:szCs w:val="32"/>
          <w:highlight w:val="none"/>
        </w:rPr>
        <w:t>环境影响报告表</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已</w:t>
      </w:r>
      <w:r>
        <w:rPr>
          <w:rFonts w:hint="eastAsia" w:ascii="仿宋_GB2312" w:hAnsi="仿宋_GB2312" w:eastAsia="仿宋_GB2312" w:cs="仿宋_GB2312"/>
          <w:color w:val="auto"/>
          <w:sz w:val="32"/>
          <w:szCs w:val="32"/>
          <w:highlight w:val="none"/>
        </w:rPr>
        <w:t>收悉</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依据《锡林郭勒盟生态环境局关于委托实施行政许可事项的通知》（锡署环字〔2021〕41号），现批复如下</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 xml:space="preserve">   </w:t>
      </w:r>
    </w:p>
    <w:p w14:paraId="676C3D2C">
      <w:pPr>
        <w:keepNext w:val="0"/>
        <w:keepLines w:val="0"/>
        <w:pageBreakBefore w:val="0"/>
        <w:widowControl w:val="0"/>
        <w:kinsoku/>
        <w:wordWrap/>
        <w:overflowPunct/>
        <w:topLinePunct w:val="0"/>
        <w:autoSpaceDE w:val="0"/>
        <w:autoSpaceDN/>
        <w:bidi w:val="0"/>
        <w:adjustRightInd w:val="0"/>
        <w:snapToGrid w:val="0"/>
        <w:spacing w:line="520" w:lineRule="exact"/>
        <w:ind w:firstLine="640" w:firstLineChars="200"/>
        <w:textAlignment w:val="auto"/>
        <w:rPr>
          <w:rFonts w:hint="eastAsia" w:ascii="黑体" w:hAnsi="黑体" w:eastAsia="黑体" w:cs="Arial"/>
          <w:color w:val="auto"/>
          <w:sz w:val="32"/>
          <w:szCs w:val="32"/>
          <w:highlight w:val="none"/>
        </w:rPr>
      </w:pPr>
      <w:r>
        <w:rPr>
          <w:rFonts w:hint="eastAsia" w:ascii="黑体" w:hAnsi="黑体" w:eastAsia="黑体" w:cs="Arial"/>
          <w:color w:val="auto"/>
          <w:sz w:val="32"/>
          <w:szCs w:val="32"/>
          <w:highlight w:val="none"/>
        </w:rPr>
        <w:t>一、建设项目基本情况</w:t>
      </w:r>
    </w:p>
    <w:p w14:paraId="0F8E80A7">
      <w:pPr>
        <w:keepNext w:val="0"/>
        <w:keepLines w:val="0"/>
        <w:pageBreakBefore w:val="0"/>
        <w:widowControl w:val="0"/>
        <w:kinsoku/>
        <w:wordWrap/>
        <w:overflowPunct/>
        <w:topLinePunct w:val="0"/>
        <w:bidi w:val="0"/>
        <w:spacing w:line="560" w:lineRule="exact"/>
        <w:ind w:firstLine="640" w:firstLineChars="200"/>
        <w:textAlignment w:val="auto"/>
        <w:rPr>
          <w:rFonts w:hint="eastAsia" w:ascii="仿宋_GB2312" w:hAnsi="仿宋_GB2312" w:eastAsia="仿宋_GB2312" w:cs="仿宋_GB2312"/>
          <w:bCs/>
          <w:color w:val="auto"/>
          <w:sz w:val="32"/>
          <w:szCs w:val="32"/>
          <w:highlight w:val="none"/>
        </w:rPr>
      </w:pPr>
      <w:r>
        <w:rPr>
          <w:rFonts w:hint="eastAsia" w:ascii="仿宋_GB2312" w:hAnsi="仿宋_GB2312" w:eastAsia="仿宋_GB2312" w:cs="仿宋_GB2312"/>
          <w:color w:val="auto"/>
          <w:sz w:val="32"/>
          <w:szCs w:val="32"/>
          <w:highlight w:val="none"/>
        </w:rPr>
        <w:t>本项目</w:t>
      </w:r>
      <w:r>
        <w:rPr>
          <w:rFonts w:hint="eastAsia" w:ascii="仿宋_GB2312" w:hAnsi="仿宋_GB2312" w:eastAsia="仿宋_GB2312" w:cs="仿宋_GB2312"/>
          <w:color w:val="auto"/>
          <w:sz w:val="32"/>
          <w:szCs w:val="32"/>
          <w:highlight w:val="none"/>
          <w:lang w:val="en-US" w:eastAsia="zh-CN"/>
        </w:rPr>
        <w:t>位于内蒙古自治区锡林郭勒盟东乌珠穆沁旗额吉淖尔镇哈日高毕嘎查，坐标为东经：116°19'39.726"  东经：44°56'52.647"</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属于</w:t>
      </w:r>
      <w:r>
        <w:rPr>
          <w:rFonts w:hint="eastAsia" w:ascii="仿宋_GB2312" w:hAnsi="仿宋_GB2312" w:eastAsia="仿宋_GB2312" w:cs="仿宋_GB2312"/>
          <w:color w:val="auto"/>
          <w:sz w:val="32"/>
          <w:szCs w:val="32"/>
          <w:highlight w:val="none"/>
          <w:lang w:val="en-US" w:eastAsia="zh-CN"/>
        </w:rPr>
        <w:t>新建项目,拟建设探井一口，设计井深为1090m，采用二开方式钻井，总占地面积10740m</w:t>
      </w:r>
      <w:r>
        <w:rPr>
          <w:rFonts w:hint="eastAsia" w:ascii="仿宋_GB2312" w:hAnsi="仿宋_GB2312" w:eastAsia="仿宋_GB2312" w:cs="仿宋_GB2312"/>
          <w:color w:val="auto"/>
          <w:sz w:val="32"/>
          <w:szCs w:val="32"/>
          <w:highlight w:val="none"/>
          <w:vertAlign w:val="superscript"/>
          <w:lang w:val="en-US" w:eastAsia="zh-CN"/>
        </w:rPr>
        <w:t>2</w:t>
      </w:r>
      <w:r>
        <w:rPr>
          <w:rFonts w:hint="eastAsia" w:ascii="仿宋_GB2312" w:hAnsi="仿宋_GB2312" w:eastAsia="仿宋_GB2312" w:cs="仿宋_GB2312"/>
          <w:color w:val="auto"/>
          <w:sz w:val="32"/>
          <w:szCs w:val="32"/>
          <w:highlight w:val="none"/>
          <w:lang w:val="en-US" w:eastAsia="zh-CN"/>
        </w:rPr>
        <w:t>。本项目主体工程为钻前工程、钻井工程、试油工程、钻后工程；辅助工程为钻井液配制、钻井液循环罐、钻井测定装置、钻井监控装置、泥浆不落地系统、污水收集罐；依托工程为内蒙古哥瑞环保有限公司（对钻井泥浆、岩屑、钻井废水进行处理）；储运工程为材料储存区、单井罐、柴油罐、清水罐、表土堆场、撬装式危废暂存间；公用工程为办公生活设施、供电工程、供水工程、进场道路。</w:t>
      </w:r>
      <w:r>
        <w:rPr>
          <w:rFonts w:hint="eastAsia" w:ascii="仿宋_GB2312" w:hAnsi="仿宋_GB2312" w:eastAsia="仿宋_GB2312" w:cs="仿宋_GB2312"/>
          <w:bCs/>
          <w:color w:val="auto"/>
          <w:sz w:val="32"/>
          <w:szCs w:val="32"/>
          <w:highlight w:val="none"/>
          <w:lang w:val="en-US" w:eastAsia="zh-CN"/>
        </w:rPr>
        <w:t>总投资675</w:t>
      </w:r>
      <w:r>
        <w:rPr>
          <w:rFonts w:hint="eastAsia" w:ascii="仿宋_GB2312" w:hAnsi="仿宋_GB2312" w:eastAsia="仿宋_GB2312" w:cs="仿宋_GB2312"/>
          <w:bCs/>
          <w:color w:val="auto"/>
          <w:sz w:val="32"/>
          <w:szCs w:val="32"/>
          <w:highlight w:val="none"/>
        </w:rPr>
        <w:t>万元，环保投资</w:t>
      </w:r>
      <w:r>
        <w:rPr>
          <w:rFonts w:hint="eastAsia" w:ascii="仿宋_GB2312" w:hAnsi="仿宋_GB2312" w:eastAsia="仿宋_GB2312" w:cs="仿宋_GB2312"/>
          <w:bCs/>
          <w:color w:val="auto"/>
          <w:sz w:val="32"/>
          <w:szCs w:val="32"/>
          <w:highlight w:val="none"/>
          <w:lang w:val="en-US" w:eastAsia="zh-CN"/>
        </w:rPr>
        <w:t>79</w:t>
      </w:r>
      <w:r>
        <w:rPr>
          <w:rFonts w:hint="eastAsia" w:ascii="仿宋_GB2312" w:hAnsi="仿宋_GB2312" w:eastAsia="仿宋_GB2312" w:cs="仿宋_GB2312"/>
          <w:bCs/>
          <w:color w:val="auto"/>
          <w:sz w:val="32"/>
          <w:szCs w:val="32"/>
          <w:highlight w:val="none"/>
        </w:rPr>
        <w:t>万元</w:t>
      </w:r>
      <w:r>
        <w:rPr>
          <w:rFonts w:hint="eastAsia" w:ascii="仿宋_GB2312" w:hAnsi="仿宋_GB2312" w:eastAsia="仿宋_GB2312" w:cs="仿宋_GB2312"/>
          <w:bCs/>
          <w:color w:val="auto"/>
          <w:sz w:val="32"/>
          <w:szCs w:val="32"/>
          <w:highlight w:val="none"/>
          <w:lang w:eastAsia="zh-CN"/>
        </w:rPr>
        <w:t>，</w:t>
      </w:r>
      <w:r>
        <w:rPr>
          <w:rFonts w:hint="eastAsia" w:ascii="仿宋_GB2312" w:hAnsi="仿宋_GB2312" w:eastAsia="仿宋_GB2312" w:cs="仿宋_GB2312"/>
          <w:bCs/>
          <w:color w:val="auto"/>
          <w:sz w:val="32"/>
          <w:szCs w:val="32"/>
          <w:highlight w:val="none"/>
        </w:rPr>
        <w:t>占总投资的</w:t>
      </w:r>
      <w:r>
        <w:rPr>
          <w:rFonts w:hint="eastAsia" w:ascii="仿宋_GB2312" w:hAnsi="仿宋_GB2312" w:eastAsia="仿宋_GB2312" w:cs="仿宋_GB2312"/>
          <w:bCs/>
          <w:color w:val="auto"/>
          <w:sz w:val="32"/>
          <w:szCs w:val="32"/>
          <w:highlight w:val="none"/>
          <w:lang w:val="en-US" w:eastAsia="zh-CN"/>
        </w:rPr>
        <w:t>11.7</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bCs/>
          <w:color w:val="auto"/>
          <w:sz w:val="32"/>
          <w:szCs w:val="32"/>
          <w:highlight w:val="none"/>
        </w:rPr>
        <w:t>。</w:t>
      </w:r>
    </w:p>
    <w:p w14:paraId="290BDC4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GB" w:eastAsia="zh-CN"/>
        </w:rPr>
        <w:t>依</w:t>
      </w:r>
      <w:r>
        <w:rPr>
          <w:rFonts w:hint="eastAsia" w:ascii="仿宋_GB2312" w:hAnsi="仿宋_GB2312" w:eastAsia="仿宋_GB2312" w:cs="仿宋_GB2312"/>
          <w:color w:val="auto"/>
          <w:sz w:val="32"/>
          <w:szCs w:val="32"/>
          <w:highlight w:val="none"/>
          <w:lang w:val="en-GB"/>
        </w:rPr>
        <w:t>据《产业结构调整指导目录》(20</w:t>
      </w:r>
      <w:r>
        <w:rPr>
          <w:rFonts w:hint="eastAsia" w:ascii="仿宋_GB2312" w:hAnsi="仿宋_GB2312" w:eastAsia="仿宋_GB2312" w:cs="仿宋_GB2312"/>
          <w:color w:val="auto"/>
          <w:sz w:val="32"/>
          <w:szCs w:val="32"/>
          <w:highlight w:val="none"/>
          <w:lang w:val="en-US" w:eastAsia="zh-CN"/>
        </w:rPr>
        <w:t>24</w:t>
      </w:r>
      <w:r>
        <w:rPr>
          <w:rFonts w:hint="eastAsia" w:ascii="仿宋_GB2312" w:hAnsi="仿宋_GB2312" w:eastAsia="仿宋_GB2312" w:cs="仿宋_GB2312"/>
          <w:color w:val="auto"/>
          <w:sz w:val="32"/>
          <w:szCs w:val="32"/>
          <w:highlight w:val="none"/>
          <w:lang w:val="en-GB"/>
        </w:rPr>
        <w:t>年本)，本项目属于</w:t>
      </w:r>
      <w:r>
        <w:rPr>
          <w:rFonts w:hint="eastAsia" w:ascii="仿宋_GB2312" w:hAnsi="仿宋_GB2312" w:eastAsia="仿宋_GB2312" w:cs="仿宋_GB2312"/>
          <w:color w:val="auto"/>
          <w:sz w:val="32"/>
          <w:szCs w:val="32"/>
          <w:highlight w:val="none"/>
          <w:lang w:val="en-US" w:eastAsia="zh-CN"/>
        </w:rPr>
        <w:t>鼓励类建设项目。</w:t>
      </w:r>
      <w:r>
        <w:rPr>
          <w:rFonts w:hint="eastAsia" w:ascii="仿宋_GB2312" w:hAnsi="仿宋_GB2312" w:eastAsia="仿宋_GB2312" w:cs="仿宋_GB2312"/>
          <w:color w:val="auto"/>
          <w:sz w:val="32"/>
          <w:szCs w:val="32"/>
          <w:highlight w:val="none"/>
          <w:lang w:val="en-GB" w:eastAsia="zh-CN"/>
        </w:rPr>
        <w:t>符合</w:t>
      </w:r>
      <w:r>
        <w:rPr>
          <w:rFonts w:hint="eastAsia" w:ascii="仿宋_GB2312" w:hAnsi="仿宋_GB2312" w:eastAsia="仿宋_GB2312" w:cs="仿宋_GB2312"/>
          <w:color w:val="auto"/>
          <w:sz w:val="32"/>
          <w:szCs w:val="32"/>
          <w:highlight w:val="none"/>
          <w:lang w:val="en-US" w:eastAsia="zh-CN"/>
        </w:rPr>
        <w:t>国家相关法律法规，符合</w:t>
      </w:r>
      <w:r>
        <w:rPr>
          <w:rFonts w:hint="eastAsia" w:ascii="仿宋_GB2312" w:hAnsi="仿宋_GB2312" w:eastAsia="仿宋_GB2312" w:cs="仿宋_GB2312"/>
          <w:color w:val="auto"/>
          <w:sz w:val="32"/>
          <w:szCs w:val="32"/>
          <w:highlight w:val="none"/>
          <w:lang w:val="en-GB" w:eastAsia="zh-CN"/>
        </w:rPr>
        <w:t>国家产业政策要求</w:t>
      </w:r>
      <w:r>
        <w:rPr>
          <w:rFonts w:hint="eastAsia" w:ascii="仿宋_GB2312" w:hAnsi="仿宋_GB2312" w:eastAsia="仿宋_GB2312" w:cs="仿宋_GB2312"/>
          <w:color w:val="auto"/>
          <w:sz w:val="32"/>
          <w:szCs w:val="32"/>
          <w:highlight w:val="none"/>
          <w:lang w:val="en-US" w:eastAsia="zh-CN"/>
        </w:rPr>
        <w:t>及我盟“三线一单”管控要求。在全面落实《</w:t>
      </w:r>
      <w:r>
        <w:rPr>
          <w:rFonts w:hint="eastAsia" w:ascii="仿宋_GB2312" w:hAnsi="仿宋_GB2312" w:eastAsia="仿宋_GB2312" w:cs="仿宋_GB2312"/>
          <w:b w:val="0"/>
          <w:bCs/>
          <w:color w:val="auto"/>
          <w:sz w:val="32"/>
          <w:szCs w:val="32"/>
          <w:highlight w:val="none"/>
          <w:u w:val="none"/>
          <w:lang w:val="en-US" w:eastAsia="zh-CN"/>
        </w:rPr>
        <w:t>报告表</w:t>
      </w:r>
      <w:r>
        <w:rPr>
          <w:rFonts w:hint="eastAsia" w:ascii="仿宋_GB2312" w:hAnsi="仿宋_GB2312" w:eastAsia="仿宋_GB2312" w:cs="仿宋_GB2312"/>
          <w:color w:val="auto"/>
          <w:sz w:val="32"/>
          <w:szCs w:val="32"/>
          <w:highlight w:val="none"/>
          <w:lang w:val="en-US" w:eastAsia="zh-CN"/>
        </w:rPr>
        <w:t>》中提出的各项污染防治措施后，可使环境污染和生态破坏控制在允许范围内，从生态环境保护的角度分析，该项目建设可行。</w:t>
      </w:r>
    </w:p>
    <w:p w14:paraId="2D249FA8">
      <w:pPr>
        <w:keepNext w:val="0"/>
        <w:keepLines w:val="0"/>
        <w:pageBreakBefore w:val="0"/>
        <w:widowControl w:val="0"/>
        <w:kinsoku/>
        <w:wordWrap/>
        <w:overflowPunct/>
        <w:topLinePunct w:val="0"/>
        <w:bidi w:val="0"/>
        <w:spacing w:line="560" w:lineRule="exact"/>
        <w:ind w:firstLine="640" w:firstLineChars="200"/>
        <w:rPr>
          <w:rFonts w:hint="eastAsia" w:ascii="黑体" w:hAnsi="黑体" w:eastAsia="黑体" w:cs="Arial"/>
          <w:color w:val="auto"/>
          <w:sz w:val="32"/>
          <w:szCs w:val="32"/>
          <w:highlight w:val="none"/>
          <w:lang w:eastAsia="zh-CN"/>
        </w:rPr>
      </w:pPr>
      <w:r>
        <w:rPr>
          <w:rFonts w:hint="eastAsia" w:ascii="黑体" w:hAnsi="黑体" w:eastAsia="黑体" w:cs="Arial"/>
          <w:color w:val="auto"/>
          <w:sz w:val="32"/>
          <w:szCs w:val="32"/>
          <w:highlight w:val="none"/>
        </w:rPr>
        <w:t>二、项目建设</w:t>
      </w:r>
      <w:r>
        <w:rPr>
          <w:rFonts w:hint="eastAsia" w:ascii="黑体" w:hAnsi="黑体" w:eastAsia="黑体" w:cs="Arial"/>
          <w:color w:val="auto"/>
          <w:sz w:val="32"/>
          <w:szCs w:val="32"/>
          <w:highlight w:val="none"/>
          <w:lang w:val="en-US" w:eastAsia="zh-CN"/>
        </w:rPr>
        <w:t>过程中的相关责任</w:t>
      </w:r>
    </w:p>
    <w:p w14:paraId="2F1F59E6">
      <w:pPr>
        <w:keepNext w:val="0"/>
        <w:keepLines w:val="0"/>
        <w:pageBreakBefore w:val="0"/>
        <w:widowControl w:val="0"/>
        <w:kinsoku/>
        <w:wordWrap/>
        <w:overflowPunct/>
        <w:topLinePunct w:val="0"/>
        <w:autoSpaceDE w:val="0"/>
        <w:autoSpaceDN w:val="0"/>
        <w:bidi w:val="0"/>
        <w:adjustRightInd w:val="0"/>
        <w:spacing w:line="560" w:lineRule="exact"/>
        <w:ind w:firstLine="643" w:firstLineChars="200"/>
        <w:rPr>
          <w:rFonts w:hint="eastAsia" w:ascii="楷体_GB2312" w:hAnsi="Calibri" w:eastAsia="楷体_GB2312" w:cs="Arial"/>
          <w:b/>
          <w:bCs/>
          <w:color w:val="auto"/>
          <w:sz w:val="32"/>
          <w:szCs w:val="32"/>
          <w:highlight w:val="none"/>
        </w:rPr>
      </w:pPr>
      <w:r>
        <w:rPr>
          <w:rFonts w:hint="eastAsia" w:ascii="楷体_GB2312" w:hAnsi="Calibri" w:eastAsia="楷体_GB2312" w:cs="Arial"/>
          <w:b/>
          <w:bCs/>
          <w:color w:val="auto"/>
          <w:sz w:val="32"/>
          <w:szCs w:val="32"/>
          <w:highlight w:val="none"/>
        </w:rPr>
        <w:t>（一）废气方面。</w:t>
      </w:r>
    </w:p>
    <w:p w14:paraId="5E78B5C7">
      <w:pPr>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default" w:ascii="仿宋_GB2312" w:eastAsia="仿宋_GB2312"/>
          <w:color w:val="auto"/>
          <w:sz w:val="32"/>
          <w:szCs w:val="32"/>
          <w:highlight w:val="none"/>
          <w:shd w:val="clear" w:color="auto" w:fill="FFFFFF"/>
          <w:lang w:val="en-US" w:eastAsia="zh-CN"/>
        </w:rPr>
      </w:pPr>
      <w:r>
        <w:rPr>
          <w:rFonts w:hint="eastAsia" w:ascii="仿宋_GB2312" w:eastAsia="仿宋_GB2312"/>
          <w:color w:val="auto"/>
          <w:sz w:val="32"/>
          <w:szCs w:val="32"/>
          <w:highlight w:val="none"/>
          <w:shd w:val="clear" w:color="auto" w:fill="FFFFFF"/>
          <w:lang w:val="en-US" w:eastAsia="zh-CN"/>
        </w:rPr>
        <w:t>施工期通过施工场地和路面洒水降尘、物料苫盖、车辆减速行驶、物料密闭运输、遇到恶劣天气禁止施工作业等措施，抑制施工扬尘污染；油气集输过程中使用密闭式试油装置，定期对井场设备、管线、阀门等进行检查、检修，防止烃类泄漏及挥发；柴油机使用轻质燃料，定期检查、检修，不得超负荷运行。严格执行《大气污染物综合排放标准》（GB16297-1996）要求。</w:t>
      </w:r>
    </w:p>
    <w:p w14:paraId="6A196A56">
      <w:pPr>
        <w:keepNext w:val="0"/>
        <w:keepLines w:val="0"/>
        <w:pageBreakBefore w:val="0"/>
        <w:widowControl w:val="0"/>
        <w:kinsoku/>
        <w:wordWrap/>
        <w:overflowPunct/>
        <w:topLinePunct w:val="0"/>
        <w:autoSpaceDE w:val="0"/>
        <w:autoSpaceDN w:val="0"/>
        <w:bidi w:val="0"/>
        <w:adjustRightInd w:val="0"/>
        <w:snapToGrid/>
        <w:spacing w:line="560" w:lineRule="exact"/>
        <w:ind w:firstLine="643" w:firstLineChars="200"/>
        <w:textAlignment w:val="auto"/>
        <w:rPr>
          <w:rFonts w:hint="eastAsia" w:ascii="楷体_GB2312" w:hAnsi="Calibri" w:eastAsia="楷体_GB2312" w:cs="Arial"/>
          <w:b/>
          <w:bCs/>
          <w:color w:val="auto"/>
          <w:sz w:val="32"/>
          <w:szCs w:val="32"/>
          <w:highlight w:val="none"/>
        </w:rPr>
      </w:pPr>
      <w:r>
        <w:rPr>
          <w:rFonts w:hint="eastAsia" w:ascii="楷体_GB2312" w:hAnsi="Calibri" w:eastAsia="楷体_GB2312" w:cs="Arial"/>
          <w:b/>
          <w:bCs/>
          <w:color w:val="auto"/>
          <w:sz w:val="32"/>
          <w:szCs w:val="32"/>
          <w:highlight w:val="none"/>
        </w:rPr>
        <w:t>（二）废水方面。</w:t>
      </w:r>
    </w:p>
    <w:p w14:paraId="3B5A085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生活污水</w:t>
      </w:r>
      <w:r>
        <w:rPr>
          <w:rFonts w:hint="eastAsia" w:ascii="仿宋_GB2312" w:hAnsi="仿宋_GB2312" w:eastAsia="仿宋_GB2312" w:cs="仿宋_GB2312"/>
          <w:sz w:val="32"/>
          <w:szCs w:val="32"/>
          <w:highlight w:val="none"/>
          <w:lang w:val="en-US" w:eastAsia="zh-CN"/>
        </w:rPr>
        <w:t>经集中收集后拉运至乌里雅斯太镇污水处理厂</w:t>
      </w:r>
      <w:r>
        <w:rPr>
          <w:rFonts w:hint="eastAsia" w:ascii="仿宋_GB2312" w:hAnsi="仿宋_GB2312" w:eastAsia="仿宋_GB2312" w:cs="仿宋_GB2312"/>
          <w:sz w:val="32"/>
          <w:szCs w:val="32"/>
          <w:highlight w:val="none"/>
        </w:rPr>
        <w:t>进行处理</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严禁向外环境排放</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生产废水</w:t>
      </w:r>
      <w:r>
        <w:rPr>
          <w:rFonts w:hint="eastAsia" w:ascii="仿宋_GB2312" w:hAnsi="仿宋_GB2312" w:eastAsia="仿宋_GB2312" w:cs="仿宋_GB2312"/>
          <w:sz w:val="32"/>
          <w:szCs w:val="32"/>
          <w:highlight w:val="none"/>
        </w:rPr>
        <w:t>经集中收集后</w:t>
      </w:r>
      <w:r>
        <w:rPr>
          <w:rFonts w:hint="eastAsia" w:ascii="仿宋_GB2312" w:hAnsi="仿宋_GB2312" w:eastAsia="仿宋_GB2312" w:cs="仿宋_GB2312"/>
          <w:sz w:val="32"/>
          <w:szCs w:val="32"/>
          <w:highlight w:val="none"/>
          <w:lang w:val="en-US" w:eastAsia="zh-CN"/>
        </w:rPr>
        <w:t>交由内蒙古哥瑞环保有限公司密闭</w:t>
      </w:r>
      <w:r>
        <w:rPr>
          <w:rFonts w:hint="eastAsia" w:ascii="仿宋_GB2312" w:hAnsi="仿宋_GB2312" w:eastAsia="仿宋_GB2312" w:cs="仿宋_GB2312"/>
          <w:sz w:val="32"/>
          <w:szCs w:val="32"/>
          <w:highlight w:val="none"/>
        </w:rPr>
        <w:t>罐车拉运至</w:t>
      </w:r>
      <w:r>
        <w:rPr>
          <w:rFonts w:hint="eastAsia" w:ascii="仿宋_GB2312" w:hAnsi="仿宋_GB2312" w:eastAsia="仿宋_GB2312" w:cs="仿宋_GB2312"/>
          <w:sz w:val="32"/>
          <w:szCs w:val="32"/>
          <w:highlight w:val="none"/>
          <w:lang w:val="en-US" w:eastAsia="zh-CN"/>
        </w:rPr>
        <w:t>华北油田二连分公司阿一联合站进行</w:t>
      </w:r>
      <w:r>
        <w:rPr>
          <w:rFonts w:hint="eastAsia" w:ascii="仿宋_GB2312" w:hAnsi="仿宋_GB2312" w:eastAsia="仿宋_GB2312" w:cs="仿宋_GB2312"/>
          <w:sz w:val="32"/>
          <w:szCs w:val="32"/>
          <w:highlight w:val="none"/>
          <w:lang w:eastAsia="zh-CN"/>
        </w:rPr>
        <w:t>处理。</w:t>
      </w:r>
      <w:r>
        <w:rPr>
          <w:rFonts w:hint="eastAsia" w:ascii="仿宋_GB2312" w:hAnsi="仿宋_GB2312" w:eastAsia="仿宋_GB2312" w:cs="仿宋_GB2312"/>
          <w:sz w:val="32"/>
          <w:szCs w:val="32"/>
          <w:highlight w:val="none"/>
          <w:lang w:val="en-US" w:eastAsia="zh-CN"/>
        </w:rPr>
        <w:t>严格落实一般防渗区及重点防渗区防渗措施。</w:t>
      </w:r>
    </w:p>
    <w:p w14:paraId="00F1E2E5">
      <w:pPr>
        <w:keepNext w:val="0"/>
        <w:keepLines w:val="0"/>
        <w:pageBreakBefore w:val="0"/>
        <w:widowControl w:val="0"/>
        <w:kinsoku/>
        <w:wordWrap/>
        <w:overflowPunct/>
        <w:topLinePunct w:val="0"/>
        <w:autoSpaceDE w:val="0"/>
        <w:autoSpaceDN w:val="0"/>
        <w:bidi w:val="0"/>
        <w:adjustRightInd w:val="0"/>
        <w:snapToGrid/>
        <w:spacing w:line="560" w:lineRule="exact"/>
        <w:ind w:firstLine="643" w:firstLineChars="200"/>
        <w:textAlignment w:val="auto"/>
        <w:rPr>
          <w:rFonts w:hint="eastAsia" w:ascii="楷体_GB2312" w:hAnsi="Calibri" w:eastAsia="楷体_GB2312" w:cs="Arial"/>
          <w:b/>
          <w:bCs/>
          <w:color w:val="auto"/>
          <w:kern w:val="0"/>
          <w:sz w:val="32"/>
          <w:szCs w:val="32"/>
          <w:highlight w:val="none"/>
          <w:lang w:eastAsia="zh-CN"/>
        </w:rPr>
      </w:pPr>
      <w:r>
        <w:rPr>
          <w:rFonts w:hint="eastAsia" w:ascii="楷体_GB2312" w:hAnsi="Calibri" w:eastAsia="楷体_GB2312" w:cs="Arial"/>
          <w:b/>
          <w:bCs/>
          <w:color w:val="auto"/>
          <w:kern w:val="0"/>
          <w:sz w:val="32"/>
          <w:szCs w:val="32"/>
          <w:highlight w:val="none"/>
        </w:rPr>
        <w:t>（三）噪声方面</w:t>
      </w:r>
      <w:r>
        <w:rPr>
          <w:rFonts w:hint="eastAsia" w:ascii="楷体_GB2312" w:hAnsi="Calibri" w:eastAsia="楷体_GB2312" w:cs="Arial"/>
          <w:b/>
          <w:bCs/>
          <w:color w:val="auto"/>
          <w:kern w:val="0"/>
          <w:sz w:val="32"/>
          <w:szCs w:val="32"/>
          <w:highlight w:val="none"/>
          <w:lang w:eastAsia="zh-CN"/>
        </w:rPr>
        <w:t>。</w:t>
      </w:r>
    </w:p>
    <w:p w14:paraId="1631BD41">
      <w:pPr>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jc w:val="both"/>
        <w:textAlignment w:val="auto"/>
        <w:rPr>
          <w:rFonts w:hint="default" w:ascii="仿宋_GB2312" w:hAnsi="Calibri" w:eastAsia="仿宋_GB2312" w:cs="Arial"/>
          <w:color w:val="auto"/>
          <w:sz w:val="32"/>
          <w:szCs w:val="32"/>
          <w:highlight w:val="none"/>
          <w:lang w:val="en-US" w:eastAsia="zh-CN"/>
        </w:rPr>
      </w:pPr>
      <w:r>
        <w:rPr>
          <w:rFonts w:hint="eastAsia" w:ascii="仿宋_GB2312" w:hAnsi="Calibri" w:eastAsia="仿宋_GB2312" w:cs="Arial"/>
          <w:color w:val="auto"/>
          <w:sz w:val="32"/>
          <w:szCs w:val="32"/>
          <w:highlight w:val="none"/>
          <w:lang w:val="en-US" w:eastAsia="zh-CN"/>
        </w:rPr>
        <w:t>施工期加强运输车辆管理，采取减速慢行、禁止鸣笛等措施；采用减振、降噪等先进技术措施，选用低噪声设备和工艺减轻噪声污染。施工期执行《建筑施工场界环境噪声排放标准》（GB12523-2011）。</w:t>
      </w:r>
    </w:p>
    <w:p w14:paraId="66872328">
      <w:pPr>
        <w:keepNext w:val="0"/>
        <w:keepLines w:val="0"/>
        <w:pageBreakBefore w:val="0"/>
        <w:widowControl w:val="0"/>
        <w:kinsoku/>
        <w:wordWrap/>
        <w:overflowPunct/>
        <w:topLinePunct w:val="0"/>
        <w:autoSpaceDE w:val="0"/>
        <w:autoSpaceDN w:val="0"/>
        <w:bidi w:val="0"/>
        <w:adjustRightInd w:val="0"/>
        <w:snapToGrid/>
        <w:spacing w:line="560" w:lineRule="exact"/>
        <w:ind w:firstLine="643" w:firstLineChars="200"/>
        <w:textAlignment w:val="auto"/>
        <w:rPr>
          <w:rFonts w:hint="eastAsia" w:ascii="楷体_GB2312" w:hAnsi="Calibri" w:eastAsia="楷体_GB2312" w:cs="Arial"/>
          <w:b/>
          <w:bCs/>
          <w:color w:val="auto"/>
          <w:sz w:val="32"/>
          <w:szCs w:val="32"/>
          <w:highlight w:val="none"/>
        </w:rPr>
      </w:pPr>
      <w:r>
        <w:rPr>
          <w:rFonts w:hint="eastAsia" w:ascii="楷体_GB2312" w:hAnsi="Calibri" w:eastAsia="楷体_GB2312" w:cs="Arial"/>
          <w:b/>
          <w:bCs/>
          <w:color w:val="auto"/>
          <w:sz w:val="32"/>
          <w:szCs w:val="32"/>
          <w:highlight w:val="none"/>
        </w:rPr>
        <w:t>（四）固废方面。</w:t>
      </w:r>
    </w:p>
    <w:p w14:paraId="458E8FE3">
      <w:pPr>
        <w:keepNext w:val="0"/>
        <w:keepLines w:val="0"/>
        <w:pageBreakBefore w:val="0"/>
        <w:widowControl w:val="0"/>
        <w:kinsoku/>
        <w:wordWrap/>
        <w:overflowPunct/>
        <w:topLinePunct w:val="0"/>
        <w:autoSpaceDE w:val="0"/>
        <w:autoSpaceDN w:val="0"/>
        <w:bidi w:val="0"/>
        <w:adjustRightInd w:val="0"/>
        <w:snapToGrid/>
        <w:spacing w:line="52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Calibri" w:eastAsia="仿宋_GB2312" w:cs="Arial"/>
          <w:color w:val="auto"/>
          <w:sz w:val="32"/>
          <w:szCs w:val="32"/>
          <w:highlight w:val="none"/>
          <w:lang w:val="en-US" w:eastAsia="zh-CN"/>
        </w:rPr>
        <w:t>施工期</w:t>
      </w:r>
      <w:r>
        <w:rPr>
          <w:rFonts w:hint="eastAsia" w:ascii="仿宋_GB2312" w:hAnsi="Calibri" w:eastAsia="仿宋_GB2312" w:cs="Arial"/>
          <w:color w:val="auto"/>
          <w:sz w:val="32"/>
          <w:szCs w:val="32"/>
          <w:highlight w:val="none"/>
        </w:rPr>
        <w:t>产生的弃土、弃料</w:t>
      </w:r>
      <w:r>
        <w:rPr>
          <w:rFonts w:hint="eastAsia" w:ascii="仿宋_GB2312" w:hAnsi="Calibri" w:eastAsia="仿宋_GB2312" w:cs="Arial"/>
          <w:color w:val="auto"/>
          <w:sz w:val="32"/>
          <w:szCs w:val="32"/>
          <w:highlight w:val="none"/>
          <w:lang w:eastAsia="zh-CN"/>
        </w:rPr>
        <w:t>、</w:t>
      </w:r>
      <w:r>
        <w:rPr>
          <w:rFonts w:hint="eastAsia" w:ascii="仿宋_GB2312" w:hAnsi="Calibri" w:eastAsia="仿宋_GB2312" w:cs="Arial"/>
          <w:color w:val="auto"/>
          <w:sz w:val="32"/>
          <w:szCs w:val="32"/>
          <w:highlight w:val="none"/>
          <w:lang w:val="en-US" w:eastAsia="zh-CN"/>
        </w:rPr>
        <w:t>废包装袋等随产随清</w:t>
      </w:r>
      <w:r>
        <w:rPr>
          <w:rFonts w:hint="eastAsia" w:ascii="仿宋_GB2312" w:hAnsi="Calibri" w:eastAsia="仿宋_GB2312" w:cs="Arial"/>
          <w:color w:val="auto"/>
          <w:sz w:val="32"/>
          <w:szCs w:val="32"/>
          <w:highlight w:val="none"/>
        </w:rPr>
        <w:t>，</w:t>
      </w:r>
      <w:r>
        <w:rPr>
          <w:rFonts w:hint="eastAsia" w:ascii="仿宋_GB2312" w:hAnsi="Calibri" w:eastAsia="仿宋_GB2312" w:cs="Arial"/>
          <w:color w:val="auto"/>
          <w:sz w:val="32"/>
          <w:szCs w:val="32"/>
          <w:highlight w:val="none"/>
          <w:lang w:eastAsia="zh-CN"/>
        </w:rPr>
        <w:t>及时回收综合利用</w:t>
      </w:r>
      <w:r>
        <w:rPr>
          <w:rFonts w:hint="eastAsia" w:ascii="仿宋_GB2312" w:hAnsi="Calibri" w:eastAsia="仿宋_GB2312" w:cs="Arial"/>
          <w:color w:val="auto"/>
          <w:sz w:val="32"/>
          <w:szCs w:val="32"/>
          <w:highlight w:val="none"/>
          <w:lang w:val="en-US" w:eastAsia="zh-CN"/>
        </w:rPr>
        <w:t>或</w:t>
      </w:r>
      <w:r>
        <w:rPr>
          <w:rFonts w:hint="eastAsia" w:ascii="仿宋_GB2312" w:hAnsi="Calibri" w:eastAsia="仿宋_GB2312" w:cs="Arial"/>
          <w:color w:val="auto"/>
          <w:sz w:val="32"/>
          <w:szCs w:val="32"/>
          <w:highlight w:val="none"/>
        </w:rPr>
        <w:t>及时清运至</w:t>
      </w:r>
      <w:r>
        <w:rPr>
          <w:rFonts w:hint="eastAsia" w:ascii="仿宋_GB2312" w:eastAsia="仿宋_GB2312" w:cs="Arial"/>
          <w:color w:val="auto"/>
          <w:sz w:val="32"/>
          <w:szCs w:val="32"/>
          <w:highlight w:val="none"/>
          <w:lang w:val="en-US" w:eastAsia="zh-CN"/>
        </w:rPr>
        <w:t>正规处置场所；产生的钻井泥浆、岩屑等一般固废交由内蒙古哥瑞环保有限公司进行综合利用；</w:t>
      </w:r>
      <w:r>
        <w:rPr>
          <w:rFonts w:hint="eastAsia" w:ascii="仿宋_GB2312" w:hAnsi="Calibri" w:eastAsia="仿宋_GB2312" w:cs="Arial"/>
          <w:color w:val="auto"/>
          <w:sz w:val="32"/>
          <w:szCs w:val="32"/>
          <w:highlight w:val="none"/>
          <w:lang w:val="en-US" w:eastAsia="zh-CN"/>
        </w:rPr>
        <w:t>产生的</w:t>
      </w:r>
      <w:r>
        <w:rPr>
          <w:rFonts w:hint="eastAsia" w:ascii="仿宋_GB2312" w:eastAsia="仿宋_GB2312" w:cs="Arial"/>
          <w:color w:val="auto"/>
          <w:sz w:val="32"/>
          <w:szCs w:val="32"/>
          <w:highlight w:val="none"/>
          <w:lang w:val="en-US" w:eastAsia="zh-CN"/>
        </w:rPr>
        <w:t>废包装袋、</w:t>
      </w:r>
      <w:r>
        <w:rPr>
          <w:rFonts w:hint="eastAsia" w:ascii="仿宋_GB2312" w:hAnsi="Calibri" w:eastAsia="仿宋_GB2312" w:cs="Arial"/>
          <w:color w:val="auto"/>
          <w:sz w:val="32"/>
          <w:szCs w:val="32"/>
          <w:highlight w:val="none"/>
        </w:rPr>
        <w:t>生活垃圾集中收集后</w:t>
      </w:r>
      <w:r>
        <w:rPr>
          <w:rFonts w:hint="default" w:ascii="仿宋_GB2312" w:hAnsi="Calibri" w:eastAsia="仿宋_GB2312" w:cs="Arial"/>
          <w:color w:val="auto"/>
          <w:sz w:val="32"/>
          <w:szCs w:val="32"/>
          <w:highlight w:val="none"/>
          <w:lang w:eastAsia="zh-CN"/>
        </w:rPr>
        <w:t>规范处置</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严格</w:t>
      </w:r>
      <w:r>
        <w:rPr>
          <w:rFonts w:hint="eastAsia" w:ascii="仿宋_GB2312" w:hAnsi="仿宋_GB2312" w:eastAsia="仿宋_GB2312" w:cs="仿宋_GB2312"/>
          <w:color w:val="auto"/>
          <w:sz w:val="32"/>
          <w:szCs w:val="32"/>
          <w:highlight w:val="none"/>
        </w:rPr>
        <w:t>执行《一般工业固体废物贮存和填埋污染控制标准》（GB18599-20</w:t>
      </w:r>
      <w:r>
        <w:rPr>
          <w:rFonts w:hint="eastAsia" w:ascii="仿宋_GB2312" w:hAnsi="仿宋_GB2312" w:eastAsia="仿宋_GB2312" w:cs="仿宋_GB2312"/>
          <w:color w:val="auto"/>
          <w:sz w:val="32"/>
          <w:szCs w:val="32"/>
          <w:highlight w:val="none"/>
          <w:lang w:val="en-US" w:eastAsia="zh-CN"/>
        </w:rPr>
        <w:t>20</w:t>
      </w:r>
      <w:r>
        <w:rPr>
          <w:rFonts w:hint="eastAsia" w:ascii="仿宋_GB2312" w:hAnsi="仿宋_GB2312" w:eastAsia="仿宋_GB2312" w:cs="仿宋_GB2312"/>
          <w:color w:val="auto"/>
          <w:sz w:val="32"/>
          <w:szCs w:val="32"/>
          <w:highlight w:val="none"/>
        </w:rPr>
        <w:t>）</w:t>
      </w:r>
      <w:r>
        <w:rPr>
          <w:rFonts w:hint="eastAsia" w:ascii="仿宋_GB2312" w:eastAsia="仿宋_GB2312" w:cs="Arial"/>
          <w:color w:val="auto"/>
          <w:sz w:val="32"/>
          <w:szCs w:val="32"/>
          <w:highlight w:val="none"/>
          <w:lang w:val="en-US" w:eastAsia="zh-CN"/>
        </w:rPr>
        <w:t>。施工期产生的废防渗材料、烧碱废包装袋、落地油、废矿物油等危险废物委托有资质的单位进行处置，严格执行《危险废物贮存污染控制标准》（GB18597-2023）、危险废物转移联单制度等相关法律法规及管理要求，张贴危险废物标识，建立危险废物台账，如实记载危险废物种类、数</w:t>
      </w:r>
      <w:bookmarkStart w:id="1" w:name="_GoBack"/>
      <w:bookmarkEnd w:id="1"/>
      <w:r>
        <w:rPr>
          <w:rFonts w:hint="eastAsia" w:ascii="仿宋_GB2312" w:eastAsia="仿宋_GB2312" w:cs="Arial"/>
          <w:color w:val="auto"/>
          <w:sz w:val="32"/>
          <w:szCs w:val="32"/>
          <w:highlight w:val="none"/>
          <w:lang w:val="en-US" w:eastAsia="zh-CN"/>
        </w:rPr>
        <w:t>量、性质、产生环节、流向、贮存、利用处置等信息。</w:t>
      </w:r>
    </w:p>
    <w:p w14:paraId="70505458">
      <w:pPr>
        <w:keepNext w:val="0"/>
        <w:keepLines w:val="0"/>
        <w:pageBreakBefore w:val="0"/>
        <w:widowControl w:val="0"/>
        <w:kinsoku/>
        <w:wordWrap/>
        <w:overflowPunct/>
        <w:topLinePunct w:val="0"/>
        <w:autoSpaceDE w:val="0"/>
        <w:autoSpaceDN w:val="0"/>
        <w:bidi w:val="0"/>
        <w:adjustRightInd w:val="0"/>
        <w:snapToGrid/>
        <w:spacing w:line="560" w:lineRule="exact"/>
        <w:ind w:firstLine="643" w:firstLineChars="200"/>
        <w:textAlignment w:val="auto"/>
        <w:rPr>
          <w:rFonts w:hint="eastAsia" w:ascii="楷体_GB2312" w:hAnsi="Calibri" w:eastAsia="楷体_GB2312" w:cs="Arial"/>
          <w:b/>
          <w:bCs/>
          <w:color w:val="auto"/>
          <w:sz w:val="32"/>
          <w:szCs w:val="32"/>
          <w:highlight w:val="none"/>
          <w:lang w:val="en-US" w:eastAsia="zh-CN"/>
        </w:rPr>
      </w:pPr>
      <w:r>
        <w:rPr>
          <w:rFonts w:hint="eastAsia" w:ascii="楷体_GB2312" w:hAnsi="Calibri" w:eastAsia="楷体_GB2312" w:cs="Arial"/>
          <w:b/>
          <w:bCs/>
          <w:color w:val="auto"/>
          <w:sz w:val="32"/>
          <w:szCs w:val="32"/>
          <w:highlight w:val="none"/>
        </w:rPr>
        <w:t>（</w:t>
      </w:r>
      <w:r>
        <w:rPr>
          <w:rFonts w:hint="eastAsia" w:ascii="楷体_GB2312" w:hAnsi="Calibri" w:eastAsia="楷体_GB2312" w:cs="Arial"/>
          <w:b/>
          <w:bCs/>
          <w:color w:val="auto"/>
          <w:sz w:val="32"/>
          <w:szCs w:val="32"/>
          <w:highlight w:val="none"/>
          <w:lang w:val="en-US" w:eastAsia="zh-CN"/>
        </w:rPr>
        <w:t>五</w:t>
      </w:r>
      <w:r>
        <w:rPr>
          <w:rFonts w:hint="eastAsia" w:ascii="楷体_GB2312" w:hAnsi="Calibri" w:eastAsia="楷体_GB2312" w:cs="Arial"/>
          <w:b/>
          <w:bCs/>
          <w:color w:val="auto"/>
          <w:sz w:val="32"/>
          <w:szCs w:val="32"/>
          <w:highlight w:val="none"/>
        </w:rPr>
        <w:t>）</w:t>
      </w:r>
      <w:r>
        <w:rPr>
          <w:rFonts w:hint="eastAsia" w:ascii="楷体_GB2312" w:hAnsi="Calibri" w:eastAsia="楷体_GB2312" w:cs="Arial"/>
          <w:b/>
          <w:bCs/>
          <w:color w:val="auto"/>
          <w:sz w:val="32"/>
          <w:szCs w:val="32"/>
          <w:highlight w:val="none"/>
          <w:lang w:val="en-US" w:eastAsia="zh-CN"/>
        </w:rPr>
        <w:t>生态保护</w:t>
      </w:r>
      <w:r>
        <w:rPr>
          <w:rFonts w:hint="eastAsia" w:ascii="楷体_GB2312" w:hAnsi="Calibri" w:eastAsia="楷体_GB2312" w:cs="Arial"/>
          <w:b/>
          <w:bCs/>
          <w:color w:val="auto"/>
          <w:sz w:val="32"/>
          <w:szCs w:val="32"/>
          <w:highlight w:val="none"/>
        </w:rPr>
        <w:t>方面</w:t>
      </w:r>
      <w:r>
        <w:rPr>
          <w:rFonts w:hint="eastAsia" w:ascii="楷体_GB2312" w:hAnsi="Calibri" w:eastAsia="楷体_GB2312" w:cs="Arial"/>
          <w:b/>
          <w:bCs/>
          <w:color w:val="auto"/>
          <w:sz w:val="32"/>
          <w:szCs w:val="32"/>
          <w:highlight w:val="none"/>
          <w:lang w:eastAsia="zh-CN"/>
        </w:rPr>
        <w:t>。</w:t>
      </w:r>
    </w:p>
    <w:p w14:paraId="02A7CE2C">
      <w:pPr>
        <w:keepNext w:val="0"/>
        <w:keepLines w:val="0"/>
        <w:pageBreakBefore w:val="0"/>
        <w:widowControl w:val="0"/>
        <w:kinsoku/>
        <w:wordWrap/>
        <w:overflowPunct/>
        <w:topLinePunct w:val="0"/>
        <w:autoSpaceDE w:val="0"/>
        <w:autoSpaceDN w:val="0"/>
        <w:bidi w:val="0"/>
        <w:adjustRightInd w:val="0"/>
        <w:snapToGrid/>
        <w:spacing w:line="52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sz w:val="32"/>
          <w:szCs w:val="32"/>
          <w:highlight w:val="none"/>
          <w:lang w:val="en-US" w:eastAsia="zh-CN"/>
        </w:rPr>
        <w:t>施工期剥离表土单独堆存，施工完成后对</w:t>
      </w:r>
      <w:r>
        <w:rPr>
          <w:rFonts w:hint="eastAsia" w:ascii="仿宋_GB2312" w:hAnsi="仿宋_GB2312" w:eastAsia="仿宋_GB2312" w:cs="仿宋_GB2312"/>
          <w:sz w:val="32"/>
          <w:szCs w:val="32"/>
          <w:highlight w:val="none"/>
        </w:rPr>
        <w:t>临时占地进行植被恢复，优先使用原生表土和乡土物种，恢复植被和土壤</w:t>
      </w:r>
      <w:r>
        <w:rPr>
          <w:rFonts w:hint="eastAsia" w:ascii="仿宋_GB2312" w:hAnsi="仿宋_GB2312" w:eastAsia="仿宋_GB2312" w:cs="仿宋_GB2312"/>
          <w:sz w:val="32"/>
          <w:szCs w:val="32"/>
          <w:highlight w:val="none"/>
          <w:lang w:val="en-US" w:eastAsia="zh-CN"/>
        </w:rPr>
        <w:t>。</w:t>
      </w:r>
    </w:p>
    <w:p w14:paraId="4AA74BA2">
      <w:pPr>
        <w:keepNext w:val="0"/>
        <w:keepLines w:val="0"/>
        <w:pageBreakBefore w:val="0"/>
        <w:widowControl w:val="0"/>
        <w:numPr>
          <w:ilvl w:val="0"/>
          <w:numId w:val="1"/>
        </w:numPr>
        <w:kinsoku/>
        <w:wordWrap/>
        <w:overflowPunct/>
        <w:topLinePunct w:val="0"/>
        <w:autoSpaceDE w:val="0"/>
        <w:autoSpaceDN w:val="0"/>
        <w:bidi w:val="0"/>
        <w:adjustRightInd w:val="0"/>
        <w:snapToGrid/>
        <w:spacing w:line="520" w:lineRule="exact"/>
        <w:ind w:firstLine="640" w:firstLineChars="200"/>
        <w:textAlignment w:val="auto"/>
        <w:rPr>
          <w:rFonts w:hint="eastAsia" w:ascii="黑体" w:hAnsi="黑体" w:eastAsia="黑体" w:cs="Arial"/>
          <w:color w:val="auto"/>
          <w:sz w:val="32"/>
          <w:szCs w:val="32"/>
          <w:highlight w:val="none"/>
        </w:rPr>
      </w:pPr>
      <w:r>
        <w:rPr>
          <w:rFonts w:hint="eastAsia" w:ascii="黑体" w:hAnsi="黑体" w:eastAsia="黑体" w:cs="Arial"/>
          <w:color w:val="auto"/>
          <w:sz w:val="32"/>
          <w:szCs w:val="32"/>
          <w:highlight w:val="none"/>
        </w:rPr>
        <w:t>执行“三同时”制度</w:t>
      </w:r>
    </w:p>
    <w:p w14:paraId="1A3F4A4C">
      <w:pPr>
        <w:keepNext w:val="0"/>
        <w:keepLines w:val="0"/>
        <w:pageBreakBefore w:val="0"/>
        <w:widowControl w:val="0"/>
        <w:numPr>
          <w:ilvl w:val="0"/>
          <w:numId w:val="0"/>
        </w:numPr>
        <w:kinsoku/>
        <w:wordWrap/>
        <w:overflowPunct/>
        <w:topLinePunct w:val="0"/>
        <w:autoSpaceDE w:val="0"/>
        <w:autoSpaceDN w:val="0"/>
        <w:bidi w:val="0"/>
        <w:adjustRightInd w:val="0"/>
        <w:snapToGrid/>
        <w:spacing w:line="520" w:lineRule="exact"/>
        <w:ind w:firstLine="640" w:firstLineChars="200"/>
        <w:textAlignment w:val="auto"/>
        <w:rPr>
          <w:rFonts w:hint="eastAsia" w:ascii="仿宋_GB2312" w:hAnsi="Calibri" w:eastAsia="仿宋_GB2312" w:cs="Arial"/>
          <w:color w:val="auto"/>
          <w:sz w:val="32"/>
          <w:szCs w:val="32"/>
          <w:highlight w:val="none"/>
        </w:rPr>
      </w:pPr>
      <w:r>
        <w:rPr>
          <w:rFonts w:hint="eastAsia" w:ascii="仿宋_GB2312" w:hAnsi="Calibri" w:eastAsia="仿宋_GB2312" w:cs="Arial"/>
          <w:color w:val="auto"/>
          <w:sz w:val="32"/>
          <w:szCs w:val="32"/>
          <w:highlight w:val="none"/>
        </w:rPr>
        <w:t>本项目建设必须严格执行生态环境保护设施与主体工程同时设计、同时施工、同时投产使用的生态环境保护“三同时”制度。</w:t>
      </w:r>
    </w:p>
    <w:p w14:paraId="5D0C9246">
      <w:pPr>
        <w:keepNext w:val="0"/>
        <w:keepLines w:val="0"/>
        <w:pageBreakBefore w:val="0"/>
        <w:widowControl w:val="0"/>
        <w:kinsoku/>
        <w:wordWrap/>
        <w:overflowPunct/>
        <w:topLinePunct w:val="0"/>
        <w:autoSpaceDE w:val="0"/>
        <w:autoSpaceDN w:val="0"/>
        <w:bidi w:val="0"/>
        <w:adjustRightInd w:val="0"/>
        <w:snapToGrid/>
        <w:spacing w:line="520" w:lineRule="exact"/>
        <w:ind w:firstLine="640" w:firstLineChars="200"/>
        <w:textAlignment w:val="auto"/>
        <w:rPr>
          <w:rFonts w:hint="eastAsia" w:ascii="仿宋_GB2312" w:hAnsi="Calibri" w:eastAsia="仿宋_GB2312" w:cs="Arial"/>
          <w:color w:val="auto"/>
          <w:sz w:val="32"/>
          <w:szCs w:val="32"/>
          <w:highlight w:val="none"/>
        </w:rPr>
      </w:pPr>
      <w:r>
        <w:rPr>
          <w:rFonts w:hint="eastAsia" w:ascii="仿宋_GB2312" w:hAnsi="Calibri" w:eastAsia="仿宋_GB2312" w:cs="Arial"/>
          <w:color w:val="auto"/>
          <w:sz w:val="32"/>
          <w:szCs w:val="32"/>
          <w:highlight w:val="none"/>
        </w:rPr>
        <w:t>（一）要将生态环境保护措施纳入初步设计报告并落实环保设施投资概算。</w:t>
      </w:r>
    </w:p>
    <w:p w14:paraId="59EB69CD">
      <w:pPr>
        <w:keepNext w:val="0"/>
        <w:keepLines w:val="0"/>
        <w:pageBreakBefore w:val="0"/>
        <w:widowControl w:val="0"/>
        <w:kinsoku/>
        <w:wordWrap/>
        <w:overflowPunct/>
        <w:topLinePunct w:val="0"/>
        <w:autoSpaceDE w:val="0"/>
        <w:autoSpaceDN w:val="0"/>
        <w:bidi w:val="0"/>
        <w:adjustRightInd w:val="0"/>
        <w:snapToGrid/>
        <w:spacing w:line="520" w:lineRule="exact"/>
        <w:ind w:firstLine="640" w:firstLineChars="200"/>
        <w:textAlignment w:val="auto"/>
        <w:rPr>
          <w:rFonts w:hint="eastAsia" w:ascii="仿宋_GB2312" w:hAnsi="Calibri" w:eastAsia="仿宋_GB2312" w:cs="Arial"/>
          <w:color w:val="auto"/>
          <w:sz w:val="32"/>
          <w:szCs w:val="32"/>
          <w:highlight w:val="none"/>
        </w:rPr>
      </w:pPr>
      <w:r>
        <w:rPr>
          <w:rFonts w:hint="eastAsia" w:ascii="仿宋_GB2312" w:hAnsi="Calibri" w:eastAsia="仿宋_GB2312" w:cs="Arial"/>
          <w:color w:val="auto"/>
          <w:sz w:val="32"/>
          <w:szCs w:val="32"/>
          <w:highlight w:val="none"/>
        </w:rPr>
        <w:t>（二）要将生态环境保护设施建设纳入施工合同，保证生态环境保护设施建设进度和资金。</w:t>
      </w:r>
    </w:p>
    <w:p w14:paraId="4E167FAF">
      <w:pPr>
        <w:keepNext w:val="0"/>
        <w:keepLines w:val="0"/>
        <w:pageBreakBefore w:val="0"/>
        <w:widowControl w:val="0"/>
        <w:kinsoku/>
        <w:wordWrap/>
        <w:overflowPunct/>
        <w:topLinePunct w:val="0"/>
        <w:autoSpaceDE w:val="0"/>
        <w:autoSpaceDN w:val="0"/>
        <w:bidi w:val="0"/>
        <w:adjustRightInd w:val="0"/>
        <w:snapToGrid/>
        <w:spacing w:line="520" w:lineRule="exact"/>
        <w:ind w:firstLine="640" w:firstLineChars="200"/>
        <w:textAlignment w:val="auto"/>
        <w:rPr>
          <w:rFonts w:hint="eastAsia" w:ascii="仿宋_GB2312" w:hAnsi="Calibri" w:eastAsia="仿宋_GB2312" w:cs="Arial"/>
          <w:color w:val="auto"/>
          <w:sz w:val="32"/>
          <w:szCs w:val="32"/>
          <w:highlight w:val="none"/>
        </w:rPr>
      </w:pPr>
      <w:r>
        <w:rPr>
          <w:rFonts w:hint="eastAsia" w:ascii="仿宋_GB2312" w:hAnsi="Calibri" w:eastAsia="仿宋_GB2312" w:cs="Arial"/>
          <w:color w:val="auto"/>
          <w:sz w:val="32"/>
          <w:szCs w:val="32"/>
          <w:highlight w:val="none"/>
        </w:rPr>
        <w:t>（三）项目竣工后须按规定程序实施竣工环境保护验收，验收合格后方可正式投运。</w:t>
      </w:r>
    </w:p>
    <w:p w14:paraId="52680C22">
      <w:pPr>
        <w:keepNext w:val="0"/>
        <w:keepLines w:val="0"/>
        <w:pageBreakBefore w:val="0"/>
        <w:widowControl w:val="0"/>
        <w:kinsoku/>
        <w:wordWrap/>
        <w:overflowPunct/>
        <w:topLinePunct w:val="0"/>
        <w:autoSpaceDE w:val="0"/>
        <w:autoSpaceDN w:val="0"/>
        <w:bidi w:val="0"/>
        <w:adjustRightInd w:val="0"/>
        <w:snapToGrid/>
        <w:spacing w:line="520" w:lineRule="exact"/>
        <w:ind w:firstLine="640" w:firstLineChars="200"/>
        <w:textAlignment w:val="auto"/>
        <w:rPr>
          <w:rFonts w:hint="eastAsia" w:ascii="黑体" w:hAnsi="黑体" w:eastAsia="黑体" w:cs="Arial"/>
          <w:color w:val="auto"/>
          <w:sz w:val="32"/>
          <w:szCs w:val="32"/>
          <w:highlight w:val="none"/>
        </w:rPr>
      </w:pPr>
      <w:r>
        <w:rPr>
          <w:rFonts w:hint="eastAsia" w:ascii="黑体" w:hAnsi="黑体" w:eastAsia="黑体" w:cs="Arial"/>
          <w:color w:val="auto"/>
          <w:sz w:val="32"/>
          <w:szCs w:val="32"/>
          <w:highlight w:val="none"/>
        </w:rPr>
        <w:t>四、其他要求</w:t>
      </w:r>
    </w:p>
    <w:p w14:paraId="6F4E982C">
      <w:pPr>
        <w:keepNext w:val="0"/>
        <w:keepLines w:val="0"/>
        <w:pageBreakBefore w:val="0"/>
        <w:widowControl w:val="0"/>
        <w:kinsoku/>
        <w:wordWrap/>
        <w:overflowPunct/>
        <w:topLinePunct w:val="0"/>
        <w:autoSpaceDE w:val="0"/>
        <w:autoSpaceDN w:val="0"/>
        <w:bidi w:val="0"/>
        <w:adjustRightInd w:val="0"/>
        <w:snapToGrid/>
        <w:spacing w:line="520" w:lineRule="exact"/>
        <w:ind w:firstLine="640" w:firstLineChars="200"/>
        <w:textAlignment w:val="auto"/>
        <w:rPr>
          <w:rFonts w:hint="eastAsia" w:ascii="仿宋_GB2312" w:hAnsi="Calibri" w:eastAsia="仿宋_GB2312" w:cs="Arial"/>
          <w:color w:val="auto"/>
          <w:sz w:val="32"/>
          <w:szCs w:val="32"/>
          <w:highlight w:val="none"/>
        </w:rPr>
      </w:pPr>
      <w:r>
        <w:rPr>
          <w:rFonts w:hint="eastAsia" w:ascii="仿宋_GB2312" w:hAnsi="Calibri" w:eastAsia="仿宋_GB2312" w:cs="Arial"/>
          <w:color w:val="auto"/>
          <w:sz w:val="32"/>
          <w:szCs w:val="32"/>
          <w:highlight w:val="none"/>
        </w:rPr>
        <w:t>东乌珠穆沁旗生态环境综合行政执法大队对该项目建设期间及运行期间各项生态环境保护措施落实情况进行监督检查和管理。</w:t>
      </w:r>
    </w:p>
    <w:p w14:paraId="7370B7C9">
      <w:pPr>
        <w:keepNext w:val="0"/>
        <w:keepLines w:val="0"/>
        <w:pageBreakBefore w:val="0"/>
        <w:widowControl w:val="0"/>
        <w:kinsoku/>
        <w:wordWrap/>
        <w:overflowPunct/>
        <w:topLinePunct w:val="0"/>
        <w:autoSpaceDE w:val="0"/>
        <w:autoSpaceDN w:val="0"/>
        <w:bidi w:val="0"/>
        <w:adjustRightInd w:val="0"/>
        <w:snapToGrid/>
        <w:spacing w:line="520" w:lineRule="exact"/>
        <w:ind w:firstLine="640" w:firstLineChars="200"/>
        <w:textAlignment w:val="auto"/>
        <w:rPr>
          <w:rFonts w:hint="eastAsia" w:ascii="仿宋_GB2312" w:hAnsi="Calibri" w:eastAsia="仿宋_GB2312" w:cs="Arial"/>
          <w:color w:val="auto"/>
          <w:sz w:val="32"/>
          <w:szCs w:val="32"/>
          <w:highlight w:val="none"/>
        </w:rPr>
      </w:pPr>
    </w:p>
    <w:p w14:paraId="5EF64113">
      <w:pPr>
        <w:keepNext w:val="0"/>
        <w:keepLines w:val="0"/>
        <w:pageBreakBefore w:val="0"/>
        <w:widowControl w:val="0"/>
        <w:kinsoku/>
        <w:wordWrap/>
        <w:overflowPunct/>
        <w:topLinePunct w:val="0"/>
        <w:autoSpaceDE w:val="0"/>
        <w:autoSpaceDN w:val="0"/>
        <w:bidi w:val="0"/>
        <w:adjustRightInd w:val="0"/>
        <w:snapToGrid/>
        <w:spacing w:line="520" w:lineRule="exact"/>
        <w:ind w:firstLine="640" w:firstLineChars="200"/>
        <w:textAlignment w:val="auto"/>
        <w:rPr>
          <w:rFonts w:hint="eastAsia" w:ascii="仿宋_GB2312" w:hAnsi="Calibri" w:eastAsia="仿宋_GB2312" w:cs="Arial"/>
          <w:color w:val="auto"/>
          <w:sz w:val="32"/>
          <w:szCs w:val="32"/>
          <w:highlight w:val="none"/>
        </w:rPr>
      </w:pPr>
    </w:p>
    <w:p w14:paraId="27896F5A">
      <w:pPr>
        <w:keepNext w:val="0"/>
        <w:keepLines w:val="0"/>
        <w:pageBreakBefore w:val="0"/>
        <w:widowControl w:val="0"/>
        <w:kinsoku/>
        <w:wordWrap/>
        <w:overflowPunct/>
        <w:topLinePunct w:val="0"/>
        <w:autoSpaceDE w:val="0"/>
        <w:autoSpaceDN w:val="0"/>
        <w:bidi w:val="0"/>
        <w:adjustRightInd w:val="0"/>
        <w:snapToGrid/>
        <w:spacing w:line="560" w:lineRule="exact"/>
        <w:ind w:firstLine="4160" w:firstLineChars="1300"/>
        <w:textAlignment w:val="auto"/>
        <w:rPr>
          <w:rFonts w:hint="eastAsia" w:ascii="仿宋_GB2312" w:hAnsi="Calibri" w:eastAsia="仿宋_GB2312" w:cs="Arial"/>
          <w:color w:val="auto"/>
          <w:sz w:val="32"/>
          <w:szCs w:val="32"/>
          <w:highlight w:val="none"/>
        </w:rPr>
      </w:pPr>
      <w:r>
        <w:rPr>
          <w:rFonts w:hint="eastAsia" w:ascii="仿宋_GB2312" w:hAnsi="Calibri" w:eastAsia="仿宋_GB2312" w:cs="Arial"/>
          <w:color w:val="auto"/>
          <w:sz w:val="32"/>
          <w:szCs w:val="32"/>
          <w:highlight w:val="none"/>
        </w:rPr>
        <w:t>锡林郭勒盟生态环境局</w:t>
      </w:r>
    </w:p>
    <w:p w14:paraId="18B6BF93">
      <w:pPr>
        <w:keepNext w:val="0"/>
        <w:keepLines w:val="0"/>
        <w:pageBreakBefore w:val="0"/>
        <w:widowControl w:val="0"/>
        <w:kinsoku/>
        <w:wordWrap/>
        <w:overflowPunct/>
        <w:topLinePunct w:val="0"/>
        <w:autoSpaceDE w:val="0"/>
        <w:autoSpaceDN w:val="0"/>
        <w:bidi w:val="0"/>
        <w:adjustRightInd w:val="0"/>
        <w:spacing w:line="560" w:lineRule="exact"/>
        <w:ind w:firstLine="640" w:firstLineChars="200"/>
        <w:jc w:val="center"/>
        <w:rPr>
          <w:rFonts w:hint="eastAsia" w:ascii="仿宋_GB2312" w:hAnsi="Calibri" w:eastAsia="仿宋_GB2312" w:cs="Arial"/>
          <w:color w:val="auto"/>
          <w:sz w:val="32"/>
          <w:szCs w:val="32"/>
          <w:highlight w:val="none"/>
          <w:lang w:eastAsia="zh-CN"/>
        </w:rPr>
      </w:pPr>
      <w:r>
        <w:rPr>
          <w:rFonts w:hint="eastAsia" w:ascii="仿宋_GB2312" w:hAnsi="Calibri" w:eastAsia="仿宋_GB2312" w:cs="Arial"/>
          <w:color w:val="auto"/>
          <w:sz w:val="32"/>
          <w:szCs w:val="32"/>
          <w:highlight w:val="none"/>
        </w:rPr>
        <w:t xml:space="preserve">                  </w:t>
      </w:r>
      <w:r>
        <w:rPr>
          <w:rFonts w:hint="eastAsia" w:ascii="仿宋_GB2312" w:hAnsi="Calibri" w:eastAsia="仿宋_GB2312" w:cs="Arial"/>
          <w:color w:val="auto"/>
          <w:sz w:val="32"/>
          <w:szCs w:val="32"/>
          <w:highlight w:val="none"/>
          <w:lang w:eastAsia="zh-CN"/>
        </w:rPr>
        <w:t>202</w:t>
      </w:r>
      <w:r>
        <w:rPr>
          <w:rFonts w:hint="eastAsia" w:ascii="仿宋_GB2312" w:hAnsi="Calibri" w:eastAsia="仿宋_GB2312" w:cs="Arial"/>
          <w:color w:val="auto"/>
          <w:sz w:val="32"/>
          <w:szCs w:val="32"/>
          <w:highlight w:val="none"/>
          <w:lang w:val="en-US" w:eastAsia="zh-CN"/>
        </w:rPr>
        <w:t>5</w:t>
      </w:r>
      <w:r>
        <w:rPr>
          <w:rFonts w:hint="eastAsia" w:ascii="仿宋_GB2312" w:hAnsi="Calibri" w:eastAsia="仿宋_GB2312" w:cs="Arial"/>
          <w:color w:val="auto"/>
          <w:sz w:val="32"/>
          <w:szCs w:val="32"/>
          <w:highlight w:val="none"/>
          <w:lang w:eastAsia="zh-CN"/>
        </w:rPr>
        <w:t>年</w:t>
      </w:r>
      <w:r>
        <w:rPr>
          <w:rFonts w:hint="eastAsia" w:ascii="仿宋_GB2312" w:hAnsi="Calibri" w:eastAsia="仿宋_GB2312" w:cs="Arial"/>
          <w:color w:val="auto"/>
          <w:sz w:val="32"/>
          <w:szCs w:val="32"/>
          <w:highlight w:val="none"/>
          <w:lang w:val="en-US" w:eastAsia="zh-CN"/>
        </w:rPr>
        <w:t>9</w:t>
      </w:r>
      <w:r>
        <w:rPr>
          <w:rFonts w:hint="eastAsia" w:ascii="仿宋_GB2312" w:hAnsi="Calibri" w:eastAsia="仿宋_GB2312" w:cs="Arial"/>
          <w:color w:val="auto"/>
          <w:sz w:val="32"/>
          <w:szCs w:val="32"/>
          <w:highlight w:val="none"/>
          <w:lang w:eastAsia="zh-CN"/>
        </w:rPr>
        <w:t>月</w:t>
      </w:r>
      <w:r>
        <w:rPr>
          <w:rFonts w:hint="eastAsia" w:ascii="仿宋_GB2312" w:hAnsi="Calibri" w:eastAsia="仿宋_GB2312" w:cs="Arial"/>
          <w:color w:val="auto"/>
          <w:sz w:val="32"/>
          <w:szCs w:val="32"/>
          <w:highlight w:val="none"/>
          <w:lang w:val="en-US" w:eastAsia="zh-CN"/>
        </w:rPr>
        <w:t>4</w:t>
      </w:r>
      <w:r>
        <w:rPr>
          <w:rFonts w:hint="eastAsia" w:ascii="仿宋_GB2312" w:hAnsi="Calibri" w:eastAsia="仿宋_GB2312" w:cs="Arial"/>
          <w:color w:val="auto"/>
          <w:sz w:val="32"/>
          <w:szCs w:val="32"/>
          <w:highlight w:val="none"/>
          <w:lang w:eastAsia="zh-CN"/>
        </w:rPr>
        <w:t>日</w:t>
      </w:r>
    </w:p>
    <w:p w14:paraId="69D4EE33">
      <w:pPr>
        <w:keepNext w:val="0"/>
        <w:keepLines w:val="0"/>
        <w:pageBreakBefore w:val="0"/>
        <w:widowControl w:val="0"/>
        <w:kinsoku/>
        <w:wordWrap/>
        <w:overflowPunct/>
        <w:topLinePunct w:val="0"/>
        <w:autoSpaceDE w:val="0"/>
        <w:autoSpaceDN w:val="0"/>
        <w:bidi w:val="0"/>
        <w:adjustRightInd w:val="0"/>
        <w:spacing w:line="560" w:lineRule="exact"/>
        <w:jc w:val="both"/>
        <w:rPr>
          <w:rFonts w:hint="eastAsia" w:ascii="仿宋_GB2312" w:hAnsi="Calibri" w:eastAsia="仿宋_GB2312" w:cs="Arial"/>
          <w:color w:val="auto"/>
          <w:sz w:val="32"/>
          <w:szCs w:val="32"/>
          <w:highlight w:val="none"/>
          <w:lang w:eastAsia="zh-CN"/>
        </w:rPr>
      </w:pPr>
    </w:p>
    <w:p w14:paraId="10A42233">
      <w:pPr>
        <w:keepNext w:val="0"/>
        <w:keepLines w:val="0"/>
        <w:pageBreakBefore w:val="0"/>
        <w:widowControl w:val="0"/>
        <w:kinsoku/>
        <w:wordWrap/>
        <w:overflowPunct/>
        <w:topLinePunct w:val="0"/>
        <w:autoSpaceDE w:val="0"/>
        <w:autoSpaceDN w:val="0"/>
        <w:bidi w:val="0"/>
        <w:adjustRightInd w:val="0"/>
        <w:spacing w:line="560" w:lineRule="exact"/>
        <w:jc w:val="both"/>
        <w:rPr>
          <w:rFonts w:hint="default" w:ascii="仿宋_GB2312" w:hAnsi="Calibri" w:eastAsia="仿宋_GB2312" w:cs="Arial"/>
          <w:color w:val="auto"/>
          <w:sz w:val="32"/>
          <w:szCs w:val="32"/>
          <w:highlight w:val="none"/>
          <w:lang w:val="en-US" w:eastAsia="zh-CN"/>
        </w:rPr>
      </w:pPr>
    </w:p>
    <w:p w14:paraId="0CA625FD">
      <w:pPr>
        <w:keepNext w:val="0"/>
        <w:keepLines w:val="0"/>
        <w:pageBreakBefore w:val="0"/>
        <w:widowControl w:val="0"/>
        <w:kinsoku/>
        <w:wordWrap/>
        <w:overflowPunct/>
        <w:topLinePunct w:val="0"/>
        <w:autoSpaceDE/>
        <w:autoSpaceDN/>
        <w:bidi w:val="0"/>
        <w:adjustRightInd/>
        <w:spacing w:line="560" w:lineRule="exact"/>
        <w:jc w:val="both"/>
        <w:textAlignment w:val="auto"/>
        <w:rPr>
          <w:rFonts w:hint="default" w:ascii="仿宋_GB2312" w:hAnsi="仿宋_GB2312" w:eastAsia="仿宋_GB2312" w:cs="仿宋_GB2312"/>
          <w:color w:val="auto"/>
          <w:kern w:val="2"/>
          <w:sz w:val="24"/>
          <w:szCs w:val="24"/>
          <w:highlight w:val="none"/>
          <w:lang w:val="en-US" w:eastAsia="zh-CN" w:bidi="ar-SA"/>
        </w:rPr>
      </w:pPr>
      <w:r>
        <w:rPr>
          <w:rFonts w:hint="eastAsia" w:ascii="仿宋_GB2312" w:hAnsi="仿宋_GB2312" w:eastAsia="仿宋_GB2312" w:cs="仿宋_GB2312"/>
          <w:color w:val="auto"/>
          <w:kern w:val="2"/>
          <w:sz w:val="24"/>
          <w:szCs w:val="24"/>
          <w:highlight w:val="none"/>
          <w:lang w:val="en-US" w:eastAsia="zh-CN" w:bidi="ar-SA"/>
        </w:rPr>
        <mc:AlternateContent>
          <mc:Choice Requires="wps">
            <w:drawing>
              <wp:anchor distT="0" distB="0" distL="114300" distR="114300" simplePos="0" relativeHeight="251659264" behindDoc="0" locked="0" layoutInCell="1" allowOverlap="1">
                <wp:simplePos x="0" y="0"/>
                <wp:positionH relativeFrom="column">
                  <wp:posOffset>12700</wp:posOffset>
                </wp:positionH>
                <wp:positionV relativeFrom="paragraph">
                  <wp:posOffset>25400</wp:posOffset>
                </wp:positionV>
                <wp:extent cx="5220335" cy="10795"/>
                <wp:effectExtent l="0" t="4445" r="18415" b="13335"/>
                <wp:wrapNone/>
                <wp:docPr id="12" name="直接箭头连接符 12"/>
                <wp:cNvGraphicFramePr/>
                <a:graphic xmlns:a="http://schemas.openxmlformats.org/drawingml/2006/main">
                  <a:graphicData uri="http://schemas.microsoft.com/office/word/2010/wordprocessingShape">
                    <wps:wsp>
                      <wps:cNvCnPr/>
                      <wps:spPr>
                        <a:xfrm flipV="1">
                          <a:off x="0" y="0"/>
                          <a:ext cx="5220335" cy="10795"/>
                        </a:xfrm>
                        <a:prstGeom prst="straightConnector1">
                          <a:avLst/>
                        </a:prstGeom>
                        <a:ln w="3175" cap="flat" cmpd="sng">
                          <a:solidFill>
                            <a:srgbClr val="000000"/>
                          </a:solidFill>
                          <a:prstDash val="solid"/>
                          <a:round/>
                          <a:headEnd type="none" w="med" len="med"/>
                          <a:tailEnd type="none" w="med" len="med"/>
                        </a:ln>
                      </wps:spPr>
                      <wps:bodyPr/>
                    </wps:wsp>
                  </a:graphicData>
                </a:graphic>
              </wp:anchor>
            </w:drawing>
          </mc:Choice>
          <mc:Fallback>
            <w:pict>
              <v:shape id="_x0000_s1026" o:spid="_x0000_s1026" o:spt="32" type="#_x0000_t32" style="position:absolute;left:0pt;flip:y;margin-left:1pt;margin-top:2pt;height:0.85pt;width:411.05pt;z-index:251659264;mso-width-relative:page;mso-height-relative:page;" filled="f" stroked="t" coordsize="21600,21600" o:gfxdata="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Mu6p5TVAAAABQEAAA8AAAAAAAAAAQAgAAAAIgAA&#10;AGRycy9kb3ducmV2LnhtbFBLAQIUABQAAAAIAIdO4kBCcdFbCwIAAAYEAAAOAAAAAAAAAAEAIAAA&#10;ACQBAABkcnMvZTJvRG9jLnhtbFBLBQYAAAAABgAGAFkBAAChBQAAAAA=&#10;">
                <v:fill on="f" focussize="0,0"/>
                <v:stroke weight="0.25pt" color="#000000" joinstyle="round"/>
                <v:imagedata o:title=""/>
                <o:lock v:ext="edit" aspectratio="f"/>
              </v:shape>
            </w:pict>
          </mc:Fallback>
        </mc:AlternateContent>
      </w:r>
      <w:r>
        <w:rPr>
          <w:rFonts w:hint="eastAsia" w:ascii="仿宋_GB2312" w:hAnsi="仿宋_GB2312" w:eastAsia="仿宋_GB2312" w:cs="仿宋_GB2312"/>
          <w:color w:val="auto"/>
          <w:kern w:val="2"/>
          <w:sz w:val="24"/>
          <w:szCs w:val="24"/>
          <w:highlight w:val="none"/>
          <w:lang w:val="en-US" w:eastAsia="zh-CN" w:bidi="ar-SA"/>
        </w:rPr>
        <w:t>抄送：盟生态环境综合行政执法支队       盟生态环境局东乌珠穆沁旗分局</w:t>
      </w:r>
    </w:p>
    <w:p w14:paraId="68A44406">
      <w:pPr>
        <w:pStyle w:val="3"/>
        <w:keepNext w:val="0"/>
        <w:keepLines w:val="0"/>
        <w:pageBreakBefore w:val="0"/>
        <w:widowControl w:val="0"/>
        <w:pBdr>
          <w:top w:val="single" w:color="auto" w:sz="4" w:space="0"/>
          <w:bottom w:val="single" w:color="auto" w:sz="4" w:space="0"/>
        </w:pBdr>
        <w:kinsoku/>
        <w:wordWrap/>
        <w:overflowPunct/>
        <w:topLinePunct w:val="0"/>
        <w:autoSpaceDE/>
        <w:autoSpaceDN/>
        <w:bidi w:val="0"/>
        <w:adjustRightInd/>
        <w:spacing w:before="62" w:beforeLines="20" w:line="560" w:lineRule="exact"/>
        <w:jc w:val="both"/>
        <w:textAlignment w:val="auto"/>
        <w:rPr>
          <w:rFonts w:ascii="Calibri" w:hAnsi="Calibri" w:eastAsia="宋体" w:cs="Arial"/>
          <w:color w:val="auto"/>
          <w:szCs w:val="21"/>
          <w:highlight w:val="none"/>
        </w:rPr>
      </w:pPr>
      <w:r>
        <w:rPr>
          <w:rFonts w:hint="eastAsia" w:ascii="仿宋_GB2312" w:hAnsi="仿宋_GB2312" w:eastAsia="仿宋_GB2312" w:cs="仿宋_GB2312"/>
          <w:color w:val="auto"/>
          <w:kern w:val="2"/>
          <w:sz w:val="28"/>
          <w:szCs w:val="28"/>
          <w:highlight w:val="none"/>
          <w:lang w:val="en-US" w:eastAsia="zh-CN" w:bidi="ar-SA"/>
        </w:rPr>
        <w:t>锡林郭勒盟生态环境局办公室             2025年9月4日印发</w:t>
      </w:r>
    </w:p>
    <w:p w14:paraId="4ACD6116">
      <w:pPr>
        <w:ind w:firstLine="210" w:firstLineChars="100"/>
        <w:rPr>
          <w:highlight w:val="none"/>
        </w:rPr>
      </w:pPr>
    </w:p>
    <w:sectPr>
      <w:footerReference r:id="rId3" w:type="default"/>
      <w:pgSz w:w="11906" w:h="16838"/>
      <w:pgMar w:top="2098" w:right="1474" w:bottom="1984" w:left="1587" w:header="851" w:footer="992"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28"/>
    <w:family w:val="roman"/>
    <w:pitch w:val="default"/>
    <w:sig w:usb0="E0002EFF" w:usb1="C000785B" w:usb2="00000009" w:usb3="00000000" w:csb0="400001FF" w:csb1="FFFF0000"/>
  </w:font>
  <w:font w:name="宋体">
    <w:panose1 w:val="02010600030101010101"/>
    <w:charset w:val="81"/>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78EABC">
    <w:pPr>
      <w:pStyle w:val="3"/>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49BF903">
                          <w:pPr>
                            <w:pStyle w:val="3"/>
                          </w:pPr>
                          <w: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249BF903">
                    <w:pPr>
                      <w:pStyle w:val="3"/>
                    </w:pPr>
                    <w: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t xml:space="preserve"> —</w:t>
                    </w:r>
                  </w:p>
                </w:txbxContent>
              </v:textbox>
            </v:shape>
          </w:pict>
        </mc:Fallback>
      </mc:AlternateContent>
    </w:r>
    <w:r>
      <w:rPr>
        <w:sz w:val="18"/>
      </w:rP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24EC8A4">
                          <w:pPr>
                            <w:pStyle w:val="3"/>
                            <w:rPr>
                              <w:rFonts w:hint="eastAsia" w:asciiTheme="minorEastAsia" w:hAnsiTheme="minorEastAsia" w:eastAsiaTheme="minorEastAsia" w:cstheme="minorEastAsia"/>
                              <w:sz w:val="28"/>
                              <w:szCs w:val="28"/>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ZTTZkyAgAAYw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5lNNmTICAABjBAAADgAAAAAAAAABACAAAAAfAQAAZHJzL2Uyb0RvYy54bWxQSwUG&#10;AAAAAAYABgBZAQAAwwUAAAAA&#10;">
              <v:fill on="f" focussize="0,0"/>
              <v:stroke on="f" weight="0.5pt"/>
              <v:imagedata o:title=""/>
              <o:lock v:ext="edit" aspectratio="f"/>
              <v:textbox inset="0mm,0mm,0mm,0mm" style="mso-fit-shape-to-text:t;">
                <w:txbxContent>
                  <w:p w14:paraId="624EC8A4">
                    <w:pPr>
                      <w:pStyle w:val="3"/>
                      <w:rPr>
                        <w:rFonts w:hint="eastAsia" w:asciiTheme="minorEastAsia" w:hAnsiTheme="minorEastAsia" w:eastAsiaTheme="minorEastAsia" w:cstheme="minorEastAsia"/>
                        <w:sz w:val="28"/>
                        <w:szCs w:val="28"/>
                      </w:rPr>
                    </w:pPr>
                  </w:p>
                </w:txbxContent>
              </v:textbox>
            </v:shape>
          </w:pict>
        </mc:Fallback>
      </mc:AlternateContent>
    </w:r>
    <w:r>
      <w:rPr>
        <w:sz w:val="18"/>
      </w:rPr>
      <mc:AlternateContent>
        <mc:Choice Requires="wps">
          <w:drawing>
            <wp:anchor distT="0" distB="0" distL="114300" distR="114300" simplePos="0" relativeHeight="251662336" behindDoc="0" locked="0" layoutInCell="1" allowOverlap="1">
              <wp:simplePos x="0" y="0"/>
              <wp:positionH relativeFrom="margin">
                <wp:align>right</wp:align>
              </wp:positionH>
              <wp:positionV relativeFrom="paragraph">
                <wp:posOffset>0</wp:posOffset>
              </wp:positionV>
              <wp:extent cx="1828800" cy="182880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2071382">
                          <w:pPr>
                            <w:rPr>
                              <w:rFonts w:hint="eastAsia"/>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T72nYyAgAAYwQAAA4AAABkcnMvZTJvRG9jLnhtbK1UzY7TMBC+I/EO&#10;lu80aRFL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pPvadjICAABjBAAADgAAAAAAAAABACAAAAAfAQAAZHJzL2Uyb0RvYy54bWxQSwUG&#10;AAAAAAYABgBZAQAAwwUAAAAA&#10;">
              <v:fill on="f" focussize="0,0"/>
              <v:stroke on="f" weight="0.5pt"/>
              <v:imagedata o:title=""/>
              <o:lock v:ext="edit" aspectratio="f"/>
              <v:textbox inset="0mm,0mm,0mm,0mm" style="mso-fit-shape-to-text:t;">
                <w:txbxContent>
                  <w:p w14:paraId="62071382">
                    <w:pPr>
                      <w:rPr>
                        <w:rFonts w:hint="eastAsia"/>
                      </w:rPr>
                    </w:pPr>
                  </w:p>
                </w:txbxContent>
              </v:textbox>
            </v:shape>
          </w:pict>
        </mc:Fallback>
      </mc:AlternateContent>
    </w:r>
    <w:r>
      <w:rPr>
        <w:sz w:val="18"/>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256E0BA">
                          <w:pPr>
                            <w:pStyle w:val="3"/>
                            <w:rPr>
                              <w:rFonts w:hint="eastAsia" w:asciiTheme="minorEastAsia" w:hAnsiTheme="minorEastAsia" w:eastAsiaTheme="minorEastAsia" w:cstheme="minorEastAsia"/>
                              <w:sz w:val="28"/>
                              <w:szCs w:val="28"/>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3z1oQ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989aEMQIAAGMEAAAOAAAAAAAAAAEAIAAAAB8BAABkcnMvZTJvRG9jLnhtbFBLBQYA&#10;AAAABgAGAFkBAADCBQAAAAA=&#10;">
              <v:fill on="f" focussize="0,0"/>
              <v:stroke on="f" weight="0.5pt"/>
              <v:imagedata o:title=""/>
              <o:lock v:ext="edit" aspectratio="f"/>
              <v:textbox inset="0mm,0mm,0mm,0mm" style="mso-fit-shape-to-text:t;">
                <w:txbxContent>
                  <w:p w14:paraId="6256E0BA">
                    <w:pPr>
                      <w:pStyle w:val="3"/>
                      <w:rPr>
                        <w:rFonts w:hint="eastAsia" w:asciiTheme="minorEastAsia" w:hAnsiTheme="minorEastAsia" w:eastAsiaTheme="minorEastAsia" w:cstheme="minorEastAsia"/>
                        <w:sz w:val="28"/>
                        <w:szCs w:val="28"/>
                      </w:rPr>
                    </w:pP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B018EB6"/>
    <w:multiLevelType w:val="singleLevel"/>
    <w:tmpl w:val="3B018EB6"/>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FF362D"/>
    <w:rsid w:val="01246D1A"/>
    <w:rsid w:val="014B4068"/>
    <w:rsid w:val="01D134FA"/>
    <w:rsid w:val="03C94DF8"/>
    <w:rsid w:val="04BC5D9C"/>
    <w:rsid w:val="056961EE"/>
    <w:rsid w:val="05882122"/>
    <w:rsid w:val="05E7509A"/>
    <w:rsid w:val="07B90CB8"/>
    <w:rsid w:val="080261BB"/>
    <w:rsid w:val="08397703"/>
    <w:rsid w:val="088766C0"/>
    <w:rsid w:val="09102D8D"/>
    <w:rsid w:val="09615163"/>
    <w:rsid w:val="0C436DA2"/>
    <w:rsid w:val="0CF63E15"/>
    <w:rsid w:val="0D136775"/>
    <w:rsid w:val="0D980131"/>
    <w:rsid w:val="0E1E1CB4"/>
    <w:rsid w:val="0F5D6655"/>
    <w:rsid w:val="0FAB7138"/>
    <w:rsid w:val="1111121D"/>
    <w:rsid w:val="117143B2"/>
    <w:rsid w:val="118063A3"/>
    <w:rsid w:val="11EA01E5"/>
    <w:rsid w:val="125F420A"/>
    <w:rsid w:val="135B0E75"/>
    <w:rsid w:val="14682881"/>
    <w:rsid w:val="14A423A8"/>
    <w:rsid w:val="16135A37"/>
    <w:rsid w:val="17A82ADD"/>
    <w:rsid w:val="18502F73"/>
    <w:rsid w:val="1A937147"/>
    <w:rsid w:val="1B1541F5"/>
    <w:rsid w:val="1B8151F1"/>
    <w:rsid w:val="1EAC6A29"/>
    <w:rsid w:val="1FD53DA5"/>
    <w:rsid w:val="208E79CF"/>
    <w:rsid w:val="2100305C"/>
    <w:rsid w:val="216435EB"/>
    <w:rsid w:val="23BB613A"/>
    <w:rsid w:val="25CE54D7"/>
    <w:rsid w:val="26B80661"/>
    <w:rsid w:val="26C37006"/>
    <w:rsid w:val="26E52AD8"/>
    <w:rsid w:val="27337CE7"/>
    <w:rsid w:val="28221B0A"/>
    <w:rsid w:val="28EF3AAA"/>
    <w:rsid w:val="29424212"/>
    <w:rsid w:val="2AC84BEB"/>
    <w:rsid w:val="2AFA0B1C"/>
    <w:rsid w:val="2BAB49C5"/>
    <w:rsid w:val="2C7D1A05"/>
    <w:rsid w:val="2E075A2A"/>
    <w:rsid w:val="2F4F1437"/>
    <w:rsid w:val="2F6824F8"/>
    <w:rsid w:val="2F8F5CD7"/>
    <w:rsid w:val="2FA15A0A"/>
    <w:rsid w:val="30CD2F5B"/>
    <w:rsid w:val="30FD3114"/>
    <w:rsid w:val="310444A3"/>
    <w:rsid w:val="31311416"/>
    <w:rsid w:val="342F5CDB"/>
    <w:rsid w:val="348C0F49"/>
    <w:rsid w:val="34B166F0"/>
    <w:rsid w:val="34E268A9"/>
    <w:rsid w:val="38C073F1"/>
    <w:rsid w:val="3A105C66"/>
    <w:rsid w:val="3A366D10"/>
    <w:rsid w:val="3B3836C7"/>
    <w:rsid w:val="3CAF1767"/>
    <w:rsid w:val="3DD84CED"/>
    <w:rsid w:val="3E5E2F8D"/>
    <w:rsid w:val="3ECB598F"/>
    <w:rsid w:val="3EE04D72"/>
    <w:rsid w:val="40842F0A"/>
    <w:rsid w:val="414601C0"/>
    <w:rsid w:val="415428DD"/>
    <w:rsid w:val="436F39FE"/>
    <w:rsid w:val="43BC6374"/>
    <w:rsid w:val="43E066A9"/>
    <w:rsid w:val="44641089"/>
    <w:rsid w:val="46E110B6"/>
    <w:rsid w:val="479F062A"/>
    <w:rsid w:val="47E86474"/>
    <w:rsid w:val="496477F7"/>
    <w:rsid w:val="49D96075"/>
    <w:rsid w:val="4B552AA6"/>
    <w:rsid w:val="4B670384"/>
    <w:rsid w:val="4DE66FB2"/>
    <w:rsid w:val="50B213CE"/>
    <w:rsid w:val="5119144D"/>
    <w:rsid w:val="52EA0FEF"/>
    <w:rsid w:val="54603F5B"/>
    <w:rsid w:val="56391260"/>
    <w:rsid w:val="576921C0"/>
    <w:rsid w:val="57995095"/>
    <w:rsid w:val="58006EC2"/>
    <w:rsid w:val="58AE30E2"/>
    <w:rsid w:val="5A6C17A9"/>
    <w:rsid w:val="5AB10EDB"/>
    <w:rsid w:val="5C547A3A"/>
    <w:rsid w:val="5C666C4B"/>
    <w:rsid w:val="5D373EE0"/>
    <w:rsid w:val="5E2E29DB"/>
    <w:rsid w:val="5E714676"/>
    <w:rsid w:val="5E7C0CB8"/>
    <w:rsid w:val="5F096FA4"/>
    <w:rsid w:val="5F623CFA"/>
    <w:rsid w:val="5F954394"/>
    <w:rsid w:val="5FA6467B"/>
    <w:rsid w:val="61914506"/>
    <w:rsid w:val="6235508F"/>
    <w:rsid w:val="62AC1363"/>
    <w:rsid w:val="62B94D98"/>
    <w:rsid w:val="632B661A"/>
    <w:rsid w:val="641A4CCC"/>
    <w:rsid w:val="64DF78E7"/>
    <w:rsid w:val="67E66B5A"/>
    <w:rsid w:val="685A2794"/>
    <w:rsid w:val="69172C01"/>
    <w:rsid w:val="691C1682"/>
    <w:rsid w:val="6AD42215"/>
    <w:rsid w:val="6B623CC4"/>
    <w:rsid w:val="6B8E4AB9"/>
    <w:rsid w:val="6BFF57BE"/>
    <w:rsid w:val="6D150189"/>
    <w:rsid w:val="6D4D192F"/>
    <w:rsid w:val="6E387165"/>
    <w:rsid w:val="6F084B83"/>
    <w:rsid w:val="6F1E6154"/>
    <w:rsid w:val="6F55769C"/>
    <w:rsid w:val="6F67111E"/>
    <w:rsid w:val="6F9B4E77"/>
    <w:rsid w:val="6FE729EA"/>
    <w:rsid w:val="716A30B7"/>
    <w:rsid w:val="72E12285"/>
    <w:rsid w:val="73A4210F"/>
    <w:rsid w:val="746F1200"/>
    <w:rsid w:val="752E4C17"/>
    <w:rsid w:val="77550B81"/>
    <w:rsid w:val="79EB55AE"/>
    <w:rsid w:val="7A342CD0"/>
    <w:rsid w:val="7ABD49D6"/>
    <w:rsid w:val="7B4E6013"/>
    <w:rsid w:val="7B9559F0"/>
    <w:rsid w:val="7E633B84"/>
    <w:rsid w:val="7F34107C"/>
    <w:rsid w:val="7FA91A6A"/>
    <w:rsid w:val="7FDD171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name="annotation text"/>
    <w:lsdException w:qFormat="1" w:unhideWhenUsed="0" w:uiPriority="0" w:semiHidden="0" w:name="header"/>
    <w:lsdException w:qFormat="1" w:uiPriority="99"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annotation text"/>
    <w:basedOn w:val="1"/>
    <w:semiHidden/>
    <w:qFormat/>
    <w:uiPriority w:val="0"/>
    <w:pPr>
      <w:jc w:val="left"/>
    </w:pPr>
    <w:rPr>
      <w:kern w:val="0"/>
      <w:sz w:val="24"/>
      <w:szCs w:val="20"/>
    </w:rPr>
  </w:style>
  <w:style w:type="paragraph" w:styleId="3">
    <w:name w:val="footer"/>
    <w:basedOn w:val="1"/>
    <w:next w:val="1"/>
    <w:semiHidden/>
    <w:unhideWhenUsed/>
    <w:qFormat/>
    <w:uiPriority w:val="99"/>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7">
    <w:name w:val="Body text|1"/>
    <w:basedOn w:val="1"/>
    <w:qFormat/>
    <w:uiPriority w:val="0"/>
    <w:pPr>
      <w:spacing w:line="449" w:lineRule="auto"/>
      <w:ind w:firstLine="400"/>
    </w:pPr>
    <w:rPr>
      <w:rFonts w:ascii="宋体" w:hAnsi="宋体" w:cs="宋体"/>
      <w:sz w:val="22"/>
      <w:szCs w:val="22"/>
      <w:lang w:val="zh-TW" w:eastAsia="zh-TW" w:bidi="zh-TW"/>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1611</Words>
  <Characters>1711</Characters>
  <Lines>0</Lines>
  <Paragraphs>0</Paragraphs>
  <TotalTime>1275</TotalTime>
  <ScaleCrop>false</ScaleCrop>
  <LinksUpToDate>false</LinksUpToDate>
  <CharactersWithSpaces>1761</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2024-12-19T02:59:00Z</dcterms:created>
  <dc:creator>Administrator</dc:creator>
  <cp:lastModifiedBy>sargai</cp:lastModifiedBy>
  <cp:lastPrinted>2025-09-04T01:11:00Z</cp:lastPrinted>
  <dcterms:modified xsi:type="dcterms:W3CDTF">2025-09-04T01:58:45Z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2002F090095C4459947DB8637B7FE9B2_13</vt:lpwstr>
  </property>
  <property fmtid="{D5CDD505-2E9C-101B-9397-08002B2CF9AE}" pid="4" name="KSOTemplateDocerSaveRecord">
    <vt:lpwstr>eyJoZGlkIjoiNzQ5YzIwZGE2ZmU0ZDQ1NzU1ODA3Y2ZhM2Y3NzgzNmIiLCJ1c2VySWQiOiIyNzY5NTQ3NjAifQ==</vt:lpwstr>
  </property>
</Properties>
</file>