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0E19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lang w:eastAsia="zh-CN"/>
        </w:rPr>
      </w:pPr>
    </w:p>
    <w:p w14:paraId="38D920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49B2D60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F67ACC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3247CF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D84D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0DD50CB9">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3D62AB3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highlight w:val="none"/>
        </w:rPr>
      </w:pPr>
    </w:p>
    <w:p w14:paraId="29251D1C">
      <w:pPr>
        <w:keepNext w:val="0"/>
        <w:keepLines w:val="0"/>
        <w:pageBreakBefore w:val="0"/>
        <w:widowControl w:val="0"/>
        <w:kinsoku/>
        <w:wordWrap/>
        <w:overflowPunct/>
        <w:topLinePunct w:val="0"/>
        <w:bidi w:val="0"/>
        <w:snapToGrid w:val="0"/>
        <w:spacing w:line="560" w:lineRule="exact"/>
        <w:jc w:val="center"/>
        <w:rPr>
          <w:rFonts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东环审表</w:t>
      </w:r>
      <w:r>
        <w:rPr>
          <w:rFonts w:hint="eastAsia" w:ascii="仿宋_GB2312" w:hAnsi="黑体" w:eastAsia="仿宋_GB2312" w:cs="Arial"/>
          <w:color w:val="auto"/>
          <w:sz w:val="32"/>
          <w:szCs w:val="32"/>
          <w:highlight w:val="none"/>
        </w:rPr>
        <w:t>〔202</w:t>
      </w:r>
      <w:r>
        <w:rPr>
          <w:rFonts w:hint="eastAsia" w:ascii="仿宋_GB2312" w:hAnsi="黑体" w:eastAsia="仿宋_GB2312" w:cs="Arial"/>
          <w:color w:val="auto"/>
          <w:sz w:val="32"/>
          <w:szCs w:val="32"/>
          <w:highlight w:val="none"/>
          <w:lang w:val="en-US" w:eastAsia="zh-CN"/>
        </w:rPr>
        <w:t>5</w:t>
      </w:r>
      <w:r>
        <w:rPr>
          <w:rFonts w:hint="eastAsia" w:ascii="仿宋_GB2312" w:hAnsi="黑体" w:eastAsia="仿宋_GB2312" w:cs="Arial"/>
          <w:color w:val="auto"/>
          <w:sz w:val="32"/>
          <w:szCs w:val="32"/>
          <w:highlight w:val="none"/>
        </w:rPr>
        <w:t>〕</w:t>
      </w:r>
      <w:r>
        <w:rPr>
          <w:rFonts w:hint="eastAsia" w:ascii="仿宋_GB2312" w:hAnsi="黑体" w:eastAsia="仿宋_GB2312" w:cs="Arial"/>
          <w:color w:val="auto"/>
          <w:sz w:val="32"/>
          <w:szCs w:val="32"/>
          <w:highlight w:val="none"/>
          <w:lang w:val="en-US" w:eastAsia="zh-CN"/>
        </w:rPr>
        <w:t>20</w:t>
      </w:r>
      <w:r>
        <w:rPr>
          <w:rFonts w:hint="eastAsia" w:ascii="仿宋_GB2312" w:hAnsi="Calibri" w:eastAsia="仿宋_GB2312" w:cs="Arial"/>
          <w:color w:val="auto"/>
          <w:sz w:val="32"/>
          <w:szCs w:val="32"/>
          <w:highlight w:val="none"/>
        </w:rPr>
        <w:t xml:space="preserve">号   </w:t>
      </w:r>
    </w:p>
    <w:p w14:paraId="48EDA33E">
      <w:pPr>
        <w:keepNext w:val="0"/>
        <w:keepLines w:val="0"/>
        <w:pageBreakBefore w:val="0"/>
        <w:widowControl w:val="0"/>
        <w:kinsoku/>
        <w:wordWrap/>
        <w:overflowPunct/>
        <w:topLinePunct w:val="0"/>
        <w:bidi w:val="0"/>
        <w:snapToGrid w:val="0"/>
        <w:spacing w:line="560" w:lineRule="exact"/>
        <w:rPr>
          <w:rFonts w:hint="eastAsia" w:ascii="Calibri" w:hAnsi="Calibri" w:eastAsia="宋体" w:cs="Arial"/>
          <w:color w:val="auto"/>
          <w:sz w:val="44"/>
          <w:szCs w:val="44"/>
          <w:highlight w:val="none"/>
        </w:rPr>
      </w:pPr>
      <w:r>
        <w:rPr>
          <w:rFonts w:ascii="Calibri" w:hAnsi="Calibri" w:eastAsia="宋体" w:cs="Arial"/>
          <w:color w:val="auto"/>
          <w:sz w:val="28"/>
          <w:szCs w:val="28"/>
          <w:highlight w:val="none"/>
        </w:rPr>
        <w:t xml:space="preserve"> </w:t>
      </w:r>
    </w:p>
    <w:p w14:paraId="30939483">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锡林郭勒盟生态环境局</w:t>
      </w:r>
    </w:p>
    <w:p w14:paraId="07B98FEB">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bookmarkStart w:id="0" w:name="OLE_LINK1"/>
      <w:r>
        <w:rPr>
          <w:rFonts w:hint="eastAsia" w:ascii="方正小标宋简体" w:hAnsi="Calibri" w:eastAsia="方正小标宋简体" w:cs="Arial"/>
          <w:color w:val="auto"/>
          <w:sz w:val="44"/>
          <w:szCs w:val="44"/>
          <w:highlight w:val="none"/>
        </w:rPr>
        <w:t>关于</w:t>
      </w:r>
      <w:r>
        <w:rPr>
          <w:rFonts w:hint="eastAsia" w:ascii="方正小标宋简体" w:hAnsi="Calibri" w:eastAsia="方正小标宋简体" w:cs="Arial"/>
          <w:color w:val="auto"/>
          <w:sz w:val="44"/>
          <w:szCs w:val="44"/>
          <w:highlight w:val="none"/>
          <w:lang w:val="en-US" w:eastAsia="zh-CN"/>
        </w:rPr>
        <w:t>zk</w:t>
      </w:r>
      <w:r>
        <w:rPr>
          <w:rFonts w:hint="eastAsia" w:ascii="方正小标宋简体" w:hAnsi="Calibri" w:eastAsia="方正小标宋简体" w:cs="Arial"/>
          <w:color w:val="auto"/>
          <w:sz w:val="44"/>
          <w:szCs w:val="44"/>
          <w:highlight w:val="none"/>
        </w:rPr>
        <w:t>29井探井勘探项目环境影响</w:t>
      </w:r>
    </w:p>
    <w:p w14:paraId="745B315E">
      <w:pPr>
        <w:keepNext w:val="0"/>
        <w:keepLines w:val="0"/>
        <w:pageBreakBefore w:val="0"/>
        <w:widowControl w:val="0"/>
        <w:kinsoku/>
        <w:wordWrap/>
        <w:overflowPunct/>
        <w:topLinePunct w:val="0"/>
        <w:autoSpaceDE w:val="0"/>
        <w:bidi w:val="0"/>
        <w:spacing w:line="560" w:lineRule="exact"/>
        <w:jc w:val="center"/>
        <w:textAlignment w:val="baseline"/>
        <w:rPr>
          <w:rFonts w:hint="eastAsia" w:ascii="方正小标宋简体" w:hAnsi="Calibri" w:eastAsia="方正小标宋简体" w:cs="Arial"/>
          <w:color w:val="auto"/>
          <w:sz w:val="44"/>
          <w:szCs w:val="44"/>
          <w:highlight w:val="none"/>
        </w:rPr>
      </w:pPr>
      <w:r>
        <w:rPr>
          <w:rFonts w:hint="eastAsia" w:ascii="方正小标宋简体" w:hAnsi="Calibri" w:eastAsia="方正小标宋简体" w:cs="Arial"/>
          <w:color w:val="auto"/>
          <w:sz w:val="44"/>
          <w:szCs w:val="44"/>
          <w:highlight w:val="none"/>
        </w:rPr>
        <w:t xml:space="preserve">报告表的批复 </w:t>
      </w:r>
    </w:p>
    <w:bookmarkEnd w:id="0"/>
    <w:p w14:paraId="5C50DEFA">
      <w:pPr>
        <w:keepNext w:val="0"/>
        <w:keepLines w:val="0"/>
        <w:pageBreakBefore w:val="0"/>
        <w:widowControl w:val="0"/>
        <w:kinsoku/>
        <w:wordWrap/>
        <w:overflowPunct/>
        <w:topLinePunct w:val="0"/>
        <w:bidi w:val="0"/>
        <w:adjustRightInd w:val="0"/>
        <w:snapToGrid w:val="0"/>
        <w:spacing w:line="560" w:lineRule="exact"/>
        <w:jc w:val="left"/>
        <w:rPr>
          <w:rFonts w:hint="eastAsia" w:ascii="仿宋_GB2312" w:hAnsi="Calibri" w:eastAsia="仿宋_GB2312" w:cs="Arial"/>
          <w:color w:val="auto"/>
          <w:sz w:val="36"/>
          <w:szCs w:val="36"/>
          <w:highlight w:val="none"/>
        </w:rPr>
      </w:pPr>
      <w:r>
        <w:rPr>
          <w:rFonts w:hint="eastAsia" w:ascii="方正小标宋简体" w:hAnsi="Calibri" w:eastAsia="方正小标宋简体" w:cs="Arial"/>
          <w:color w:val="auto"/>
          <w:sz w:val="44"/>
          <w:szCs w:val="44"/>
          <w:highlight w:val="none"/>
          <w:lang w:val="en-US" w:eastAsia="zh-CN"/>
        </w:rPr>
        <w:t xml:space="preserve"> </w:t>
      </w:r>
      <w:r>
        <w:rPr>
          <w:rFonts w:hint="eastAsia" w:ascii="仿宋_GB2312" w:hAnsi="Calibri" w:eastAsia="仿宋_GB2312" w:cs="Arial"/>
          <w:color w:val="auto"/>
          <w:sz w:val="36"/>
          <w:szCs w:val="36"/>
          <w:highlight w:val="none"/>
        </w:rPr>
        <w:t xml:space="preserve"> </w:t>
      </w:r>
    </w:p>
    <w:p w14:paraId="0B963E6F">
      <w:pPr>
        <w:keepNext w:val="0"/>
        <w:keepLines w:val="0"/>
        <w:pageBreakBefore w:val="0"/>
        <w:widowControl w:val="0"/>
        <w:kinsoku/>
        <w:wordWrap/>
        <w:overflowPunct/>
        <w:topLinePunct w:val="0"/>
        <w:autoSpaceDN/>
        <w:bidi w:val="0"/>
        <w:spacing w:line="520" w:lineRule="exact"/>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中国石油化工股份有限公司中原油田内蒙古中康项目部:</w:t>
      </w:r>
    </w:p>
    <w:p w14:paraId="5597E2B4">
      <w:pPr>
        <w:keepNext w:val="0"/>
        <w:keepLines w:val="0"/>
        <w:pageBreakBefore w:val="0"/>
        <w:widowControl w:val="0"/>
        <w:kinsoku/>
        <w:wordWrap/>
        <w:overflowPunct/>
        <w:topLinePunct w:val="0"/>
        <w:autoSpaceDE w:val="0"/>
        <w:autoSpaceDN/>
        <w:bidi w:val="0"/>
        <w:adjustRightInd w:val="0"/>
        <w:snapToGrid w:val="0"/>
        <w:spacing w:line="52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Cs/>
          <w:color w:val="auto"/>
          <w:sz w:val="32"/>
          <w:szCs w:val="32"/>
          <w:highlight w:val="none"/>
        </w:rPr>
        <w:t>你公司委托内蒙古绿和环保科技有限公</w:t>
      </w:r>
      <w:r>
        <w:rPr>
          <w:rFonts w:hint="eastAsia" w:ascii="仿宋_GB2312" w:hAnsi="仿宋_GB2312" w:eastAsia="仿宋_GB2312" w:cs="仿宋_GB2312"/>
          <w:bCs/>
          <w:color w:val="auto"/>
          <w:sz w:val="32"/>
          <w:szCs w:val="32"/>
          <w:highlight w:val="none"/>
          <w:lang w:val="en-US" w:eastAsia="zh-CN"/>
        </w:rPr>
        <w:t>司</w:t>
      </w:r>
      <w:r>
        <w:rPr>
          <w:rFonts w:hint="eastAsia" w:ascii="仿宋_GB2312" w:hAnsi="仿宋_GB2312" w:eastAsia="仿宋_GB2312" w:cs="仿宋_GB2312"/>
          <w:bCs/>
          <w:color w:val="auto"/>
          <w:sz w:val="32"/>
          <w:szCs w:val="32"/>
          <w:highlight w:val="none"/>
        </w:rPr>
        <w:t>编制的《zk29井探井勘探项目环境影响报告表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已</w:t>
      </w:r>
      <w:r>
        <w:rPr>
          <w:rFonts w:hint="eastAsia" w:ascii="仿宋_GB2312" w:hAnsi="仿宋_GB2312" w:eastAsia="仿宋_GB2312" w:cs="仿宋_GB2312"/>
          <w:color w:val="auto"/>
          <w:sz w:val="32"/>
          <w:szCs w:val="32"/>
          <w:highlight w:val="none"/>
        </w:rPr>
        <w:t>收悉</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依据《锡林郭勒盟生态环境局关于委托实施行政许可事项的通知》（锡署环字〔2021〕41号），现批复如下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 xml:space="preserve">   </w:t>
      </w:r>
    </w:p>
    <w:p w14:paraId="676C3D2C">
      <w:pPr>
        <w:keepNext w:val="0"/>
        <w:keepLines w:val="0"/>
        <w:pageBreakBefore w:val="0"/>
        <w:widowControl w:val="0"/>
        <w:kinsoku/>
        <w:wordWrap/>
        <w:overflowPunct/>
        <w:topLinePunct w:val="0"/>
        <w:autoSpaceDE w:val="0"/>
        <w:autoSpaceDN/>
        <w:bidi w:val="0"/>
        <w:adjustRightInd w:val="0"/>
        <w:snapToGrid w:val="0"/>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一、建设项目基本情况</w:t>
      </w:r>
    </w:p>
    <w:p w14:paraId="0F8E80A7">
      <w:pPr>
        <w:keepNext w:val="0"/>
        <w:keepLines w:val="0"/>
        <w:pageBreakBefore w:val="0"/>
        <w:widowControl w:val="0"/>
        <w:kinsoku/>
        <w:wordWrap/>
        <w:overflowPunct/>
        <w:topLinePunct w:val="0"/>
        <w:bidi w:val="0"/>
        <w:spacing w:line="560" w:lineRule="exact"/>
        <w:ind w:firstLine="640" w:firstLineChars="200"/>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color w:val="auto"/>
          <w:sz w:val="32"/>
          <w:szCs w:val="32"/>
          <w:highlight w:val="none"/>
        </w:rPr>
        <w:t>本项目位于内蒙古自治区锡林郭勒盟东乌珠穆沁旗嘎海乐苏木额仁宝拉格嘎查，</w:t>
      </w:r>
      <w:r>
        <w:rPr>
          <w:rFonts w:hint="eastAsia" w:ascii="仿宋_GB2312" w:hAnsi="仿宋_GB2312" w:eastAsia="仿宋_GB2312" w:cs="仿宋_GB2312"/>
          <w:color w:val="auto"/>
          <w:sz w:val="32"/>
          <w:szCs w:val="32"/>
          <w:highlight w:val="none"/>
          <w:lang w:val="en-US" w:eastAsia="zh-CN"/>
        </w:rPr>
        <w:t>井场中心坐标为东经：117°47′35.83″北纬：46°23′57.63″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属于</w:t>
      </w:r>
      <w:r>
        <w:rPr>
          <w:rFonts w:hint="eastAsia" w:ascii="仿宋_GB2312" w:hAnsi="仿宋_GB2312" w:eastAsia="仿宋_GB2312" w:cs="仿宋_GB2312"/>
          <w:color w:val="auto"/>
          <w:sz w:val="32"/>
          <w:szCs w:val="32"/>
          <w:highlight w:val="none"/>
          <w:lang w:val="en-US" w:eastAsia="zh-CN"/>
        </w:rPr>
        <w:t>新建项目,拟建设探井一口，设计井深为3000m，采用二开方式钻井，总占地面积29355m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本项目主体工程为钻前工程、钻井工程、试油工程、钻后工程；辅助工程为钻井液配制、钻井液循环罐、岩屑泥浆储存罐、污水储罐、钻井测定装置、钻井监控装置；储运工程为钻井、固井材料库（占地面积为400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），储油罐；公用工程为施工营地（占地面积为1134m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）、供电工程、供热工程、供水工程、进场道路（长度5km）。</w:t>
      </w:r>
      <w:r>
        <w:rPr>
          <w:rFonts w:hint="eastAsia" w:ascii="仿宋_GB2312" w:hAnsi="仿宋_GB2312" w:eastAsia="仿宋_GB2312" w:cs="仿宋_GB2312"/>
          <w:bCs/>
          <w:color w:val="auto"/>
          <w:sz w:val="32"/>
          <w:szCs w:val="32"/>
          <w:highlight w:val="none"/>
          <w:lang w:val="en-US" w:eastAsia="zh-CN"/>
        </w:rPr>
        <w:t>总投资520</w:t>
      </w:r>
      <w:r>
        <w:rPr>
          <w:rFonts w:hint="eastAsia" w:ascii="仿宋_GB2312" w:hAnsi="仿宋_GB2312" w:eastAsia="仿宋_GB2312" w:cs="仿宋_GB2312"/>
          <w:bCs/>
          <w:color w:val="auto"/>
          <w:sz w:val="32"/>
          <w:szCs w:val="32"/>
          <w:highlight w:val="none"/>
        </w:rPr>
        <w:t>万元，环保投资</w:t>
      </w:r>
      <w:r>
        <w:rPr>
          <w:rFonts w:hint="eastAsia" w:ascii="仿宋_GB2312" w:hAnsi="仿宋_GB2312" w:eastAsia="仿宋_GB2312" w:cs="仿宋_GB2312"/>
          <w:color w:val="auto"/>
          <w:sz w:val="32"/>
          <w:szCs w:val="32"/>
          <w:highlight w:val="none"/>
          <w:lang w:val="en-US" w:eastAsia="zh-CN"/>
        </w:rPr>
        <w:t>64.5</w:t>
      </w:r>
      <w:r>
        <w:rPr>
          <w:rFonts w:hint="eastAsia" w:ascii="仿宋_GB2312" w:hAnsi="仿宋_GB2312" w:eastAsia="仿宋_GB2312" w:cs="仿宋_GB2312"/>
          <w:bCs/>
          <w:color w:val="auto"/>
          <w:sz w:val="32"/>
          <w:szCs w:val="32"/>
          <w:highlight w:val="none"/>
        </w:rPr>
        <w:t>万元</w:t>
      </w:r>
      <w:r>
        <w:rPr>
          <w:rFonts w:hint="eastAsia" w:ascii="仿宋_GB2312" w:hAnsi="仿宋_GB2312" w:eastAsia="仿宋_GB2312" w:cs="仿宋_GB2312"/>
          <w:bCs/>
          <w:color w:val="auto"/>
          <w:sz w:val="32"/>
          <w:szCs w:val="32"/>
          <w:highlight w:val="none"/>
          <w:lang w:eastAsia="zh-CN"/>
        </w:rPr>
        <w:t>，</w:t>
      </w:r>
      <w:r>
        <w:rPr>
          <w:rFonts w:hint="eastAsia" w:ascii="仿宋_GB2312" w:hAnsi="仿宋_GB2312" w:eastAsia="仿宋_GB2312" w:cs="仿宋_GB2312"/>
          <w:bCs/>
          <w:color w:val="auto"/>
          <w:sz w:val="32"/>
          <w:szCs w:val="32"/>
          <w:highlight w:val="none"/>
        </w:rPr>
        <w:t>占总投资的</w:t>
      </w:r>
      <w:r>
        <w:rPr>
          <w:rFonts w:hint="eastAsia" w:ascii="仿宋_GB2312" w:hAnsi="仿宋_GB2312" w:eastAsia="仿宋_GB2312" w:cs="仿宋_GB2312"/>
          <w:color w:val="auto"/>
          <w:sz w:val="32"/>
          <w:szCs w:val="32"/>
          <w:highlight w:val="none"/>
          <w:lang w:val="en-US" w:eastAsia="zh-CN"/>
        </w:rPr>
        <w:t>12.4</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bCs/>
          <w:color w:val="auto"/>
          <w:sz w:val="32"/>
          <w:szCs w:val="32"/>
          <w:highlight w:val="none"/>
        </w:rPr>
        <w:t>。</w:t>
      </w:r>
    </w:p>
    <w:p w14:paraId="290BDC4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GB" w:eastAsia="zh-CN"/>
        </w:rPr>
        <w:t>依</w:t>
      </w:r>
      <w:r>
        <w:rPr>
          <w:rFonts w:hint="eastAsia" w:ascii="仿宋_GB2312" w:hAnsi="仿宋_GB2312" w:eastAsia="仿宋_GB2312" w:cs="仿宋_GB2312"/>
          <w:color w:val="auto"/>
          <w:sz w:val="32"/>
          <w:szCs w:val="32"/>
          <w:highlight w:val="none"/>
          <w:lang w:val="en-GB"/>
        </w:rPr>
        <w:t>据《产业结构调整指导目录》(20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val="en-GB"/>
        </w:rPr>
        <w:t>年本)，本项目属于</w:t>
      </w:r>
      <w:r>
        <w:rPr>
          <w:rFonts w:hint="eastAsia" w:ascii="仿宋_GB2312" w:hAnsi="仿宋_GB2312" w:eastAsia="仿宋_GB2312" w:cs="仿宋_GB2312"/>
          <w:color w:val="auto"/>
          <w:sz w:val="32"/>
          <w:szCs w:val="32"/>
          <w:highlight w:val="none"/>
          <w:lang w:val="en-US" w:eastAsia="zh-CN"/>
        </w:rPr>
        <w:t>鼓励类建设项目。</w:t>
      </w:r>
      <w:r>
        <w:rPr>
          <w:rFonts w:hint="eastAsia" w:ascii="仿宋_GB2312" w:hAnsi="仿宋_GB2312" w:eastAsia="仿宋_GB2312" w:cs="仿宋_GB2312"/>
          <w:color w:val="auto"/>
          <w:sz w:val="32"/>
          <w:szCs w:val="32"/>
          <w:highlight w:val="none"/>
          <w:lang w:val="en-GB" w:eastAsia="zh-CN"/>
        </w:rPr>
        <w:t>符合</w:t>
      </w:r>
      <w:r>
        <w:rPr>
          <w:rFonts w:hint="eastAsia" w:ascii="仿宋_GB2312" w:hAnsi="仿宋_GB2312" w:eastAsia="仿宋_GB2312" w:cs="仿宋_GB2312"/>
          <w:color w:val="auto"/>
          <w:sz w:val="32"/>
          <w:szCs w:val="32"/>
          <w:highlight w:val="none"/>
          <w:lang w:val="en-US" w:eastAsia="zh-CN"/>
        </w:rPr>
        <w:t>国家相关法律法规，符合</w:t>
      </w:r>
      <w:r>
        <w:rPr>
          <w:rFonts w:hint="eastAsia" w:ascii="仿宋_GB2312" w:hAnsi="仿宋_GB2312" w:eastAsia="仿宋_GB2312" w:cs="仿宋_GB2312"/>
          <w:color w:val="auto"/>
          <w:sz w:val="32"/>
          <w:szCs w:val="32"/>
          <w:highlight w:val="none"/>
          <w:lang w:val="en-GB" w:eastAsia="zh-CN"/>
        </w:rPr>
        <w:t>国家产业政策要求</w:t>
      </w:r>
      <w:r>
        <w:rPr>
          <w:rFonts w:hint="eastAsia" w:ascii="仿宋_GB2312" w:hAnsi="仿宋_GB2312" w:eastAsia="仿宋_GB2312" w:cs="仿宋_GB2312"/>
          <w:color w:val="auto"/>
          <w:sz w:val="32"/>
          <w:szCs w:val="32"/>
          <w:highlight w:val="none"/>
          <w:lang w:val="en-US" w:eastAsia="zh-CN"/>
        </w:rPr>
        <w:t>及我盟“三线一单”管控要求。在全面落实《</w:t>
      </w:r>
      <w:r>
        <w:rPr>
          <w:rFonts w:hint="eastAsia" w:ascii="仿宋_GB2312" w:hAnsi="仿宋_GB2312" w:eastAsia="仿宋_GB2312" w:cs="仿宋_GB2312"/>
          <w:b w:val="0"/>
          <w:bCs/>
          <w:color w:val="auto"/>
          <w:sz w:val="32"/>
          <w:szCs w:val="32"/>
          <w:highlight w:val="none"/>
          <w:u w:val="none"/>
          <w:lang w:val="en-US" w:eastAsia="zh-CN"/>
        </w:rPr>
        <w:t>报告表</w:t>
      </w:r>
      <w:r>
        <w:rPr>
          <w:rFonts w:hint="eastAsia" w:ascii="仿宋_GB2312" w:hAnsi="仿宋_GB2312" w:eastAsia="仿宋_GB2312" w:cs="仿宋_GB2312"/>
          <w:color w:val="auto"/>
          <w:sz w:val="32"/>
          <w:szCs w:val="32"/>
          <w:highlight w:val="none"/>
          <w:lang w:val="en-US" w:eastAsia="zh-CN"/>
        </w:rPr>
        <w:t>》中提出的各项污染防治措施后，可使环境污染和生态破坏控制在允许范围内，从生态环境保护的角度分析，该项目建设可行。</w:t>
      </w:r>
    </w:p>
    <w:p w14:paraId="2D249FA8">
      <w:pPr>
        <w:keepNext w:val="0"/>
        <w:keepLines w:val="0"/>
        <w:pageBreakBefore w:val="0"/>
        <w:widowControl w:val="0"/>
        <w:kinsoku/>
        <w:wordWrap/>
        <w:overflowPunct/>
        <w:topLinePunct w:val="0"/>
        <w:bidi w:val="0"/>
        <w:spacing w:line="560" w:lineRule="exact"/>
        <w:ind w:firstLine="640" w:firstLineChars="200"/>
        <w:rPr>
          <w:rFonts w:hint="eastAsia" w:ascii="黑体" w:hAnsi="黑体" w:eastAsia="黑体" w:cs="Arial"/>
          <w:color w:val="auto"/>
          <w:sz w:val="32"/>
          <w:szCs w:val="32"/>
          <w:highlight w:val="none"/>
          <w:lang w:eastAsia="zh-CN"/>
        </w:rPr>
      </w:pPr>
      <w:r>
        <w:rPr>
          <w:rFonts w:hint="eastAsia" w:ascii="黑体" w:hAnsi="黑体" w:eastAsia="黑体" w:cs="Arial"/>
          <w:color w:val="auto"/>
          <w:sz w:val="32"/>
          <w:szCs w:val="32"/>
          <w:highlight w:val="none"/>
        </w:rPr>
        <w:t>二、项目建设</w:t>
      </w:r>
      <w:r>
        <w:rPr>
          <w:rFonts w:hint="eastAsia" w:ascii="黑体" w:hAnsi="黑体" w:eastAsia="黑体" w:cs="Arial"/>
          <w:color w:val="auto"/>
          <w:sz w:val="32"/>
          <w:szCs w:val="32"/>
          <w:highlight w:val="none"/>
          <w:lang w:val="en-US" w:eastAsia="zh-CN"/>
        </w:rPr>
        <w:t>过程中的相关责任</w:t>
      </w:r>
    </w:p>
    <w:p w14:paraId="2F1F59E6">
      <w:pPr>
        <w:keepNext w:val="0"/>
        <w:keepLines w:val="0"/>
        <w:pageBreakBefore w:val="0"/>
        <w:widowControl w:val="0"/>
        <w:kinsoku/>
        <w:wordWrap/>
        <w:overflowPunct/>
        <w:topLinePunct w:val="0"/>
        <w:autoSpaceDE w:val="0"/>
        <w:autoSpaceDN w:val="0"/>
        <w:bidi w:val="0"/>
        <w:adjustRightInd w:val="0"/>
        <w:spacing w:line="560" w:lineRule="exact"/>
        <w:ind w:firstLine="643" w:firstLineChars="200"/>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（一）废气方面。</w:t>
      </w:r>
    </w:p>
    <w:p w14:paraId="5E78B5C7">
      <w:pPr>
        <w:keepNext w:val="0"/>
        <w:keepLines w:val="0"/>
        <w:pageBreakBefore w:val="0"/>
        <w:widowControl w:val="0"/>
        <w:shd w:val="clear"/>
        <w:kinsoku/>
        <w:wordWrap/>
        <w:overflowPunct/>
        <w:topLinePunct w:val="0"/>
        <w:autoSpaceDE w:val="0"/>
        <w:autoSpaceDN w:val="0"/>
        <w:bidi w:val="0"/>
        <w:adjustRightInd w:val="0"/>
        <w:snapToGrid/>
        <w:spacing w:line="560" w:lineRule="exact"/>
        <w:ind w:firstLine="640" w:firstLineChars="200"/>
        <w:textAlignment w:val="auto"/>
        <w:rPr>
          <w:rFonts w:hint="default" w:ascii="仿宋_GB2312" w:eastAsia="仿宋_GB2312"/>
          <w:color w:val="auto"/>
          <w:sz w:val="32"/>
          <w:szCs w:val="32"/>
          <w:highlight w:val="none"/>
          <w:shd w:val="clear" w:color="auto" w:fill="FFFFFF"/>
          <w:lang w:val="en-US" w:eastAsia="zh-CN"/>
        </w:rPr>
      </w:pPr>
      <w:r>
        <w:rPr>
          <w:rFonts w:hint="eastAsia" w:ascii="仿宋_GB2312" w:eastAsia="仿宋_GB2312"/>
          <w:color w:val="auto"/>
          <w:sz w:val="32"/>
          <w:szCs w:val="32"/>
          <w:highlight w:val="none"/>
          <w:shd w:val="clear" w:color="auto" w:fill="FFFFFF"/>
          <w:lang w:val="en-US" w:eastAsia="zh-CN"/>
        </w:rPr>
        <w:t>施工期现场采取围挡，通过物料苫盖、施工场地和路面洒水降尘、车辆减速慢行、物料密闭运输、遇到恶劣天气禁止施工作业等措施，抑制施工扬尘污染；采出液井场密闭集输、密闭拉运，采出液装车采用顶装浸没装载方式，采用高架防腐贮罐，定期对井场设备、管线、阀门等进行检查、检修，防止烃类泄漏及挥发；柴油机使用轻质燃料，定期检查、检修，不得超负荷运行。严格执行《大气污染物综合排放标准》（GB16297-1996）要求。</w:t>
      </w:r>
    </w:p>
    <w:p w14:paraId="6A196A56">
      <w:pPr>
        <w:keepNext w:val="0"/>
        <w:keepLines w:val="0"/>
        <w:pageBreakBefore w:val="0"/>
        <w:widowControl w:val="0"/>
        <w:shd w:val="clear"/>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（二）废水方面。</w:t>
      </w:r>
    </w:p>
    <w:p w14:paraId="3B5A085F">
      <w:pPr>
        <w:keepNext w:val="0"/>
        <w:keepLines w:val="0"/>
        <w:pageBreakBefore w:val="0"/>
        <w:widowControl w:val="0"/>
        <w:shd w:val="clea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生活污水</w:t>
      </w:r>
      <w:r>
        <w:rPr>
          <w:rFonts w:hint="eastAsia" w:ascii="仿宋_GB2312" w:hAnsi="仿宋_GB2312" w:eastAsia="仿宋_GB2312" w:cs="仿宋_GB2312"/>
          <w:sz w:val="32"/>
          <w:szCs w:val="32"/>
          <w:highlight w:val="none"/>
          <w:lang w:val="en-US" w:eastAsia="zh-CN"/>
        </w:rPr>
        <w:t>经收集后拉运至中康计量接转站进行处理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钻井废水、洗井废水、压裂废水经密闭污水储罐暂存后运往中康计量接转站内含油污水处理站</w:t>
      </w:r>
      <w:r>
        <w:rPr>
          <w:rFonts w:hint="eastAsia" w:ascii="仿宋_GB2312" w:hAnsi="仿宋_GB2312" w:eastAsia="仿宋_GB2312" w:cs="仿宋_GB2312"/>
          <w:sz w:val="32"/>
          <w:szCs w:val="32"/>
          <w:highlight w:val="none"/>
          <w:lang w:eastAsia="zh-CN"/>
        </w:rPr>
        <w:t>处理达标后回注</w:t>
      </w:r>
      <w:r>
        <w:rPr>
          <w:rFonts w:hint="eastAsia" w:ascii="仿宋_GB2312" w:hAnsi="仿宋_GB2312" w:eastAsia="仿宋_GB2312" w:cs="仿宋_GB2312"/>
          <w:sz w:val="32"/>
          <w:szCs w:val="32"/>
          <w:highlight w:val="none"/>
          <w:lang w:val="en-US" w:eastAsia="zh-CN"/>
        </w:rPr>
        <w:t>地下</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严禁向外环境</w:t>
      </w:r>
      <w:r>
        <w:rPr>
          <w:rFonts w:hint="eastAsia" w:ascii="仿宋_GB2312" w:hAnsi="仿宋_GB2312" w:eastAsia="仿宋_GB2312" w:cs="仿宋_GB2312"/>
          <w:sz w:val="32"/>
          <w:szCs w:val="32"/>
          <w:highlight w:val="none"/>
          <w:lang w:val="en-US" w:eastAsia="zh-CN"/>
        </w:rPr>
        <w:t>随意</w:t>
      </w:r>
      <w:r>
        <w:rPr>
          <w:rFonts w:hint="eastAsia" w:ascii="仿宋_GB2312" w:hAnsi="仿宋_GB2312" w:eastAsia="仿宋_GB2312" w:cs="仿宋_GB2312"/>
          <w:sz w:val="32"/>
          <w:szCs w:val="32"/>
          <w:highlight w:val="none"/>
        </w:rPr>
        <w:t>排放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严格落实一般防渗区、重点防渗区防渗措施。</w:t>
      </w:r>
    </w:p>
    <w:p w14:paraId="00F1E2E5">
      <w:pPr>
        <w:keepNext w:val="0"/>
        <w:keepLines w:val="0"/>
        <w:pageBreakBefore w:val="0"/>
        <w:widowControl w:val="0"/>
        <w:shd w:val="clear"/>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kern w:val="0"/>
          <w:sz w:val="32"/>
          <w:szCs w:val="32"/>
          <w:highlight w:val="none"/>
          <w:lang w:eastAsia="zh-CN"/>
        </w:rPr>
      </w:pPr>
      <w:r>
        <w:rPr>
          <w:rFonts w:hint="eastAsia" w:ascii="楷体_GB2312" w:hAnsi="Calibri" w:eastAsia="楷体_GB2312" w:cs="Arial"/>
          <w:b/>
          <w:bCs/>
          <w:color w:val="auto"/>
          <w:kern w:val="0"/>
          <w:sz w:val="32"/>
          <w:szCs w:val="32"/>
          <w:highlight w:val="none"/>
        </w:rPr>
        <w:t>（三）噪声方面</w:t>
      </w:r>
      <w:r>
        <w:rPr>
          <w:rFonts w:hint="eastAsia" w:ascii="楷体_GB2312" w:hAnsi="Calibri" w:eastAsia="楷体_GB2312" w:cs="Arial"/>
          <w:b/>
          <w:bCs/>
          <w:color w:val="auto"/>
          <w:kern w:val="0"/>
          <w:sz w:val="32"/>
          <w:szCs w:val="32"/>
          <w:highlight w:val="none"/>
          <w:lang w:eastAsia="zh-CN"/>
        </w:rPr>
        <w:t>。</w:t>
      </w:r>
    </w:p>
    <w:p w14:paraId="1631BD41">
      <w:pPr>
        <w:keepNext w:val="0"/>
        <w:keepLines w:val="0"/>
        <w:pageBreakBefore w:val="0"/>
        <w:widowControl w:val="0"/>
        <w:shd w:val="clear"/>
        <w:kinsoku/>
        <w:wordWrap/>
        <w:overflowPunct/>
        <w:topLinePunct w:val="0"/>
        <w:autoSpaceDE w:val="0"/>
        <w:autoSpaceDN w:val="0"/>
        <w:bidi w:val="0"/>
        <w:adjustRightInd w:val="0"/>
        <w:snapToGrid/>
        <w:spacing w:line="560" w:lineRule="exact"/>
        <w:ind w:firstLine="640" w:firstLineChars="200"/>
        <w:jc w:val="both"/>
        <w:textAlignment w:val="auto"/>
        <w:rPr>
          <w:rFonts w:hint="default" w:ascii="仿宋_GB2312" w:hAnsi="Calibri" w:eastAsia="仿宋_GB2312" w:cs="Arial"/>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施工期加强运输车辆管理，采取减速慢行、禁止鸣笛等措施，采用基础减震、隔声和吸声等措施，选用低噪声设备，设备安装基础敷设减振垫层和阻尼涂料，减轻噪声污染。施工期执行《建筑施工场界环境噪声排放标准》（GB12523-2011）。</w:t>
      </w:r>
    </w:p>
    <w:p w14:paraId="66872328">
      <w:pPr>
        <w:keepNext w:val="0"/>
        <w:keepLines w:val="0"/>
        <w:pageBreakBefore w:val="0"/>
        <w:widowControl w:val="0"/>
        <w:shd w:val="clear"/>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rPr>
      </w:pPr>
      <w:r>
        <w:rPr>
          <w:rFonts w:hint="eastAsia" w:ascii="楷体_GB2312" w:hAnsi="Calibri" w:eastAsia="楷体_GB2312" w:cs="Arial"/>
          <w:b/>
          <w:bCs/>
          <w:color w:val="auto"/>
          <w:sz w:val="32"/>
          <w:szCs w:val="32"/>
          <w:highlight w:val="none"/>
        </w:rPr>
        <w:t>（四）固废方面。</w:t>
      </w:r>
    </w:p>
    <w:p w14:paraId="458E8FE3">
      <w:pPr>
        <w:keepNext w:val="0"/>
        <w:keepLines w:val="0"/>
        <w:pageBreakBefore w:val="0"/>
        <w:widowControl w:val="0"/>
        <w:shd w:val="clear"/>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Calibri" w:eastAsia="仿宋_GB2312" w:cs="Arial"/>
          <w:color w:val="auto"/>
          <w:sz w:val="32"/>
          <w:szCs w:val="32"/>
          <w:highlight w:val="none"/>
          <w:lang w:val="en-US" w:eastAsia="zh-CN"/>
        </w:rPr>
        <w:t>施工期</w:t>
      </w:r>
      <w:r>
        <w:rPr>
          <w:rFonts w:hint="eastAsia" w:ascii="仿宋_GB2312" w:hAnsi="Calibri" w:eastAsia="仿宋_GB2312" w:cs="Arial"/>
          <w:color w:val="auto"/>
          <w:sz w:val="32"/>
          <w:szCs w:val="32"/>
          <w:highlight w:val="none"/>
        </w:rPr>
        <w:t>产生的弃土、弃料</w:t>
      </w:r>
      <w:r>
        <w:rPr>
          <w:rFonts w:hint="eastAsia" w:ascii="仿宋_GB2312" w:hAnsi="Calibri" w:eastAsia="仿宋_GB2312" w:cs="Arial"/>
          <w:color w:val="auto"/>
          <w:sz w:val="32"/>
          <w:szCs w:val="32"/>
          <w:highlight w:val="none"/>
          <w:lang w:val="en-US" w:eastAsia="zh-CN"/>
        </w:rPr>
        <w:t>等随产随清</w:t>
      </w:r>
      <w:r>
        <w:rPr>
          <w:rFonts w:hint="eastAsia" w:ascii="仿宋_GB2312" w:hAnsi="Calibri" w:eastAsia="仿宋_GB2312" w:cs="Arial"/>
          <w:color w:val="auto"/>
          <w:sz w:val="32"/>
          <w:szCs w:val="32"/>
          <w:highlight w:val="none"/>
        </w:rPr>
        <w:t>，</w:t>
      </w:r>
      <w:r>
        <w:rPr>
          <w:rFonts w:hint="eastAsia" w:ascii="仿宋_GB2312" w:hAnsi="Calibri" w:eastAsia="仿宋_GB2312" w:cs="Arial"/>
          <w:color w:val="auto"/>
          <w:sz w:val="32"/>
          <w:szCs w:val="32"/>
          <w:highlight w:val="none"/>
          <w:lang w:eastAsia="zh-CN"/>
        </w:rPr>
        <w:t>及时回收综合利用</w:t>
      </w:r>
      <w:r>
        <w:rPr>
          <w:rFonts w:hint="eastAsia" w:ascii="仿宋_GB2312" w:hAnsi="Calibri" w:eastAsia="仿宋_GB2312" w:cs="Arial"/>
          <w:color w:val="auto"/>
          <w:sz w:val="32"/>
          <w:szCs w:val="32"/>
          <w:highlight w:val="none"/>
          <w:lang w:val="en-US" w:eastAsia="zh-CN"/>
        </w:rPr>
        <w:t>或</w:t>
      </w:r>
      <w:r>
        <w:rPr>
          <w:rFonts w:hint="eastAsia" w:ascii="仿宋_GB2312" w:hAnsi="Calibri" w:eastAsia="仿宋_GB2312" w:cs="Arial"/>
          <w:color w:val="auto"/>
          <w:sz w:val="32"/>
          <w:szCs w:val="32"/>
          <w:highlight w:val="none"/>
        </w:rPr>
        <w:t>及时清运至</w:t>
      </w:r>
      <w:r>
        <w:rPr>
          <w:rFonts w:hint="eastAsia" w:ascii="仿宋_GB2312" w:eastAsia="仿宋_GB2312" w:cs="Arial"/>
          <w:color w:val="auto"/>
          <w:sz w:val="32"/>
          <w:szCs w:val="32"/>
          <w:highlight w:val="none"/>
          <w:lang w:val="en-US" w:eastAsia="zh-CN"/>
        </w:rPr>
        <w:t>正规处置场所；产生的钻井泥浆、岩屑等一般固废交由东乌珠穆沁旗海河土石方工程有限公司拉运处置；废料桶由厂家回收处理；</w:t>
      </w:r>
      <w:r>
        <w:rPr>
          <w:rFonts w:hint="eastAsia" w:ascii="仿宋_GB2312" w:hAnsi="Calibri" w:eastAsia="仿宋_GB2312" w:cs="Arial"/>
          <w:color w:val="auto"/>
          <w:sz w:val="32"/>
          <w:szCs w:val="32"/>
          <w:highlight w:val="none"/>
          <w:lang w:val="en-US" w:eastAsia="zh-CN"/>
        </w:rPr>
        <w:t>产生的</w:t>
      </w:r>
      <w:r>
        <w:rPr>
          <w:rFonts w:hint="eastAsia" w:ascii="仿宋_GB2312" w:hAnsi="Calibri" w:eastAsia="仿宋_GB2312" w:cs="Arial"/>
          <w:color w:val="auto"/>
          <w:sz w:val="32"/>
          <w:szCs w:val="32"/>
          <w:highlight w:val="none"/>
        </w:rPr>
        <w:t>生活垃圾集中收集后</w:t>
      </w:r>
      <w:r>
        <w:rPr>
          <w:rFonts w:hint="default" w:ascii="仿宋_GB2312" w:hAnsi="Calibri" w:eastAsia="仿宋_GB2312" w:cs="Arial"/>
          <w:color w:val="auto"/>
          <w:sz w:val="32"/>
          <w:szCs w:val="32"/>
          <w:highlight w:val="none"/>
          <w:lang w:eastAsia="zh-CN"/>
        </w:rPr>
        <w:t>规范处置</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严格</w:t>
      </w:r>
      <w:r>
        <w:rPr>
          <w:rFonts w:hint="eastAsia" w:ascii="仿宋_GB2312" w:hAnsi="仿宋_GB2312" w:eastAsia="仿宋_GB2312" w:cs="仿宋_GB2312"/>
          <w:color w:val="auto"/>
          <w:sz w:val="32"/>
          <w:szCs w:val="32"/>
          <w:highlight w:val="none"/>
        </w:rPr>
        <w:t>执行《一般工业固体废物贮存和填埋污染控制标准》（GB18599-20</w:t>
      </w:r>
      <w:r>
        <w:rPr>
          <w:rFonts w:hint="eastAsia" w:ascii="仿宋_GB2312" w:hAnsi="仿宋_GB2312" w:eastAsia="仿宋_GB2312" w:cs="仿宋_GB2312"/>
          <w:color w:val="auto"/>
          <w:sz w:val="32"/>
          <w:szCs w:val="32"/>
          <w:highlight w:val="none"/>
          <w:lang w:val="en-US" w:eastAsia="zh-CN"/>
        </w:rPr>
        <w:t>20</w:t>
      </w:r>
      <w:r>
        <w:rPr>
          <w:rFonts w:hint="eastAsia" w:ascii="仿宋_GB2312" w:hAnsi="仿宋_GB2312" w:eastAsia="仿宋_GB2312" w:cs="仿宋_GB2312"/>
          <w:color w:val="auto"/>
          <w:sz w:val="32"/>
          <w:szCs w:val="32"/>
          <w:highlight w:val="none"/>
        </w:rPr>
        <w:t>）</w:t>
      </w:r>
      <w:r>
        <w:rPr>
          <w:rFonts w:hint="eastAsia" w:ascii="仿宋_GB2312" w:eastAsia="仿宋_GB2312" w:cs="Arial"/>
          <w:color w:val="auto"/>
          <w:sz w:val="32"/>
          <w:szCs w:val="32"/>
          <w:highlight w:val="none"/>
          <w:lang w:val="en-US" w:eastAsia="zh-CN"/>
        </w:rPr>
        <w:t>。施工期产生的落地油、油泥（砂）、废防渗材料等危险废物委托有资质的单位进行处置，严格执行《危险废物贮存污染控制标准》（GB18597-2023）、危险废物转移联单制度等相关法律法规及管理要求，张贴危险废物标识，建立危险废物台账，如实记载危险废物种类、数量、性质、产生环节、流向、贮存、利用处置等信息。</w:t>
      </w:r>
    </w:p>
    <w:p w14:paraId="70505458">
      <w:pPr>
        <w:keepNext w:val="0"/>
        <w:keepLines w:val="0"/>
        <w:pageBreakBefore w:val="0"/>
        <w:widowControl w:val="0"/>
        <w:shd w:val="clear"/>
        <w:kinsoku/>
        <w:wordWrap/>
        <w:overflowPunct/>
        <w:topLinePunct w:val="0"/>
        <w:autoSpaceDE w:val="0"/>
        <w:autoSpaceDN w:val="0"/>
        <w:bidi w:val="0"/>
        <w:adjustRightInd w:val="0"/>
        <w:snapToGrid/>
        <w:spacing w:line="560" w:lineRule="exact"/>
        <w:ind w:firstLine="643" w:firstLineChars="200"/>
        <w:textAlignment w:val="auto"/>
        <w:rPr>
          <w:rFonts w:hint="eastAsia" w:ascii="楷体_GB2312" w:hAnsi="Calibri" w:eastAsia="楷体_GB2312" w:cs="Arial"/>
          <w:b/>
          <w:bCs/>
          <w:color w:val="auto"/>
          <w:sz w:val="32"/>
          <w:szCs w:val="32"/>
          <w:highlight w:val="none"/>
          <w:lang w:val="en-US" w:eastAsia="zh-CN"/>
        </w:rPr>
      </w:pPr>
      <w:r>
        <w:rPr>
          <w:rFonts w:hint="eastAsia" w:ascii="楷体_GB2312" w:hAnsi="Calibri" w:eastAsia="楷体_GB2312" w:cs="Arial"/>
          <w:b/>
          <w:bCs/>
          <w:color w:val="auto"/>
          <w:sz w:val="32"/>
          <w:szCs w:val="32"/>
          <w:highlight w:val="none"/>
        </w:rPr>
        <w:t>（</w:t>
      </w:r>
      <w:r>
        <w:rPr>
          <w:rFonts w:hint="eastAsia" w:ascii="楷体_GB2312" w:hAnsi="Calibri" w:eastAsia="楷体_GB2312" w:cs="Arial"/>
          <w:b/>
          <w:bCs/>
          <w:color w:val="auto"/>
          <w:sz w:val="32"/>
          <w:szCs w:val="32"/>
          <w:highlight w:val="none"/>
          <w:lang w:val="en-US" w:eastAsia="zh-CN"/>
        </w:rPr>
        <w:t>五</w:t>
      </w:r>
      <w:r>
        <w:rPr>
          <w:rFonts w:hint="eastAsia" w:ascii="楷体_GB2312" w:hAnsi="Calibri" w:eastAsia="楷体_GB2312" w:cs="Arial"/>
          <w:b/>
          <w:bCs/>
          <w:color w:val="auto"/>
          <w:sz w:val="32"/>
          <w:szCs w:val="32"/>
          <w:highlight w:val="none"/>
        </w:rPr>
        <w:t>）</w:t>
      </w:r>
      <w:r>
        <w:rPr>
          <w:rFonts w:hint="eastAsia" w:ascii="楷体_GB2312" w:hAnsi="Calibri" w:eastAsia="楷体_GB2312" w:cs="Arial"/>
          <w:b/>
          <w:bCs/>
          <w:color w:val="auto"/>
          <w:sz w:val="32"/>
          <w:szCs w:val="32"/>
          <w:highlight w:val="none"/>
          <w:lang w:val="en-US" w:eastAsia="zh-CN"/>
        </w:rPr>
        <w:t>生态保护</w:t>
      </w:r>
      <w:r>
        <w:rPr>
          <w:rFonts w:hint="eastAsia" w:ascii="楷体_GB2312" w:hAnsi="Calibri" w:eastAsia="楷体_GB2312" w:cs="Arial"/>
          <w:b/>
          <w:bCs/>
          <w:color w:val="auto"/>
          <w:sz w:val="32"/>
          <w:szCs w:val="32"/>
          <w:highlight w:val="none"/>
        </w:rPr>
        <w:t>方面</w:t>
      </w:r>
      <w:r>
        <w:rPr>
          <w:rFonts w:hint="eastAsia" w:ascii="楷体_GB2312" w:hAnsi="Calibri" w:eastAsia="楷体_GB2312" w:cs="Arial"/>
          <w:b/>
          <w:bCs/>
          <w:color w:val="auto"/>
          <w:sz w:val="32"/>
          <w:szCs w:val="32"/>
          <w:highlight w:val="none"/>
          <w:lang w:eastAsia="zh-CN"/>
        </w:rPr>
        <w:t>。</w:t>
      </w:r>
    </w:p>
    <w:p w14:paraId="02A7CE2C">
      <w:pPr>
        <w:keepNext w:val="0"/>
        <w:keepLines w:val="0"/>
        <w:pageBreakBefore w:val="0"/>
        <w:widowControl w:val="0"/>
        <w:shd w:val="clear"/>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highlight w:val="none"/>
          <w:lang w:val="en-US" w:eastAsia="zh-CN"/>
        </w:rPr>
        <w:t>施工期剥离表土单独堆存，施工完成后对</w:t>
      </w:r>
      <w:r>
        <w:rPr>
          <w:rFonts w:hint="eastAsia" w:ascii="仿宋_GB2312" w:hAnsi="仿宋_GB2312" w:eastAsia="仿宋_GB2312" w:cs="仿宋_GB2312"/>
          <w:sz w:val="32"/>
          <w:szCs w:val="32"/>
          <w:highlight w:val="none"/>
        </w:rPr>
        <w:t>临时占地进行植被恢复，优先使用原生表土和乡土物种，恢复植被和土壤</w:t>
      </w:r>
      <w:r>
        <w:rPr>
          <w:rFonts w:hint="eastAsia" w:ascii="仿宋_GB2312" w:hAnsi="仿宋_GB2312" w:eastAsia="仿宋_GB2312" w:cs="仿宋_GB2312"/>
          <w:sz w:val="32"/>
          <w:szCs w:val="32"/>
          <w:highlight w:val="none"/>
          <w:lang w:val="en-US" w:eastAsia="zh-CN"/>
        </w:rPr>
        <w:t>。</w:t>
      </w:r>
    </w:p>
    <w:p w14:paraId="4AA74BA2">
      <w:pPr>
        <w:keepNext w:val="0"/>
        <w:keepLines w:val="0"/>
        <w:pageBreakBefore w:val="0"/>
        <w:widowControl w:val="0"/>
        <w:numPr>
          <w:ilvl w:val="0"/>
          <w:numId w:val="1"/>
        </w:numPr>
        <w:kinsoku/>
        <w:wordWrap/>
        <w:overflowPunct/>
        <w:topLinePunct w:val="0"/>
        <w:autoSpaceDE w:val="0"/>
        <w:autoSpaceDN w:val="0"/>
        <w:bidi w:val="0"/>
        <w:adjustRightInd w:val="0"/>
        <w:snapToGrid/>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执行“三同时”制度</w:t>
      </w:r>
    </w:p>
    <w:p w14:paraId="1A3F4A4C">
      <w:pPr>
        <w:keepNext w:val="0"/>
        <w:keepLines w:val="0"/>
        <w:pageBreakBefore w:val="0"/>
        <w:widowControl w:val="0"/>
        <w:numPr>
          <w:ilvl w:val="0"/>
          <w:numId w:val="0"/>
        </w:numPr>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本项目建设必须严格执行生态环境保护设施与主体工程同时设计、同时施工、同时投产使用的生态环境保护“三同时”制度。</w:t>
      </w:r>
    </w:p>
    <w:p w14:paraId="5D0C9246">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（一）要将生态环境保护措施纳入初步设计报告并落实环保设施投资概算。</w:t>
      </w:r>
    </w:p>
    <w:p w14:paraId="59EB69CD">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（二）要将生态环境保护设施建设纳入施工合同，保证生态环境保护设施建设进度和资金。</w:t>
      </w:r>
    </w:p>
    <w:p w14:paraId="4E167FAF">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（三）项目竣工后须按规定程序实施竣工环境保护验收，验收合格后方可正式投运。</w:t>
      </w:r>
    </w:p>
    <w:p w14:paraId="52680C22">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黑体" w:hAnsi="黑体" w:eastAsia="黑体" w:cs="Arial"/>
          <w:color w:val="auto"/>
          <w:sz w:val="32"/>
          <w:szCs w:val="32"/>
          <w:highlight w:val="none"/>
        </w:rPr>
      </w:pPr>
      <w:r>
        <w:rPr>
          <w:rFonts w:hint="eastAsia" w:ascii="黑体" w:hAnsi="黑体" w:eastAsia="黑体" w:cs="Arial"/>
          <w:color w:val="auto"/>
          <w:sz w:val="32"/>
          <w:szCs w:val="32"/>
          <w:highlight w:val="none"/>
        </w:rPr>
        <w:t>四、其他要求</w:t>
      </w:r>
    </w:p>
    <w:p w14:paraId="08CE5E1E">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东乌珠穆沁旗生态环境综合行政执法大队对该项目建设期间及运行期间各项生态环境保护措施落实情况进行监督检查和管理。</w:t>
      </w:r>
    </w:p>
    <w:p w14:paraId="0B7B8004">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p>
    <w:p w14:paraId="3D27FB97">
      <w:pPr>
        <w:keepNext w:val="0"/>
        <w:keepLines w:val="0"/>
        <w:pageBreakBefore w:val="0"/>
        <w:widowControl w:val="0"/>
        <w:kinsoku/>
        <w:wordWrap/>
        <w:overflowPunct/>
        <w:topLinePunct w:val="0"/>
        <w:autoSpaceDE w:val="0"/>
        <w:autoSpaceDN w:val="0"/>
        <w:bidi w:val="0"/>
        <w:adjustRightInd w:val="0"/>
        <w:snapToGrid/>
        <w:spacing w:line="520" w:lineRule="exact"/>
        <w:ind w:firstLine="640" w:firstLineChars="200"/>
        <w:textAlignment w:val="auto"/>
        <w:rPr>
          <w:rFonts w:hint="eastAsia" w:ascii="仿宋_GB2312" w:hAnsi="Calibri" w:eastAsia="仿宋_GB2312" w:cs="Arial"/>
          <w:color w:val="auto"/>
          <w:sz w:val="32"/>
          <w:szCs w:val="32"/>
          <w:highlight w:val="none"/>
        </w:rPr>
      </w:pPr>
    </w:p>
    <w:p w14:paraId="27896F5A">
      <w:pPr>
        <w:keepNext w:val="0"/>
        <w:keepLines w:val="0"/>
        <w:pageBreakBefore w:val="0"/>
        <w:widowControl w:val="0"/>
        <w:kinsoku/>
        <w:wordWrap/>
        <w:overflowPunct/>
        <w:topLinePunct w:val="0"/>
        <w:autoSpaceDE w:val="0"/>
        <w:autoSpaceDN w:val="0"/>
        <w:bidi w:val="0"/>
        <w:adjustRightInd w:val="0"/>
        <w:snapToGrid/>
        <w:spacing w:line="560" w:lineRule="exact"/>
        <w:ind w:firstLine="4160" w:firstLineChars="1300"/>
        <w:textAlignment w:val="auto"/>
        <w:rPr>
          <w:rFonts w:hint="eastAsia" w:ascii="仿宋_GB2312" w:hAnsi="Calibri" w:eastAsia="仿宋_GB2312" w:cs="Arial"/>
          <w:color w:val="auto"/>
          <w:sz w:val="32"/>
          <w:szCs w:val="32"/>
          <w:highlight w:val="none"/>
        </w:rPr>
      </w:pPr>
      <w:r>
        <w:rPr>
          <w:rFonts w:hint="eastAsia" w:ascii="仿宋_GB2312" w:hAnsi="Calibri" w:eastAsia="仿宋_GB2312" w:cs="Arial"/>
          <w:color w:val="auto"/>
          <w:sz w:val="32"/>
          <w:szCs w:val="32"/>
          <w:highlight w:val="none"/>
        </w:rPr>
        <w:t>锡林郭勒盟生态环境局</w:t>
      </w:r>
    </w:p>
    <w:p w14:paraId="5153EA69">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default" w:ascii="仿宋_GB2312" w:hAnsi="Calibri" w:eastAsia="仿宋_GB2312" w:cs="Arial"/>
          <w:color w:val="auto"/>
          <w:sz w:val="32"/>
          <w:szCs w:val="32"/>
          <w:highlight w:val="none"/>
          <w:lang w:val="en-US" w:eastAsia="zh-CN"/>
        </w:rPr>
      </w:pPr>
      <w:r>
        <w:rPr>
          <w:rFonts w:hint="eastAsia" w:ascii="仿宋_GB2312" w:hAnsi="Calibri" w:eastAsia="仿宋_GB2312" w:cs="Arial"/>
          <w:color w:val="auto"/>
          <w:sz w:val="32"/>
          <w:szCs w:val="32"/>
          <w:highlight w:val="none"/>
        </w:rPr>
        <w:t xml:space="preserve">                  </w:t>
      </w:r>
      <w:r>
        <w:rPr>
          <w:rFonts w:hint="eastAsia" w:ascii="仿宋_GB2312" w:hAnsi="Calibri" w:eastAsia="仿宋_GB2312" w:cs="Arial"/>
          <w:color w:val="auto"/>
          <w:sz w:val="32"/>
          <w:szCs w:val="32"/>
          <w:highlight w:val="none"/>
          <w:lang w:eastAsia="zh-CN"/>
        </w:rPr>
        <w:t>202</w:t>
      </w:r>
      <w:r>
        <w:rPr>
          <w:rFonts w:hint="eastAsia" w:ascii="仿宋_GB2312" w:hAnsi="Calibri" w:eastAsia="仿宋_GB2312" w:cs="Arial"/>
          <w:color w:val="auto"/>
          <w:sz w:val="32"/>
          <w:szCs w:val="32"/>
          <w:highlight w:val="none"/>
          <w:lang w:val="en-US" w:eastAsia="zh-CN"/>
        </w:rPr>
        <w:t>5</w:t>
      </w:r>
      <w:r>
        <w:rPr>
          <w:rFonts w:hint="eastAsia" w:ascii="仿宋_GB2312" w:hAnsi="Calibri" w:eastAsia="仿宋_GB2312" w:cs="Arial"/>
          <w:color w:val="auto"/>
          <w:sz w:val="32"/>
          <w:szCs w:val="32"/>
          <w:highlight w:val="none"/>
          <w:lang w:eastAsia="zh-CN"/>
        </w:rPr>
        <w:t>年</w:t>
      </w:r>
      <w:r>
        <w:rPr>
          <w:rFonts w:hint="eastAsia" w:ascii="仿宋_GB2312" w:hAnsi="Calibri" w:eastAsia="仿宋_GB2312" w:cs="Arial"/>
          <w:color w:val="auto"/>
          <w:sz w:val="32"/>
          <w:szCs w:val="32"/>
          <w:highlight w:val="none"/>
          <w:lang w:val="en-US" w:eastAsia="zh-CN"/>
        </w:rPr>
        <w:t>9</w:t>
      </w:r>
      <w:r>
        <w:rPr>
          <w:rFonts w:hint="eastAsia" w:ascii="仿宋_GB2312" w:hAnsi="Calibri" w:eastAsia="仿宋_GB2312" w:cs="Arial"/>
          <w:color w:val="auto"/>
          <w:sz w:val="32"/>
          <w:szCs w:val="32"/>
          <w:highlight w:val="none"/>
          <w:lang w:eastAsia="zh-CN"/>
        </w:rPr>
        <w:t>月</w:t>
      </w:r>
      <w:r>
        <w:rPr>
          <w:rFonts w:hint="eastAsia" w:ascii="仿宋_GB2312" w:hAnsi="Calibri" w:eastAsia="仿宋_GB2312" w:cs="Arial"/>
          <w:color w:val="auto"/>
          <w:sz w:val="32"/>
          <w:szCs w:val="32"/>
          <w:highlight w:val="none"/>
          <w:lang w:val="en-US" w:eastAsia="zh-CN"/>
        </w:rPr>
        <w:t>9</w:t>
      </w:r>
      <w:r>
        <w:rPr>
          <w:rFonts w:hint="eastAsia" w:ascii="仿宋_GB2312" w:hAnsi="Calibri" w:eastAsia="仿宋_GB2312" w:cs="Arial"/>
          <w:color w:val="auto"/>
          <w:sz w:val="32"/>
          <w:szCs w:val="32"/>
          <w:highlight w:val="none"/>
          <w:lang w:eastAsia="zh-CN"/>
        </w:rPr>
        <w:t>日</w:t>
      </w:r>
      <w:bookmarkStart w:id="1" w:name="_GoBack"/>
      <w:bookmarkEnd w:id="1"/>
    </w:p>
    <w:p w14:paraId="10A42233">
      <w:pPr>
        <w:keepNext w:val="0"/>
        <w:keepLines w:val="0"/>
        <w:pageBreakBefore w:val="0"/>
        <w:widowControl w:val="0"/>
        <w:kinsoku/>
        <w:wordWrap/>
        <w:overflowPunct/>
        <w:topLinePunct w:val="0"/>
        <w:autoSpaceDE w:val="0"/>
        <w:autoSpaceDN w:val="0"/>
        <w:bidi w:val="0"/>
        <w:adjustRightInd w:val="0"/>
        <w:spacing w:line="560" w:lineRule="exact"/>
        <w:ind w:firstLine="640" w:firstLineChars="200"/>
        <w:jc w:val="center"/>
        <w:rPr>
          <w:rFonts w:hint="default" w:ascii="仿宋_GB2312" w:hAnsi="Calibri" w:eastAsia="仿宋_GB2312" w:cs="Arial"/>
          <w:color w:val="auto"/>
          <w:sz w:val="32"/>
          <w:szCs w:val="32"/>
          <w:highlight w:val="none"/>
          <w:lang w:val="en-US" w:eastAsia="zh-CN"/>
        </w:rPr>
      </w:pPr>
    </w:p>
    <w:p w14:paraId="0CA625FD">
      <w:pPr>
        <w:keepNext w:val="0"/>
        <w:keepLines w:val="0"/>
        <w:pageBreakBefore w:val="0"/>
        <w:widowControl w:val="0"/>
        <w:kinsoku/>
        <w:wordWrap/>
        <w:overflowPunct/>
        <w:topLinePunct w:val="0"/>
        <w:autoSpaceDE/>
        <w:autoSpaceDN/>
        <w:bidi w:val="0"/>
        <w:adjustRightInd/>
        <w:spacing w:line="560" w:lineRule="exact"/>
        <w:jc w:val="both"/>
        <w:textAlignment w:val="auto"/>
        <w:rPr>
          <w:rFonts w:hint="default" w:ascii="仿宋_GB2312" w:hAnsi="仿宋_GB2312" w:eastAsia="仿宋_GB2312" w:cs="仿宋_GB2312"/>
          <w:color w:val="auto"/>
          <w:kern w:val="2"/>
          <w:sz w:val="24"/>
          <w:szCs w:val="24"/>
          <w:highlight w:val="none"/>
          <w:lang w:val="en-US" w:eastAsia="zh-CN" w:bidi="ar-SA"/>
        </w:rPr>
      </w:pPr>
      <w:r>
        <w:rPr>
          <w:rFonts w:hint="eastAsia" w:ascii="仿宋_GB2312" w:hAnsi="仿宋_GB2312" w:eastAsia="仿宋_GB2312" w:cs="仿宋_GB2312"/>
          <w:color w:val="auto"/>
          <w:kern w:val="2"/>
          <w:sz w:val="24"/>
          <w:szCs w:val="24"/>
          <w:highlight w:val="none"/>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25400</wp:posOffset>
                </wp:positionV>
                <wp:extent cx="5220335" cy="10795"/>
                <wp:effectExtent l="0" t="4445" r="18415" b="13335"/>
                <wp:wrapNone/>
                <wp:docPr id="12" name="直接箭头连接符 12"/>
                <wp:cNvGraphicFramePr/>
                <a:graphic xmlns:a="http://schemas.openxmlformats.org/drawingml/2006/main">
                  <a:graphicData uri="http://schemas.microsoft.com/office/word/2010/wordprocessingShape">
                    <wps:wsp>
                      <wps:cNvCnPr/>
                      <wps:spPr>
                        <a:xfrm flipV="1">
                          <a:off x="0" y="0"/>
                          <a:ext cx="5220335" cy="1079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pt;height:0.85pt;width:411.05pt;z-index:251659264;mso-width-relative:page;mso-height-relative:page;" filled="f" stroked="t" coordsize="21600,21600" o:gfxdata="UEsDBAoAAAAAAIdO4kAAAAAAAAAAAAAAAAAEAAAAZHJzL1BLAwQUAAAACACHTuJAy7qnlNUAAAAF&#10;AQAADwAAAGRycy9kb3ducmV2LnhtbE2PQUvDQBCF74L/YRnBS7GbxFRLzKQHodegUfA6zU6TYHY3&#10;ZLdt9Nc7nvQ0PN7jvW/K3WJHdeY5DN4hpOsEFLvWm8F1CO9v+7stqBDJGRq9Y4QvDrCrrq9KKoy/&#10;uFc+N7FTUuJCQQh9jFOhdWh7thTWfmIn3tHPlqLIudNmpouU21FnSfKgLQ1OFnqa+Lnn9rM5WYQP&#10;G5fxZbUZjnU+rcL3fd3Qvka8vUmTJ1CRl/gXhl98QYdKmA7+5ExQI0Imn0SEXI642yxPQR0QNo+g&#10;q1L/p69+AFBLAwQUAAAACACHTuJAQnHRWwsCAAAGBAAADgAAAGRycy9lMm9Eb2MueG1srVO9jhMx&#10;EO6ReAfLPdlNonCwyuaKhKNBEImf3rG9u5b8J4+TTV6CF0CiAiqO6nqeBo7HYOwNAY4mBS6ssWfm&#10;m/k+j+eXe6PJTgZQztZ0PCopkZY7oWxb09evrh48ogQis4JpZ2VNDxLo5eL+vXnvKzlxndNCBoIg&#10;Fqre17SL0VdFAbyThsHIeWnR2bhgWMRjaAsRWI/oRheTsnxY9C4IHxyXAHi7Gpz0iBjOAXRNo7hc&#10;Ob410sYBNUjNIlKCTnmgi9xt00geXzQNyEh0TZFpzDsWQXuT9mIxZ1UbmO8UP7bAzmnhDifDlMWi&#10;J6gVi4xsg/oHyigeHLgmjrgzxUAkK4IsxuUdbV52zMvMBaUGfxId/h8sf75bB6IETsKEEssMvvjt&#10;u5vvbz/efrn+9uHmx9f3yf78iaAfxeo9VJiztOtwPIFfh8R83wRDGq38G8TKWiA7ss9SH05Sy30k&#10;HC9nk0k5nc4o4egblxePZwm9GGASnA8Qn0pnSDJqCjEw1XZx6azFR3VhKMF2zyAOib8SUrK2pK/p&#10;dHyRCjAc0gaHA03jkSjYNrcHTitxpbROGRDazVIHsmNpUPI6NvRXWCqyYtANcdmVwlgV3NaKbHWS&#10;iSdWkHjwqKXFP0RTM0YKSrTEL5esHBmZ0udEoiraojhJ+0HtZG2cOORHyPc4Hlm+4yin+fvznLN/&#10;f9/F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Mu6p5TVAAAABQEAAA8AAAAAAAAAAQAgAAAAIgAA&#10;AGRycy9kb3ducmV2LnhtbFBLAQIUABQAAAAIAIdO4kBCcdFbCwIAAAYEAAAOAAAAAAAAAAEAIAAA&#10;ACQBAABkcnMvZTJvRG9jLnhtbFBLBQYAAAAABgAGAFkBAAChBQ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color w:val="auto"/>
          <w:kern w:val="2"/>
          <w:sz w:val="24"/>
          <w:szCs w:val="24"/>
          <w:highlight w:val="none"/>
          <w:lang w:val="en-US" w:eastAsia="zh-CN" w:bidi="ar-SA"/>
        </w:rPr>
        <w:t>抄送：盟生态环境综合行政执法支队       盟生态环境局东乌珠穆沁旗分局</w:t>
      </w:r>
    </w:p>
    <w:p w14:paraId="68A44406">
      <w:pPr>
        <w:pStyle w:val="3"/>
        <w:keepNext w:val="0"/>
        <w:keepLines w:val="0"/>
        <w:pageBreakBefore w:val="0"/>
        <w:widowControl w:val="0"/>
        <w:pBdr>
          <w:top w:val="single" w:color="auto" w:sz="4" w:space="0"/>
          <w:bottom w:val="single" w:color="auto" w:sz="4" w:space="0"/>
        </w:pBdr>
        <w:kinsoku/>
        <w:wordWrap/>
        <w:overflowPunct/>
        <w:topLinePunct w:val="0"/>
        <w:autoSpaceDE/>
        <w:autoSpaceDN/>
        <w:bidi w:val="0"/>
        <w:adjustRightInd/>
        <w:spacing w:before="62" w:beforeLines="20" w:line="560" w:lineRule="exact"/>
        <w:jc w:val="both"/>
        <w:textAlignment w:val="auto"/>
        <w:rPr>
          <w:rFonts w:ascii="Calibri" w:hAnsi="Calibri" w:eastAsia="宋体" w:cs="Arial"/>
          <w:color w:val="auto"/>
          <w:szCs w:val="21"/>
          <w:highlight w:val="none"/>
        </w:rPr>
      </w:pPr>
      <w:r>
        <w:rPr>
          <w:rFonts w:hint="eastAsia" w:ascii="仿宋_GB2312" w:hAnsi="仿宋_GB2312" w:eastAsia="仿宋_GB2312" w:cs="仿宋_GB2312"/>
          <w:color w:val="auto"/>
          <w:kern w:val="2"/>
          <w:sz w:val="28"/>
          <w:szCs w:val="28"/>
          <w:highlight w:val="none"/>
          <w:lang w:val="en-US" w:eastAsia="zh-CN" w:bidi="ar-SA"/>
        </w:rPr>
        <w:t>锡林郭勒盟生态环境局办公室             2025年9月9日印发</w:t>
      </w:r>
    </w:p>
    <w:p w14:paraId="4ACD6116">
      <w:pPr>
        <w:ind w:firstLine="210" w:firstLineChars="100"/>
        <w:rPr>
          <w:highlight w:val="none"/>
        </w:rPr>
      </w:pPr>
    </w:p>
    <w:sectPr>
      <w:footerReference r:id="rId3" w:type="default"/>
      <w:pgSz w:w="11906" w:h="16838"/>
      <w:pgMar w:top="2098" w:right="1474" w:bottom="1984" w:left="158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0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8EABC">
    <w:pPr>
      <w:pStyle w:val="3"/>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9BF903">
                          <w:pPr>
                            <w:pStyle w:val="3"/>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49BF903">
                    <w:pPr>
                      <w:pStyle w:val="3"/>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t xml:space="preserve"> —</w:t>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4EC8A4">
                          <w:pPr>
                            <w:pStyle w:val="3"/>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624EC8A4">
                    <w:pPr>
                      <w:pStyle w:val="3"/>
                      <w:rPr>
                        <w:rFonts w:hint="eastAsia" w:asciiTheme="minorEastAsia" w:hAnsiTheme="minorEastAsia" w:eastAsiaTheme="minorEastAsia" w:cstheme="minorEastAsia"/>
                        <w:sz w:val="28"/>
                        <w:szCs w:val="28"/>
                      </w:rPr>
                    </w:pP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071382">
                          <w:pPr>
                            <w:rPr>
                              <w:rFonts w:hint="eastAsi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62071382">
                    <w:pPr>
                      <w:rPr>
                        <w:rFonts w:hint="eastAsia"/>
                      </w:rPr>
                    </w:pP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56E0BA">
                          <w:pPr>
                            <w:pStyle w:val="3"/>
                            <w:rPr>
                              <w:rFonts w:hint="eastAsia" w:asciiTheme="minorEastAsia" w:hAnsiTheme="minorEastAsia" w:eastAsiaTheme="minorEastAsia" w:cstheme="minorEastAsia"/>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6256E0BA">
                    <w:pPr>
                      <w:pStyle w:val="3"/>
                      <w:rPr>
                        <w:rFonts w:hint="eastAsia" w:asciiTheme="minorEastAsia" w:hAnsiTheme="minorEastAsia" w:eastAsiaTheme="minorEastAsia" w:cstheme="minorEastAsia"/>
                        <w:sz w:val="28"/>
                        <w:szCs w:val="28"/>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018EB6"/>
    <w:multiLevelType w:val="singleLevel"/>
    <w:tmpl w:val="3B018EB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1685F"/>
    <w:rsid w:val="00FF362D"/>
    <w:rsid w:val="01246D1A"/>
    <w:rsid w:val="014B4068"/>
    <w:rsid w:val="01D134FA"/>
    <w:rsid w:val="03C94DF8"/>
    <w:rsid w:val="04BC5D9C"/>
    <w:rsid w:val="05882122"/>
    <w:rsid w:val="05E7509A"/>
    <w:rsid w:val="07B90CB8"/>
    <w:rsid w:val="080261BB"/>
    <w:rsid w:val="08397703"/>
    <w:rsid w:val="088766C0"/>
    <w:rsid w:val="09102D8D"/>
    <w:rsid w:val="09615163"/>
    <w:rsid w:val="0CF63E15"/>
    <w:rsid w:val="0D136775"/>
    <w:rsid w:val="0D980131"/>
    <w:rsid w:val="0E1E1CB4"/>
    <w:rsid w:val="0F5D6655"/>
    <w:rsid w:val="117143B2"/>
    <w:rsid w:val="118063A3"/>
    <w:rsid w:val="11EA01E5"/>
    <w:rsid w:val="125F420A"/>
    <w:rsid w:val="12C67865"/>
    <w:rsid w:val="13425D97"/>
    <w:rsid w:val="14682881"/>
    <w:rsid w:val="1A937147"/>
    <w:rsid w:val="1B1541F5"/>
    <w:rsid w:val="1B8151F1"/>
    <w:rsid w:val="1F463C49"/>
    <w:rsid w:val="1FD53DA5"/>
    <w:rsid w:val="1FE85B38"/>
    <w:rsid w:val="208E79CF"/>
    <w:rsid w:val="2100305C"/>
    <w:rsid w:val="2302130E"/>
    <w:rsid w:val="23BB613A"/>
    <w:rsid w:val="25CE54D7"/>
    <w:rsid w:val="26E52AD8"/>
    <w:rsid w:val="28221B0A"/>
    <w:rsid w:val="29424212"/>
    <w:rsid w:val="2AC84BEB"/>
    <w:rsid w:val="2AFA0B1C"/>
    <w:rsid w:val="2B553B0E"/>
    <w:rsid w:val="2BAB49C5"/>
    <w:rsid w:val="2BC639DD"/>
    <w:rsid w:val="2E075A2A"/>
    <w:rsid w:val="2E1F501B"/>
    <w:rsid w:val="2F282117"/>
    <w:rsid w:val="2F4F1437"/>
    <w:rsid w:val="2F6824F8"/>
    <w:rsid w:val="2F8F5CD7"/>
    <w:rsid w:val="2FA15A0A"/>
    <w:rsid w:val="30CD2F5B"/>
    <w:rsid w:val="30FD3114"/>
    <w:rsid w:val="310444A3"/>
    <w:rsid w:val="342F5CDB"/>
    <w:rsid w:val="34B166F0"/>
    <w:rsid w:val="34E268A9"/>
    <w:rsid w:val="35F766F6"/>
    <w:rsid w:val="38C073F1"/>
    <w:rsid w:val="39A53079"/>
    <w:rsid w:val="3A105C66"/>
    <w:rsid w:val="3B3836C7"/>
    <w:rsid w:val="3CAF1767"/>
    <w:rsid w:val="3DD84CED"/>
    <w:rsid w:val="3ECB598F"/>
    <w:rsid w:val="3EE04D72"/>
    <w:rsid w:val="41070D79"/>
    <w:rsid w:val="414601C0"/>
    <w:rsid w:val="415428DD"/>
    <w:rsid w:val="436F39FE"/>
    <w:rsid w:val="43BC6374"/>
    <w:rsid w:val="43E066A9"/>
    <w:rsid w:val="44641089"/>
    <w:rsid w:val="479F062A"/>
    <w:rsid w:val="47ED7875"/>
    <w:rsid w:val="496477F7"/>
    <w:rsid w:val="49D96075"/>
    <w:rsid w:val="4B552AA6"/>
    <w:rsid w:val="4B670384"/>
    <w:rsid w:val="4DE66FB2"/>
    <w:rsid w:val="50B213CE"/>
    <w:rsid w:val="5119144D"/>
    <w:rsid w:val="52EA0FEF"/>
    <w:rsid w:val="54603F5B"/>
    <w:rsid w:val="553B42E8"/>
    <w:rsid w:val="56391260"/>
    <w:rsid w:val="57995095"/>
    <w:rsid w:val="58006EC2"/>
    <w:rsid w:val="5A6C17A9"/>
    <w:rsid w:val="5AB10EDB"/>
    <w:rsid w:val="5C547A3A"/>
    <w:rsid w:val="5C666C4B"/>
    <w:rsid w:val="5D373EE0"/>
    <w:rsid w:val="5E2E29DB"/>
    <w:rsid w:val="5E714676"/>
    <w:rsid w:val="5E7C0CB8"/>
    <w:rsid w:val="5F096FA4"/>
    <w:rsid w:val="5F1F4CE5"/>
    <w:rsid w:val="5F623CFA"/>
    <w:rsid w:val="5F954394"/>
    <w:rsid w:val="5FA6467B"/>
    <w:rsid w:val="6235508F"/>
    <w:rsid w:val="62AC1363"/>
    <w:rsid w:val="62B94D98"/>
    <w:rsid w:val="641A4CCC"/>
    <w:rsid w:val="64DF78E7"/>
    <w:rsid w:val="671758A4"/>
    <w:rsid w:val="685A2794"/>
    <w:rsid w:val="691C1682"/>
    <w:rsid w:val="6AD42215"/>
    <w:rsid w:val="6B623CC4"/>
    <w:rsid w:val="6B8E4AB9"/>
    <w:rsid w:val="6BFF57BE"/>
    <w:rsid w:val="6D4D192F"/>
    <w:rsid w:val="6E387165"/>
    <w:rsid w:val="6F084B83"/>
    <w:rsid w:val="6F1E6154"/>
    <w:rsid w:val="6F55769C"/>
    <w:rsid w:val="6F9B4E77"/>
    <w:rsid w:val="716A30B7"/>
    <w:rsid w:val="72E12285"/>
    <w:rsid w:val="73A4210F"/>
    <w:rsid w:val="746F1200"/>
    <w:rsid w:val="752E4C17"/>
    <w:rsid w:val="77550B81"/>
    <w:rsid w:val="792E3203"/>
    <w:rsid w:val="7A342CD0"/>
    <w:rsid w:val="7ABD49D6"/>
    <w:rsid w:val="7B9559F0"/>
    <w:rsid w:val="7C111664"/>
    <w:rsid w:val="7D9F1960"/>
    <w:rsid w:val="7E633B84"/>
    <w:rsid w:val="7F34107C"/>
    <w:rsid w:val="7FDD17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semiHidden/>
    <w:qFormat/>
    <w:uiPriority w:val="0"/>
    <w:pPr>
      <w:jc w:val="left"/>
    </w:pPr>
    <w:rPr>
      <w:kern w:val="0"/>
      <w:sz w:val="24"/>
      <w:szCs w:val="20"/>
    </w:rPr>
  </w:style>
  <w:style w:type="paragraph" w:styleId="3">
    <w:name w:val="footer"/>
    <w:basedOn w:val="1"/>
    <w:next w:val="1"/>
    <w:semiHidden/>
    <w:unhideWhenUsed/>
    <w:qFormat/>
    <w:uiPriority w:val="99"/>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Body text|1"/>
    <w:basedOn w:val="1"/>
    <w:qFormat/>
    <w:uiPriority w:val="0"/>
    <w:pPr>
      <w:spacing w:line="449" w:lineRule="auto"/>
      <w:ind w:firstLine="400"/>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1634</Words>
  <Characters>1747</Characters>
  <Lines>0</Lines>
  <Paragraphs>0</Paragraphs>
  <TotalTime>56</TotalTime>
  <ScaleCrop>false</ScaleCrop>
  <LinksUpToDate>false</LinksUpToDate>
  <CharactersWithSpaces>1795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2024-12-19T02:59:00Z</dcterms:created>
  <dc:creator>Administrator</dc:creator>
  <cp:lastModifiedBy>sargai</cp:lastModifiedBy>
  <cp:lastPrinted>2025-07-28T02:04:00Z</cp:lastPrinted>
  <dcterms:modified xsi:type="dcterms:W3CDTF">2025-09-09T06:39:19Z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6EE36FE50BD148A0AE8BBF33FB773230_13</vt:lpwstr>
  </property>
  <property fmtid="{D5CDD505-2E9C-101B-9397-08002B2CF9AE}" pid="4" name="KSOTemplateDocerSaveRecord">
    <vt:lpwstr>eyJoZGlkIjoiNzQ5YzIwZGE2ZmU0ZDQ1NzU1ODA3Y2ZhM2Y3NzgzNmIiLCJ1c2VySWQiOiIyNzY5NTQ3NjAifQ==</vt:lpwstr>
  </property>
</Properties>
</file>