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B0E19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8D920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49B2D60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F67ACC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3247CF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9D84D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0DD50CB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D62AB3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9251D1C">
      <w:pPr>
        <w:keepNext w:val="0"/>
        <w:keepLines w:val="0"/>
        <w:pageBreakBefore w:val="0"/>
        <w:widowControl w:val="0"/>
        <w:kinsoku/>
        <w:wordWrap/>
        <w:overflowPunct/>
        <w:topLinePunct w:val="0"/>
        <w:bidi w:val="0"/>
        <w:snapToGrid w:val="0"/>
        <w:spacing w:line="560" w:lineRule="exact"/>
        <w:jc w:val="center"/>
        <w:rPr>
          <w:rFonts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东环审表</w:t>
      </w:r>
      <w:r>
        <w:rPr>
          <w:rFonts w:hint="eastAsia" w:ascii="仿宋_GB2312" w:hAnsi="黑体" w:eastAsia="仿宋_GB2312" w:cs="Arial"/>
          <w:color w:val="auto"/>
          <w:sz w:val="32"/>
          <w:szCs w:val="32"/>
          <w:highlight w:val="none"/>
        </w:rPr>
        <w:t>〔202</w:t>
      </w:r>
      <w:r>
        <w:rPr>
          <w:rFonts w:hint="eastAsia" w:ascii="仿宋_GB2312" w:hAnsi="黑体" w:eastAsia="仿宋_GB2312" w:cs="Arial"/>
          <w:color w:val="auto"/>
          <w:sz w:val="32"/>
          <w:szCs w:val="32"/>
          <w:highlight w:val="none"/>
          <w:lang w:val="en-US" w:eastAsia="zh-CN"/>
        </w:rPr>
        <w:t>5</w:t>
      </w:r>
      <w:r>
        <w:rPr>
          <w:rFonts w:hint="eastAsia" w:ascii="仿宋_GB2312" w:hAnsi="黑体" w:eastAsia="仿宋_GB2312" w:cs="Arial"/>
          <w:color w:val="auto"/>
          <w:sz w:val="32"/>
          <w:szCs w:val="32"/>
          <w:highlight w:val="none"/>
        </w:rPr>
        <w:t>〕</w:t>
      </w:r>
      <w:r>
        <w:rPr>
          <w:rFonts w:hint="eastAsia" w:ascii="仿宋_GB2312" w:hAnsi="黑体" w:eastAsia="仿宋_GB2312" w:cs="Arial"/>
          <w:color w:val="auto"/>
          <w:sz w:val="32"/>
          <w:szCs w:val="32"/>
          <w:highlight w:val="none"/>
          <w:lang w:val="en-US" w:eastAsia="zh-CN"/>
        </w:rPr>
        <w:t>21</w:t>
      </w:r>
      <w:r>
        <w:rPr>
          <w:rFonts w:hint="eastAsia" w:ascii="仿宋_GB2312" w:hAnsi="Calibri" w:eastAsia="仿宋_GB2312" w:cs="Arial"/>
          <w:color w:val="auto"/>
          <w:sz w:val="32"/>
          <w:szCs w:val="32"/>
          <w:highlight w:val="none"/>
        </w:rPr>
        <w:t xml:space="preserve">号   </w:t>
      </w:r>
    </w:p>
    <w:p w14:paraId="48EDA33E">
      <w:pPr>
        <w:keepNext w:val="0"/>
        <w:keepLines w:val="0"/>
        <w:pageBreakBefore w:val="0"/>
        <w:widowControl w:val="0"/>
        <w:kinsoku/>
        <w:wordWrap/>
        <w:overflowPunct/>
        <w:topLinePunct w:val="0"/>
        <w:bidi w:val="0"/>
        <w:snapToGrid w:val="0"/>
        <w:spacing w:line="560" w:lineRule="exact"/>
        <w:rPr>
          <w:rFonts w:hint="eastAsia" w:ascii="Calibri" w:hAnsi="Calibri" w:eastAsia="宋体" w:cs="Arial"/>
          <w:color w:val="auto"/>
          <w:sz w:val="44"/>
          <w:szCs w:val="44"/>
          <w:highlight w:val="none"/>
        </w:rPr>
      </w:pPr>
      <w:r>
        <w:rPr>
          <w:rFonts w:ascii="Calibri" w:hAnsi="Calibri" w:eastAsia="宋体" w:cs="Arial"/>
          <w:color w:val="auto"/>
          <w:sz w:val="28"/>
          <w:szCs w:val="28"/>
          <w:highlight w:val="none"/>
        </w:rPr>
        <w:t xml:space="preserve"> </w:t>
      </w:r>
    </w:p>
    <w:p w14:paraId="30939483">
      <w:pPr>
        <w:keepNext w:val="0"/>
        <w:keepLines w:val="0"/>
        <w:pageBreakBefore w:val="0"/>
        <w:widowControl w:val="0"/>
        <w:kinsoku/>
        <w:wordWrap/>
        <w:overflowPunct/>
        <w:topLinePunct w:val="0"/>
        <w:autoSpaceDE w:val="0"/>
        <w:bidi w:val="0"/>
        <w:spacing w:line="560" w:lineRule="exact"/>
        <w:jc w:val="center"/>
        <w:textAlignment w:val="baseline"/>
        <w:rPr>
          <w:rFonts w:hint="eastAsia" w:ascii="方正小标宋简体" w:hAnsi="Calibri" w:eastAsia="方正小标宋简体" w:cs="Arial"/>
          <w:color w:val="auto"/>
          <w:sz w:val="44"/>
          <w:szCs w:val="44"/>
          <w:highlight w:val="none"/>
        </w:rPr>
      </w:pPr>
      <w:r>
        <w:rPr>
          <w:rFonts w:hint="eastAsia" w:ascii="方正小标宋简体" w:hAnsi="Calibri" w:eastAsia="方正小标宋简体" w:cs="Arial"/>
          <w:color w:val="auto"/>
          <w:sz w:val="44"/>
          <w:szCs w:val="44"/>
          <w:highlight w:val="none"/>
        </w:rPr>
        <w:t>锡林郭勒盟生态环境局</w:t>
      </w:r>
    </w:p>
    <w:p w14:paraId="745B315E">
      <w:pPr>
        <w:keepNext w:val="0"/>
        <w:keepLines w:val="0"/>
        <w:pageBreakBefore w:val="0"/>
        <w:widowControl w:val="0"/>
        <w:kinsoku/>
        <w:wordWrap/>
        <w:overflowPunct/>
        <w:topLinePunct w:val="0"/>
        <w:autoSpaceDE w:val="0"/>
        <w:bidi w:val="0"/>
        <w:spacing w:line="560" w:lineRule="exact"/>
        <w:jc w:val="center"/>
        <w:textAlignment w:val="baseline"/>
        <w:rPr>
          <w:rFonts w:hint="eastAsia" w:ascii="方正小标宋简体" w:hAnsi="Calibri" w:eastAsia="方正小标宋简体" w:cs="Arial"/>
          <w:color w:val="auto"/>
          <w:sz w:val="44"/>
          <w:szCs w:val="44"/>
          <w:highlight w:val="none"/>
        </w:rPr>
      </w:pPr>
      <w:bookmarkStart w:id="0" w:name="OLE_LINK1"/>
      <w:r>
        <w:rPr>
          <w:rFonts w:hint="eastAsia" w:ascii="方正小标宋简体" w:hAnsi="Calibri" w:eastAsia="方正小标宋简体" w:cs="Arial"/>
          <w:color w:val="auto"/>
          <w:sz w:val="44"/>
          <w:szCs w:val="44"/>
          <w:highlight w:val="none"/>
        </w:rPr>
        <w:t>关于</w:t>
      </w:r>
      <w:r>
        <w:rPr>
          <w:rFonts w:hint="eastAsia" w:ascii="方正小标宋简体" w:hAnsi="Calibri" w:eastAsia="方正小标宋简体" w:cs="Arial"/>
          <w:color w:val="auto"/>
          <w:sz w:val="44"/>
          <w:szCs w:val="44"/>
          <w:highlight w:val="none"/>
          <w:lang w:val="en-US" w:eastAsia="zh-CN"/>
        </w:rPr>
        <w:t>5000吨/年废矿物油收集储存建设项目</w:t>
      </w:r>
      <w:r>
        <w:rPr>
          <w:rFonts w:hint="eastAsia" w:ascii="方正小标宋简体" w:hAnsi="Calibri" w:eastAsia="方正小标宋简体" w:cs="Arial"/>
          <w:color w:val="auto"/>
          <w:sz w:val="44"/>
          <w:szCs w:val="44"/>
          <w:highlight w:val="none"/>
        </w:rPr>
        <w:t xml:space="preserve">环境影响报告表的批复 </w:t>
      </w:r>
    </w:p>
    <w:bookmarkEnd w:id="0"/>
    <w:p w14:paraId="5C50DEFA">
      <w:pPr>
        <w:keepNext w:val="0"/>
        <w:keepLines w:val="0"/>
        <w:pageBreakBefore w:val="0"/>
        <w:widowControl w:val="0"/>
        <w:kinsoku/>
        <w:wordWrap/>
        <w:overflowPunct/>
        <w:topLinePunct w:val="0"/>
        <w:bidi w:val="0"/>
        <w:adjustRightInd w:val="0"/>
        <w:snapToGrid w:val="0"/>
        <w:spacing w:line="560" w:lineRule="exact"/>
        <w:jc w:val="left"/>
        <w:rPr>
          <w:rFonts w:hint="eastAsia" w:ascii="仿宋_GB2312" w:hAnsi="Calibri" w:eastAsia="仿宋_GB2312" w:cs="Arial"/>
          <w:color w:val="auto"/>
          <w:sz w:val="36"/>
          <w:szCs w:val="36"/>
          <w:highlight w:val="none"/>
        </w:rPr>
      </w:pPr>
      <w:r>
        <w:rPr>
          <w:rFonts w:hint="eastAsia" w:ascii="方正小标宋简体" w:hAnsi="Calibri" w:eastAsia="方正小标宋简体" w:cs="Arial"/>
          <w:color w:val="auto"/>
          <w:sz w:val="44"/>
          <w:szCs w:val="44"/>
          <w:highlight w:val="none"/>
          <w:lang w:val="en-US" w:eastAsia="zh-CN"/>
        </w:rPr>
        <w:t xml:space="preserve"> </w:t>
      </w:r>
      <w:r>
        <w:rPr>
          <w:rFonts w:hint="eastAsia" w:ascii="仿宋_GB2312" w:hAnsi="Calibri" w:eastAsia="仿宋_GB2312" w:cs="Arial"/>
          <w:color w:val="auto"/>
          <w:sz w:val="36"/>
          <w:szCs w:val="36"/>
          <w:highlight w:val="none"/>
        </w:rPr>
        <w:t xml:space="preserve"> </w:t>
      </w:r>
    </w:p>
    <w:p w14:paraId="0B963E6F">
      <w:pPr>
        <w:keepNext w:val="0"/>
        <w:keepLines w:val="0"/>
        <w:pageBreakBefore w:val="0"/>
        <w:widowControl w:val="0"/>
        <w:kinsoku/>
        <w:wordWrap/>
        <w:overflowPunct/>
        <w:topLinePunct w:val="0"/>
        <w:autoSpaceDN/>
        <w:bidi w:val="0"/>
        <w:spacing w:line="520" w:lineRule="exact"/>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内蒙古科旭环保科技有限公司</w:t>
      </w:r>
      <w:r>
        <w:rPr>
          <w:rFonts w:hint="eastAsia" w:ascii="仿宋_GB2312" w:hAnsi="仿宋_GB2312" w:eastAsia="仿宋_GB2312" w:cs="仿宋_GB2312"/>
          <w:color w:val="auto"/>
          <w:sz w:val="32"/>
          <w:szCs w:val="32"/>
          <w:highlight w:val="none"/>
        </w:rPr>
        <w:t>:</w:t>
      </w:r>
    </w:p>
    <w:p w14:paraId="5597E2B4">
      <w:pPr>
        <w:keepNext w:val="0"/>
        <w:keepLines w:val="0"/>
        <w:pageBreakBefore w:val="0"/>
        <w:widowControl w:val="0"/>
        <w:kinsoku/>
        <w:wordWrap/>
        <w:overflowPunct/>
        <w:topLinePunct w:val="0"/>
        <w:autoSpaceDE w:val="0"/>
        <w:autoSpaceDN/>
        <w:bidi w:val="0"/>
        <w:adjustRightInd w:val="0"/>
        <w:snapToGrid w:val="0"/>
        <w:spacing w:line="52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Cs/>
          <w:color w:val="auto"/>
          <w:sz w:val="32"/>
          <w:szCs w:val="32"/>
          <w:highlight w:val="none"/>
        </w:rPr>
        <w:t>你公司委托锡林郭勒盟</w:t>
      </w:r>
      <w:r>
        <w:rPr>
          <w:rFonts w:hint="eastAsia" w:ascii="仿宋_GB2312" w:hAnsi="仿宋_GB2312" w:eastAsia="仿宋_GB2312" w:cs="仿宋_GB2312"/>
          <w:bCs/>
          <w:color w:val="auto"/>
          <w:sz w:val="32"/>
          <w:szCs w:val="32"/>
          <w:highlight w:val="none"/>
          <w:lang w:val="en-US" w:eastAsia="zh-CN"/>
        </w:rPr>
        <w:t>中安环境技术咨询</w:t>
      </w:r>
      <w:r>
        <w:rPr>
          <w:rFonts w:hint="eastAsia" w:ascii="仿宋_GB2312" w:hAnsi="仿宋_GB2312" w:eastAsia="仿宋_GB2312" w:cs="仿宋_GB2312"/>
          <w:bCs/>
          <w:color w:val="auto"/>
          <w:sz w:val="32"/>
          <w:szCs w:val="32"/>
          <w:highlight w:val="none"/>
        </w:rPr>
        <w:t>有限</w:t>
      </w:r>
      <w:r>
        <w:rPr>
          <w:rFonts w:hint="eastAsia" w:ascii="仿宋_GB2312" w:hAnsi="仿宋_GB2312" w:eastAsia="仿宋_GB2312" w:cs="仿宋_GB2312"/>
          <w:bCs/>
          <w:color w:val="auto"/>
          <w:sz w:val="32"/>
          <w:szCs w:val="32"/>
          <w:highlight w:val="none"/>
          <w:lang w:val="en-US" w:eastAsia="zh-CN"/>
        </w:rPr>
        <w:t>责任</w:t>
      </w:r>
      <w:r>
        <w:rPr>
          <w:rFonts w:hint="eastAsia" w:ascii="仿宋_GB2312" w:hAnsi="仿宋_GB2312" w:eastAsia="仿宋_GB2312" w:cs="仿宋_GB2312"/>
          <w:bCs/>
          <w:color w:val="auto"/>
          <w:sz w:val="32"/>
          <w:szCs w:val="32"/>
          <w:highlight w:val="none"/>
        </w:rPr>
        <w:t>公司编制的《</w:t>
      </w:r>
      <w:r>
        <w:rPr>
          <w:rFonts w:hint="eastAsia" w:ascii="仿宋_GB2312" w:hAnsi="仿宋_GB2312" w:eastAsia="仿宋_GB2312" w:cs="仿宋_GB2312"/>
          <w:bCs/>
          <w:color w:val="auto"/>
          <w:sz w:val="32"/>
          <w:szCs w:val="32"/>
          <w:highlight w:val="none"/>
          <w:lang w:val="en-US" w:eastAsia="zh-CN"/>
        </w:rPr>
        <w:t>5000吨/年废矿物油收集储存建设项目</w:t>
      </w:r>
      <w:r>
        <w:rPr>
          <w:rFonts w:hint="eastAsia" w:ascii="仿宋_GB2312" w:hAnsi="仿宋_GB2312" w:eastAsia="仿宋_GB2312" w:cs="仿宋_GB2312"/>
          <w:bCs/>
          <w:color w:val="auto"/>
          <w:sz w:val="32"/>
          <w:szCs w:val="32"/>
          <w:highlight w:val="none"/>
        </w:rPr>
        <w:t>环境影响报告表</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已</w:t>
      </w:r>
      <w:r>
        <w:rPr>
          <w:rFonts w:hint="eastAsia" w:ascii="仿宋_GB2312" w:hAnsi="仿宋_GB2312" w:eastAsia="仿宋_GB2312" w:cs="仿宋_GB2312"/>
          <w:color w:val="auto"/>
          <w:sz w:val="32"/>
          <w:szCs w:val="32"/>
          <w:highlight w:val="none"/>
        </w:rPr>
        <w:t>收悉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依据《锡林郭勒盟生态环境局关于委托实施行政许可事项的通知》（锡署环字〔2021〕41号），现批复如下</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 xml:space="preserve">   </w:t>
      </w:r>
    </w:p>
    <w:p w14:paraId="676C3D2C">
      <w:pPr>
        <w:keepNext w:val="0"/>
        <w:keepLines w:val="0"/>
        <w:pageBreakBefore w:val="0"/>
        <w:widowControl w:val="0"/>
        <w:kinsoku/>
        <w:wordWrap/>
        <w:overflowPunct/>
        <w:topLinePunct w:val="0"/>
        <w:autoSpaceDE w:val="0"/>
        <w:autoSpaceDN/>
        <w:bidi w:val="0"/>
        <w:adjustRightInd w:val="0"/>
        <w:snapToGrid w:val="0"/>
        <w:spacing w:line="52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一、建设项目基本情况</w:t>
      </w:r>
    </w:p>
    <w:p w14:paraId="0F8E80A7">
      <w:pPr>
        <w:keepNext w:val="0"/>
        <w:keepLines w:val="0"/>
        <w:pageBreakBefore w:val="0"/>
        <w:widowControl w:val="0"/>
        <w:kinsoku/>
        <w:wordWrap/>
        <w:overflowPunct/>
        <w:topLinePunct w:val="0"/>
        <w:bidi w:val="0"/>
        <w:spacing w:line="560" w:lineRule="exact"/>
        <w:ind w:firstLine="640" w:firstLineChars="200"/>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lang w:val="en-US" w:eastAsia="zh-CN"/>
        </w:rPr>
        <w:t>本项目位于内蒙古自治区锡林郭勒盟东乌珠穆沁旗乌里雅斯太镇东乌珠穆沁旗明阳成电控开关有限公司院内，地理坐标为东经：117°0′57.761″北纬：45°29′59.312″，属于新建项目，总占地面积为500m</w:t>
      </w:r>
      <w:r>
        <w:rPr>
          <w:rFonts w:hint="eastAsia" w:ascii="仿宋_GB2312" w:hAnsi="仿宋_GB2312" w:eastAsia="仿宋_GB2312" w:cs="仿宋_GB2312"/>
          <w:bCs/>
          <w:color w:val="auto"/>
          <w:sz w:val="32"/>
          <w:szCs w:val="32"/>
          <w:highlight w:val="none"/>
          <w:vertAlign w:val="superscript"/>
          <w:lang w:val="en-US" w:eastAsia="zh-CN"/>
        </w:rPr>
        <w:t>2</w:t>
      </w:r>
      <w:r>
        <w:rPr>
          <w:rFonts w:hint="eastAsia" w:ascii="仿宋_GB2312" w:hAnsi="仿宋_GB2312" w:eastAsia="仿宋_GB2312" w:cs="仿宋_GB2312"/>
          <w:bCs/>
          <w:color w:val="auto"/>
          <w:sz w:val="32"/>
          <w:szCs w:val="32"/>
          <w:highlight w:val="none"/>
          <w:lang w:val="en-US" w:eastAsia="zh-CN"/>
        </w:rPr>
        <w:t>。主体工程为储罐区，全封闭钢架棚结构，占地面积200m</w:t>
      </w:r>
      <w:r>
        <w:rPr>
          <w:rFonts w:hint="eastAsia" w:ascii="仿宋_GB2312" w:hAnsi="仿宋_GB2312" w:eastAsia="仿宋_GB2312" w:cs="仿宋_GB2312"/>
          <w:bCs/>
          <w:color w:val="auto"/>
          <w:sz w:val="32"/>
          <w:szCs w:val="32"/>
          <w:highlight w:val="none"/>
          <w:vertAlign w:val="superscript"/>
          <w:lang w:val="en-US" w:eastAsia="zh-CN"/>
        </w:rPr>
        <w:t>2</w:t>
      </w:r>
      <w:r>
        <w:rPr>
          <w:rFonts w:hint="eastAsia" w:ascii="仿宋_GB2312" w:hAnsi="仿宋_GB2312" w:eastAsia="仿宋_GB2312" w:cs="仿宋_GB2312"/>
          <w:bCs/>
          <w:color w:val="auto"/>
          <w:sz w:val="32"/>
          <w:szCs w:val="32"/>
          <w:highlight w:val="none"/>
          <w:vertAlign w:val="baseline"/>
          <w:lang w:val="en-US" w:eastAsia="zh-CN"/>
        </w:rPr>
        <w:t>，设置3个卧式钢质储油罐，每个储罐容积为37.5m</w:t>
      </w:r>
      <w:r>
        <w:rPr>
          <w:rFonts w:hint="eastAsia" w:ascii="仿宋_GB2312" w:hAnsi="仿宋_GB2312" w:eastAsia="仿宋_GB2312" w:cs="仿宋_GB2312"/>
          <w:bCs/>
          <w:color w:val="auto"/>
          <w:sz w:val="32"/>
          <w:szCs w:val="32"/>
          <w:highlight w:val="none"/>
          <w:vertAlign w:val="superscript"/>
          <w:lang w:val="en-US" w:eastAsia="zh-CN"/>
        </w:rPr>
        <w:t>3</w:t>
      </w:r>
      <w:r>
        <w:rPr>
          <w:rFonts w:hint="eastAsia" w:ascii="仿宋_GB2312" w:hAnsi="仿宋_GB2312" w:eastAsia="仿宋_GB2312" w:cs="仿宋_GB2312"/>
          <w:bCs/>
          <w:color w:val="auto"/>
          <w:sz w:val="32"/>
          <w:szCs w:val="32"/>
          <w:highlight w:val="none"/>
          <w:vertAlign w:val="baseline"/>
          <w:lang w:val="en-US" w:eastAsia="zh-CN"/>
        </w:rPr>
        <w:t>，最大贮存量65.56t</w:t>
      </w:r>
      <w:r>
        <w:rPr>
          <w:rFonts w:hint="eastAsia" w:ascii="仿宋_GB2312" w:hAnsi="仿宋_GB2312" w:eastAsia="仿宋_GB2312" w:cs="仿宋_GB2312"/>
          <w:bCs/>
          <w:color w:val="auto"/>
          <w:sz w:val="32"/>
          <w:szCs w:val="32"/>
          <w:highlight w:val="none"/>
          <w:lang w:val="en-US" w:eastAsia="zh-CN"/>
        </w:rPr>
        <w:t>;辅助工程为导流沟（截面积为0.1m×0.1m，连接事故池）、围堰（高度为1m，总容积为200m</w:t>
      </w:r>
      <w:r>
        <w:rPr>
          <w:rFonts w:hint="eastAsia" w:ascii="仿宋_GB2312" w:hAnsi="仿宋_GB2312" w:eastAsia="仿宋_GB2312" w:cs="仿宋_GB2312"/>
          <w:bCs/>
          <w:color w:val="auto"/>
          <w:sz w:val="32"/>
          <w:szCs w:val="32"/>
          <w:highlight w:val="none"/>
          <w:vertAlign w:val="superscript"/>
          <w:lang w:val="en-US" w:eastAsia="zh-CN"/>
        </w:rPr>
        <w:t>3</w:t>
      </w:r>
      <w:r>
        <w:rPr>
          <w:rFonts w:hint="eastAsia" w:ascii="仿宋_GB2312" w:hAnsi="仿宋_GB2312" w:eastAsia="仿宋_GB2312" w:cs="仿宋_GB2312"/>
          <w:bCs/>
          <w:color w:val="auto"/>
          <w:sz w:val="32"/>
          <w:szCs w:val="32"/>
          <w:highlight w:val="none"/>
          <w:lang w:val="en-US" w:eastAsia="zh-CN"/>
        </w:rPr>
        <w:t>）、办公区、事故池（容积为150m</w:t>
      </w:r>
      <w:r>
        <w:rPr>
          <w:rFonts w:hint="eastAsia" w:ascii="仿宋_GB2312" w:hAnsi="仿宋_GB2312" w:eastAsia="仿宋_GB2312" w:cs="仿宋_GB2312"/>
          <w:bCs/>
          <w:color w:val="auto"/>
          <w:sz w:val="32"/>
          <w:szCs w:val="32"/>
          <w:highlight w:val="none"/>
          <w:vertAlign w:val="superscript"/>
          <w:lang w:val="en-US" w:eastAsia="zh-CN"/>
        </w:rPr>
        <w:t>3</w:t>
      </w:r>
      <w:r>
        <w:rPr>
          <w:rFonts w:hint="eastAsia" w:ascii="仿宋_GB2312" w:hAnsi="仿宋_GB2312" w:eastAsia="仿宋_GB2312" w:cs="仿宋_GB2312"/>
          <w:bCs/>
          <w:color w:val="auto"/>
          <w:sz w:val="32"/>
          <w:szCs w:val="32"/>
          <w:highlight w:val="none"/>
          <w:lang w:val="en-US" w:eastAsia="zh-CN"/>
        </w:rPr>
        <w:t>）、初期雨水池（容积为30m</w:t>
      </w:r>
      <w:r>
        <w:rPr>
          <w:rFonts w:hint="eastAsia" w:ascii="仿宋_GB2312" w:hAnsi="仿宋_GB2312" w:eastAsia="仿宋_GB2312" w:cs="仿宋_GB2312"/>
          <w:bCs/>
          <w:color w:val="auto"/>
          <w:sz w:val="32"/>
          <w:szCs w:val="32"/>
          <w:highlight w:val="none"/>
          <w:vertAlign w:val="superscript"/>
          <w:lang w:val="en-US" w:eastAsia="zh-CN"/>
        </w:rPr>
        <w:t>3</w:t>
      </w:r>
      <w:r>
        <w:rPr>
          <w:rFonts w:hint="eastAsia" w:ascii="仿宋_GB2312" w:hAnsi="仿宋_GB2312" w:eastAsia="仿宋_GB2312" w:cs="仿宋_GB2312"/>
          <w:bCs/>
          <w:color w:val="auto"/>
          <w:sz w:val="32"/>
          <w:szCs w:val="32"/>
          <w:highlight w:val="none"/>
          <w:lang w:val="en-US" w:eastAsia="zh-CN"/>
        </w:rPr>
        <w:t>）、卸油池（加盖地埋式，容积为1.5m</w:t>
      </w:r>
      <w:r>
        <w:rPr>
          <w:rFonts w:hint="eastAsia" w:ascii="仿宋_GB2312" w:hAnsi="仿宋_GB2312" w:eastAsia="仿宋_GB2312" w:cs="仿宋_GB2312"/>
          <w:bCs/>
          <w:color w:val="auto"/>
          <w:sz w:val="32"/>
          <w:szCs w:val="32"/>
          <w:highlight w:val="none"/>
          <w:vertAlign w:val="superscript"/>
          <w:lang w:val="en-US" w:eastAsia="zh-CN"/>
        </w:rPr>
        <w:t>3</w:t>
      </w:r>
      <w:r>
        <w:rPr>
          <w:rFonts w:hint="eastAsia" w:ascii="仿宋_GB2312" w:hAnsi="仿宋_GB2312" w:eastAsia="仿宋_GB2312" w:cs="仿宋_GB2312"/>
          <w:bCs/>
          <w:color w:val="auto"/>
          <w:sz w:val="32"/>
          <w:szCs w:val="32"/>
          <w:highlight w:val="none"/>
          <w:lang w:val="en-US" w:eastAsia="zh-CN"/>
        </w:rPr>
        <w:t>，玻璃钢材质）、厂区道路（混凝土硬化）、消防设施储存间、磅房、危废暂存间；公用工程为供电系统、供暖系统、供水系统。总投资50</w:t>
      </w:r>
      <w:r>
        <w:rPr>
          <w:rFonts w:hint="eastAsia" w:ascii="仿宋_GB2312" w:hAnsi="仿宋_GB2312" w:eastAsia="仿宋_GB2312" w:cs="仿宋_GB2312"/>
          <w:bCs/>
          <w:color w:val="auto"/>
          <w:sz w:val="32"/>
          <w:szCs w:val="32"/>
          <w:highlight w:val="none"/>
        </w:rPr>
        <w:t>万元，环保投资</w:t>
      </w:r>
      <w:r>
        <w:rPr>
          <w:rFonts w:hint="eastAsia" w:ascii="仿宋_GB2312" w:hAnsi="仿宋_GB2312" w:eastAsia="仿宋_GB2312" w:cs="仿宋_GB2312"/>
          <w:color w:val="auto"/>
          <w:sz w:val="32"/>
          <w:szCs w:val="32"/>
          <w:highlight w:val="none"/>
          <w:lang w:val="en-US" w:eastAsia="zh-CN"/>
        </w:rPr>
        <w:t>30</w:t>
      </w:r>
      <w:r>
        <w:rPr>
          <w:rFonts w:hint="eastAsia" w:ascii="仿宋_GB2312" w:hAnsi="仿宋_GB2312" w:eastAsia="仿宋_GB2312" w:cs="仿宋_GB2312"/>
          <w:bCs/>
          <w:color w:val="auto"/>
          <w:sz w:val="32"/>
          <w:szCs w:val="32"/>
          <w:highlight w:val="none"/>
        </w:rPr>
        <w:t>万元</w:t>
      </w:r>
      <w:r>
        <w:rPr>
          <w:rFonts w:hint="eastAsia" w:ascii="仿宋_GB2312" w:hAnsi="仿宋_GB2312" w:eastAsia="仿宋_GB2312" w:cs="仿宋_GB2312"/>
          <w:bCs/>
          <w:color w:val="auto"/>
          <w:sz w:val="32"/>
          <w:szCs w:val="32"/>
          <w:highlight w:val="none"/>
          <w:lang w:eastAsia="zh-CN"/>
        </w:rPr>
        <w:t>，</w:t>
      </w:r>
      <w:r>
        <w:rPr>
          <w:rFonts w:hint="eastAsia" w:ascii="仿宋_GB2312" w:hAnsi="仿宋_GB2312" w:eastAsia="仿宋_GB2312" w:cs="仿宋_GB2312"/>
          <w:bCs/>
          <w:color w:val="auto"/>
          <w:sz w:val="32"/>
          <w:szCs w:val="32"/>
          <w:highlight w:val="none"/>
        </w:rPr>
        <w:t>占总投资的</w:t>
      </w:r>
      <w:r>
        <w:rPr>
          <w:rFonts w:hint="eastAsia" w:ascii="仿宋_GB2312" w:hAnsi="仿宋_GB2312" w:eastAsia="仿宋_GB2312" w:cs="仿宋_GB2312"/>
          <w:color w:val="auto"/>
          <w:sz w:val="32"/>
          <w:szCs w:val="32"/>
          <w:highlight w:val="none"/>
          <w:lang w:val="en-US" w:eastAsia="zh-CN"/>
        </w:rPr>
        <w:t>60</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bCs/>
          <w:color w:val="auto"/>
          <w:sz w:val="32"/>
          <w:szCs w:val="32"/>
          <w:highlight w:val="none"/>
        </w:rPr>
        <w:t>。</w:t>
      </w:r>
      <w:bookmarkStart w:id="1" w:name="_GoBack"/>
      <w:bookmarkEnd w:id="1"/>
    </w:p>
    <w:p w14:paraId="290BDC4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GB" w:eastAsia="zh-CN"/>
        </w:rPr>
        <w:t>依</w:t>
      </w:r>
      <w:r>
        <w:rPr>
          <w:rFonts w:hint="eastAsia" w:ascii="仿宋_GB2312" w:hAnsi="仿宋_GB2312" w:eastAsia="仿宋_GB2312" w:cs="仿宋_GB2312"/>
          <w:color w:val="auto"/>
          <w:sz w:val="32"/>
          <w:szCs w:val="32"/>
          <w:highlight w:val="none"/>
          <w:lang w:val="en-GB"/>
        </w:rPr>
        <w:t>据《产业结构调整指导目录》(20</w:t>
      </w:r>
      <w:r>
        <w:rPr>
          <w:rFonts w:hint="eastAsia" w:ascii="仿宋_GB2312" w:hAnsi="仿宋_GB2312" w:eastAsia="仿宋_GB2312" w:cs="仿宋_GB2312"/>
          <w:color w:val="auto"/>
          <w:sz w:val="32"/>
          <w:szCs w:val="32"/>
          <w:highlight w:val="none"/>
          <w:lang w:val="en-US" w:eastAsia="zh-CN"/>
        </w:rPr>
        <w:t>24</w:t>
      </w:r>
      <w:r>
        <w:rPr>
          <w:rFonts w:hint="eastAsia" w:ascii="仿宋_GB2312" w:hAnsi="仿宋_GB2312" w:eastAsia="仿宋_GB2312" w:cs="仿宋_GB2312"/>
          <w:color w:val="auto"/>
          <w:sz w:val="32"/>
          <w:szCs w:val="32"/>
          <w:highlight w:val="none"/>
          <w:lang w:val="en-GB"/>
        </w:rPr>
        <w:t>年本)，本项目</w:t>
      </w:r>
      <w:r>
        <w:rPr>
          <w:rFonts w:hint="eastAsia" w:ascii="仿宋_GB2312" w:hAnsi="仿宋_GB2312" w:eastAsia="仿宋_GB2312" w:cs="仿宋_GB2312"/>
          <w:color w:val="auto"/>
          <w:sz w:val="32"/>
          <w:szCs w:val="32"/>
          <w:highlight w:val="none"/>
          <w:lang w:val="en-US" w:eastAsia="zh-CN"/>
        </w:rPr>
        <w:t>不属于目录中鼓励类、限制类和淘汰类项目，视为允许类建设项目。</w:t>
      </w:r>
      <w:r>
        <w:rPr>
          <w:rFonts w:hint="eastAsia" w:ascii="仿宋_GB2312" w:hAnsi="仿宋_GB2312" w:eastAsia="仿宋_GB2312" w:cs="仿宋_GB2312"/>
          <w:color w:val="auto"/>
          <w:sz w:val="32"/>
          <w:szCs w:val="32"/>
          <w:highlight w:val="none"/>
          <w:lang w:val="en-GB" w:eastAsia="zh-CN"/>
        </w:rPr>
        <w:t>符合</w:t>
      </w:r>
      <w:r>
        <w:rPr>
          <w:rFonts w:hint="eastAsia" w:ascii="仿宋_GB2312" w:hAnsi="仿宋_GB2312" w:eastAsia="仿宋_GB2312" w:cs="仿宋_GB2312"/>
          <w:color w:val="auto"/>
          <w:sz w:val="32"/>
          <w:szCs w:val="32"/>
          <w:highlight w:val="none"/>
          <w:lang w:val="en-US" w:eastAsia="zh-CN"/>
        </w:rPr>
        <w:t>国家相关法律法规，符合</w:t>
      </w:r>
      <w:r>
        <w:rPr>
          <w:rFonts w:hint="eastAsia" w:ascii="仿宋_GB2312" w:hAnsi="仿宋_GB2312" w:eastAsia="仿宋_GB2312" w:cs="仿宋_GB2312"/>
          <w:color w:val="auto"/>
          <w:sz w:val="32"/>
          <w:szCs w:val="32"/>
          <w:highlight w:val="none"/>
          <w:lang w:val="en-GB" w:eastAsia="zh-CN"/>
        </w:rPr>
        <w:t>国家产业政策要求</w:t>
      </w:r>
      <w:r>
        <w:rPr>
          <w:rFonts w:hint="eastAsia" w:ascii="仿宋_GB2312" w:hAnsi="仿宋_GB2312" w:eastAsia="仿宋_GB2312" w:cs="仿宋_GB2312"/>
          <w:color w:val="auto"/>
          <w:sz w:val="32"/>
          <w:szCs w:val="32"/>
          <w:highlight w:val="none"/>
          <w:lang w:val="en-US" w:eastAsia="zh-CN"/>
        </w:rPr>
        <w:t>及我盟“三线一单”管控要求。在全面落实《</w:t>
      </w:r>
      <w:r>
        <w:rPr>
          <w:rFonts w:hint="eastAsia" w:ascii="仿宋_GB2312" w:hAnsi="仿宋_GB2312" w:eastAsia="仿宋_GB2312" w:cs="仿宋_GB2312"/>
          <w:b w:val="0"/>
          <w:bCs/>
          <w:color w:val="auto"/>
          <w:sz w:val="32"/>
          <w:szCs w:val="32"/>
          <w:highlight w:val="none"/>
          <w:u w:val="none"/>
          <w:lang w:val="en-US" w:eastAsia="zh-CN"/>
        </w:rPr>
        <w:t>报告表</w:t>
      </w:r>
      <w:r>
        <w:rPr>
          <w:rFonts w:hint="eastAsia" w:ascii="仿宋_GB2312" w:hAnsi="仿宋_GB2312" w:eastAsia="仿宋_GB2312" w:cs="仿宋_GB2312"/>
          <w:color w:val="auto"/>
          <w:sz w:val="32"/>
          <w:szCs w:val="32"/>
          <w:highlight w:val="none"/>
          <w:lang w:val="en-US" w:eastAsia="zh-CN"/>
        </w:rPr>
        <w:t>》中提出的各项污染防治措施后，可使环境污染和生态破坏控制在允许范围内，从生态环境保护的角度分析，该项目建设可行。</w:t>
      </w:r>
    </w:p>
    <w:p w14:paraId="2D249FA8">
      <w:pPr>
        <w:keepNext w:val="0"/>
        <w:keepLines w:val="0"/>
        <w:pageBreakBefore w:val="0"/>
        <w:widowControl w:val="0"/>
        <w:kinsoku/>
        <w:wordWrap/>
        <w:overflowPunct/>
        <w:topLinePunct w:val="0"/>
        <w:bidi w:val="0"/>
        <w:spacing w:line="560" w:lineRule="exact"/>
        <w:ind w:firstLine="640" w:firstLineChars="200"/>
        <w:rPr>
          <w:rFonts w:hint="eastAsia" w:ascii="黑体" w:hAnsi="黑体" w:eastAsia="黑体" w:cs="Arial"/>
          <w:color w:val="auto"/>
          <w:sz w:val="32"/>
          <w:szCs w:val="32"/>
          <w:highlight w:val="none"/>
          <w:lang w:eastAsia="zh-CN"/>
        </w:rPr>
      </w:pPr>
      <w:r>
        <w:rPr>
          <w:rFonts w:hint="eastAsia" w:ascii="黑体" w:hAnsi="黑体" w:eastAsia="黑体" w:cs="Arial"/>
          <w:color w:val="auto"/>
          <w:sz w:val="32"/>
          <w:szCs w:val="32"/>
          <w:highlight w:val="none"/>
        </w:rPr>
        <w:t>二、项目建设</w:t>
      </w:r>
      <w:r>
        <w:rPr>
          <w:rFonts w:hint="eastAsia" w:ascii="黑体" w:hAnsi="黑体" w:eastAsia="黑体" w:cs="Arial"/>
          <w:color w:val="auto"/>
          <w:sz w:val="32"/>
          <w:szCs w:val="32"/>
          <w:highlight w:val="none"/>
          <w:lang w:val="en-US" w:eastAsia="zh-CN"/>
        </w:rPr>
        <w:t>及运营过程中的相关责任</w:t>
      </w:r>
    </w:p>
    <w:p w14:paraId="2F1F59E6">
      <w:pPr>
        <w:keepNext w:val="0"/>
        <w:keepLines w:val="0"/>
        <w:pageBreakBefore w:val="0"/>
        <w:widowControl w:val="0"/>
        <w:kinsoku/>
        <w:wordWrap/>
        <w:overflowPunct/>
        <w:topLinePunct w:val="0"/>
        <w:autoSpaceDE w:val="0"/>
        <w:autoSpaceDN w:val="0"/>
        <w:bidi w:val="0"/>
        <w:adjustRightInd w:val="0"/>
        <w:spacing w:line="560" w:lineRule="exact"/>
        <w:ind w:firstLine="643" w:firstLineChars="200"/>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（一）废气方面。</w:t>
      </w:r>
    </w:p>
    <w:p w14:paraId="58D22904">
      <w:pPr>
        <w:pStyle w:val="7"/>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eastAsia="仿宋_GB2312"/>
          <w:color w:val="auto"/>
          <w:sz w:val="32"/>
          <w:szCs w:val="32"/>
          <w:highlight w:val="none"/>
          <w:shd w:val="clear" w:color="auto" w:fill="FFFFFF"/>
          <w:lang w:val="en-US" w:eastAsia="zh-CN"/>
        </w:rPr>
      </w:pPr>
      <w:r>
        <w:rPr>
          <w:rFonts w:hint="eastAsia" w:ascii="仿宋_GB2312" w:eastAsia="仿宋_GB2312"/>
          <w:color w:val="auto"/>
          <w:sz w:val="32"/>
          <w:szCs w:val="32"/>
          <w:highlight w:val="none"/>
          <w:shd w:val="clear" w:color="auto" w:fill="FFFFFF"/>
          <w:lang w:val="en-US" w:eastAsia="zh-CN"/>
        </w:rPr>
        <w:t>施工期现场通过物料苫盖、施工场地和路面洒水降尘、车辆减速慢行、物料密闭运输、遇到恶劣天气禁止施工作业等措施，抑制施工扬尘污染。营运期确保储罐区封闭性，储罐区设置1套废气处理设施，密闭收集有机废气，废气经活性炭吸附处理达标后通过15m高排气筒排放。严格按照《大气污染物综合排放标准》（GB16297-1996）表2要求执行。</w:t>
      </w:r>
    </w:p>
    <w:p w14:paraId="6A196A56">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（二）废水方面。</w:t>
      </w:r>
    </w:p>
    <w:p w14:paraId="7B4C27FD">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eastAsia" w:ascii="仿宋_GB2312" w:hAnsi="Calibri" w:eastAsia="仿宋_GB2312" w:cs="Arial"/>
          <w:color w:val="auto"/>
          <w:sz w:val="32"/>
          <w:szCs w:val="32"/>
          <w:highlight w:val="none"/>
          <w:lang w:eastAsia="zh-CN"/>
        </w:rPr>
      </w:pPr>
      <w:r>
        <w:rPr>
          <w:rFonts w:hint="eastAsia" w:ascii="仿宋_GB2312" w:hAnsi="Calibri" w:eastAsia="仿宋_GB2312" w:cs="Arial"/>
          <w:bCs/>
          <w:color w:val="auto"/>
          <w:sz w:val="32"/>
          <w:szCs w:val="32"/>
          <w:highlight w:val="none"/>
        </w:rPr>
        <w:t>生活污水集中收集后</w:t>
      </w:r>
      <w:r>
        <w:rPr>
          <w:rFonts w:hint="eastAsia" w:ascii="仿宋_GB2312" w:hAnsi="Calibri" w:eastAsia="仿宋_GB2312" w:cs="Arial"/>
          <w:bCs/>
          <w:color w:val="auto"/>
          <w:sz w:val="32"/>
          <w:szCs w:val="32"/>
          <w:highlight w:val="none"/>
          <w:lang w:val="en-US" w:eastAsia="zh-CN"/>
        </w:rPr>
        <w:t>密闭</w:t>
      </w:r>
      <w:r>
        <w:rPr>
          <w:rFonts w:hint="eastAsia" w:ascii="仿宋_GB2312" w:hAnsi="Calibri" w:eastAsia="仿宋_GB2312" w:cs="Arial"/>
          <w:bCs/>
          <w:color w:val="auto"/>
          <w:sz w:val="32"/>
          <w:szCs w:val="32"/>
          <w:highlight w:val="none"/>
        </w:rPr>
        <w:t>罐车清运至东乌珠穆沁旗乌里雅斯太镇污水处理厂</w:t>
      </w:r>
      <w:r>
        <w:rPr>
          <w:rFonts w:hint="eastAsia" w:ascii="仿宋_GB2312" w:hAnsi="Calibri" w:eastAsia="仿宋_GB2312" w:cs="Arial"/>
          <w:bCs/>
          <w:color w:val="auto"/>
          <w:sz w:val="32"/>
          <w:szCs w:val="32"/>
          <w:highlight w:val="none"/>
          <w:lang w:val="en-US" w:eastAsia="zh-CN"/>
        </w:rPr>
        <w:t>进行</w:t>
      </w:r>
      <w:r>
        <w:rPr>
          <w:rFonts w:hint="eastAsia" w:ascii="仿宋_GB2312" w:hAnsi="Calibri" w:eastAsia="仿宋_GB2312" w:cs="Arial"/>
          <w:bCs/>
          <w:color w:val="auto"/>
          <w:sz w:val="32"/>
          <w:szCs w:val="32"/>
          <w:highlight w:val="none"/>
        </w:rPr>
        <w:t>处理，严禁向外环境排放</w:t>
      </w:r>
      <w:r>
        <w:rPr>
          <w:rFonts w:hint="eastAsia" w:ascii="仿宋_GB2312" w:hAnsi="Calibri" w:eastAsia="仿宋_GB2312" w:cs="Arial"/>
          <w:bCs/>
          <w:color w:val="auto"/>
          <w:sz w:val="32"/>
          <w:szCs w:val="32"/>
          <w:highlight w:val="none"/>
          <w:lang w:val="en-US" w:eastAsia="zh-CN"/>
        </w:rPr>
        <w:t>;初期雨水清运至</w:t>
      </w:r>
      <w:r>
        <w:rPr>
          <w:rFonts w:hint="eastAsia" w:ascii="仿宋_GB2312" w:hAnsi="Calibri" w:eastAsia="仿宋_GB2312" w:cs="Arial"/>
          <w:bCs/>
          <w:color w:val="auto"/>
          <w:sz w:val="32"/>
          <w:szCs w:val="32"/>
          <w:highlight w:val="none"/>
        </w:rPr>
        <w:t>乌里雅斯太镇污水处理厂</w:t>
      </w:r>
      <w:r>
        <w:rPr>
          <w:rFonts w:hint="eastAsia" w:ascii="仿宋_GB2312" w:hAnsi="Calibri" w:eastAsia="仿宋_GB2312" w:cs="Arial"/>
          <w:bCs/>
          <w:color w:val="auto"/>
          <w:sz w:val="32"/>
          <w:szCs w:val="32"/>
          <w:highlight w:val="none"/>
          <w:lang w:eastAsia="zh-CN"/>
        </w:rPr>
        <w:t>；</w:t>
      </w:r>
      <w:r>
        <w:rPr>
          <w:rFonts w:hint="eastAsia" w:ascii="仿宋_GB2312" w:hAnsi="Calibri" w:eastAsia="仿宋_GB2312" w:cs="Arial"/>
          <w:bCs/>
          <w:color w:val="auto"/>
          <w:sz w:val="32"/>
          <w:szCs w:val="32"/>
          <w:highlight w:val="none"/>
          <w:lang w:val="en-US" w:eastAsia="zh-CN"/>
        </w:rPr>
        <w:t>储罐区、储罐区与卸油池连接区域、导流沟、围堰、卸油池、事故池、危废暂存间、初期雨水池要严格按照《危险废物贮存污染控制标准》（GB 18597—2023）中要求采取防渗措施。</w:t>
      </w:r>
    </w:p>
    <w:p w14:paraId="00F1E2E5">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kern w:val="0"/>
          <w:sz w:val="32"/>
          <w:szCs w:val="32"/>
          <w:highlight w:val="none"/>
          <w:lang w:eastAsia="zh-CN"/>
        </w:rPr>
      </w:pPr>
      <w:r>
        <w:rPr>
          <w:rFonts w:hint="eastAsia" w:ascii="楷体_GB2312" w:hAnsi="Calibri" w:eastAsia="楷体_GB2312" w:cs="Arial"/>
          <w:b/>
          <w:bCs/>
          <w:color w:val="auto"/>
          <w:kern w:val="0"/>
          <w:sz w:val="32"/>
          <w:szCs w:val="32"/>
          <w:highlight w:val="none"/>
        </w:rPr>
        <w:t>（三）噪声方面</w:t>
      </w:r>
      <w:r>
        <w:rPr>
          <w:rFonts w:hint="eastAsia" w:ascii="楷体_GB2312" w:hAnsi="Calibri" w:eastAsia="楷体_GB2312" w:cs="Arial"/>
          <w:b/>
          <w:bCs/>
          <w:color w:val="auto"/>
          <w:kern w:val="0"/>
          <w:sz w:val="32"/>
          <w:szCs w:val="32"/>
          <w:highlight w:val="none"/>
          <w:lang w:eastAsia="zh-CN"/>
        </w:rPr>
        <w:t>。</w:t>
      </w:r>
    </w:p>
    <w:p w14:paraId="46AC652D">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仿宋_GB2312" w:hAnsi="Calibri" w:eastAsia="仿宋_GB2312" w:cs="Arial"/>
          <w:color w:val="auto"/>
          <w:sz w:val="32"/>
          <w:szCs w:val="32"/>
          <w:highlight w:val="none"/>
          <w:lang w:val="en-US" w:eastAsia="zh-CN"/>
        </w:rPr>
      </w:pPr>
      <w:r>
        <w:rPr>
          <w:rFonts w:hint="eastAsia" w:ascii="仿宋_GB2312" w:hAnsi="Calibri" w:eastAsia="仿宋_GB2312" w:cs="Arial"/>
          <w:color w:val="auto"/>
          <w:sz w:val="32"/>
          <w:szCs w:val="32"/>
          <w:highlight w:val="none"/>
          <w:lang w:val="en-US" w:eastAsia="zh-CN"/>
        </w:rPr>
        <w:t>加强建设期及营运期</w:t>
      </w:r>
      <w:r>
        <w:rPr>
          <w:rFonts w:hint="eastAsia" w:ascii="仿宋_GB2312" w:hAnsi="Calibri" w:eastAsia="仿宋_GB2312" w:cs="Arial"/>
          <w:color w:val="auto"/>
          <w:sz w:val="32"/>
          <w:szCs w:val="32"/>
          <w:highlight w:val="none"/>
        </w:rPr>
        <w:t>运输车辆</w:t>
      </w:r>
      <w:r>
        <w:rPr>
          <w:rFonts w:hint="eastAsia" w:ascii="仿宋_GB2312" w:hAnsi="Calibri" w:eastAsia="仿宋_GB2312" w:cs="Arial"/>
          <w:color w:val="auto"/>
          <w:sz w:val="32"/>
          <w:szCs w:val="32"/>
          <w:highlight w:val="none"/>
          <w:lang w:val="en-US" w:eastAsia="zh-CN"/>
        </w:rPr>
        <w:t>管理，采取减速慢行</w:t>
      </w:r>
      <w:r>
        <w:rPr>
          <w:rFonts w:hint="eastAsia" w:ascii="仿宋_GB2312" w:hAnsi="Calibri" w:eastAsia="仿宋_GB2312" w:cs="Arial"/>
          <w:color w:val="auto"/>
          <w:sz w:val="32"/>
          <w:szCs w:val="32"/>
          <w:highlight w:val="none"/>
        </w:rPr>
        <w:t>、禁止鸣笛等措施</w:t>
      </w:r>
      <w:r>
        <w:rPr>
          <w:rFonts w:hint="eastAsia" w:ascii="仿宋_GB2312" w:hAnsi="Calibri" w:eastAsia="仿宋_GB2312" w:cs="Arial"/>
          <w:color w:val="auto"/>
          <w:sz w:val="32"/>
          <w:szCs w:val="32"/>
          <w:highlight w:val="none"/>
          <w:lang w:eastAsia="zh-CN"/>
        </w:rPr>
        <w:t>，</w:t>
      </w:r>
      <w:r>
        <w:rPr>
          <w:rFonts w:hint="eastAsia" w:ascii="仿宋_GB2312" w:hAnsi="Calibri" w:eastAsia="仿宋_GB2312" w:cs="Arial"/>
          <w:color w:val="auto"/>
          <w:sz w:val="32"/>
          <w:szCs w:val="32"/>
          <w:highlight w:val="none"/>
          <w:lang w:val="en-US" w:eastAsia="zh-CN"/>
        </w:rPr>
        <w:t>运营期危废运输车辆装卸时要熄火作业、轻搬轻放，遵守操作规程</w:t>
      </w:r>
      <w:r>
        <w:rPr>
          <w:rFonts w:hint="eastAsia" w:ascii="仿宋_GB2312" w:hAnsi="Calibri" w:eastAsia="仿宋_GB2312" w:cs="Arial"/>
          <w:color w:val="auto"/>
          <w:sz w:val="32"/>
          <w:szCs w:val="32"/>
          <w:highlight w:val="none"/>
          <w:lang w:eastAsia="zh-CN"/>
        </w:rPr>
        <w:t>；</w:t>
      </w:r>
      <w:r>
        <w:rPr>
          <w:rFonts w:hint="eastAsia" w:ascii="仿宋_GB2312" w:hAnsi="Calibri" w:eastAsia="仿宋_GB2312" w:cs="Arial"/>
          <w:color w:val="auto"/>
          <w:sz w:val="32"/>
          <w:szCs w:val="32"/>
          <w:highlight w:val="none"/>
          <w:lang w:val="en-US" w:eastAsia="zh-CN"/>
        </w:rPr>
        <w:t>生产设备合理布局，</w:t>
      </w:r>
      <w:r>
        <w:rPr>
          <w:rFonts w:hint="eastAsia" w:ascii="仿宋_GB2312" w:hAnsi="Calibri" w:eastAsia="仿宋_GB2312" w:cs="Arial"/>
          <w:color w:val="auto"/>
          <w:sz w:val="32"/>
          <w:szCs w:val="32"/>
          <w:highlight w:val="none"/>
        </w:rPr>
        <w:t>采取减振、降噪</w:t>
      </w:r>
      <w:r>
        <w:rPr>
          <w:rFonts w:hint="eastAsia" w:ascii="仿宋_GB2312" w:hAnsi="Calibri" w:eastAsia="仿宋_GB2312" w:cs="Arial"/>
          <w:color w:val="auto"/>
          <w:sz w:val="32"/>
          <w:szCs w:val="32"/>
          <w:highlight w:val="none"/>
          <w:lang w:val="en-US" w:eastAsia="zh-CN"/>
        </w:rPr>
        <w:t>等先进技术</w:t>
      </w:r>
      <w:r>
        <w:rPr>
          <w:rFonts w:hint="eastAsia" w:ascii="仿宋_GB2312" w:hAnsi="Calibri" w:eastAsia="仿宋_GB2312" w:cs="Arial"/>
          <w:color w:val="auto"/>
          <w:sz w:val="32"/>
          <w:szCs w:val="32"/>
          <w:highlight w:val="none"/>
        </w:rPr>
        <w:t>措施，</w:t>
      </w:r>
      <w:r>
        <w:rPr>
          <w:rFonts w:hint="eastAsia" w:ascii="仿宋_GB2312" w:hAnsi="Calibri" w:eastAsia="仿宋_GB2312" w:cs="Arial"/>
          <w:color w:val="auto"/>
          <w:sz w:val="32"/>
          <w:szCs w:val="32"/>
          <w:highlight w:val="none"/>
          <w:lang w:val="en-US" w:eastAsia="zh-CN"/>
        </w:rPr>
        <w:t>降低噪声污染。施工期、营运期噪声执行《建筑施工场界环境噪声排放标准》（GB12523-2011），《工业企业厂界环境噪声排放标准》（GB12348-2008）。</w:t>
      </w:r>
    </w:p>
    <w:p w14:paraId="66872328">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（四）固废方面。</w:t>
      </w:r>
    </w:p>
    <w:p w14:paraId="045A58BF">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Calibri" w:eastAsia="仿宋_GB2312" w:cs="Arial"/>
          <w:color w:val="auto"/>
          <w:sz w:val="32"/>
          <w:szCs w:val="32"/>
          <w:highlight w:val="none"/>
          <w:lang w:val="en-US" w:eastAsia="zh-CN"/>
        </w:rPr>
        <w:t>施工期</w:t>
      </w:r>
      <w:r>
        <w:rPr>
          <w:rFonts w:hint="eastAsia" w:ascii="仿宋_GB2312" w:hAnsi="Calibri" w:eastAsia="仿宋_GB2312" w:cs="Arial"/>
          <w:color w:val="auto"/>
          <w:sz w:val="32"/>
          <w:szCs w:val="32"/>
          <w:highlight w:val="none"/>
        </w:rPr>
        <w:t>产生的弃土、弃料</w:t>
      </w:r>
      <w:r>
        <w:rPr>
          <w:rFonts w:hint="eastAsia" w:ascii="仿宋_GB2312" w:hAnsi="Calibri" w:eastAsia="仿宋_GB2312" w:cs="Arial"/>
          <w:color w:val="auto"/>
          <w:sz w:val="32"/>
          <w:szCs w:val="32"/>
          <w:highlight w:val="none"/>
          <w:lang w:val="en-US" w:eastAsia="zh-CN"/>
        </w:rPr>
        <w:t>等随产随清</w:t>
      </w:r>
      <w:r>
        <w:rPr>
          <w:rFonts w:hint="eastAsia" w:ascii="仿宋_GB2312" w:hAnsi="Calibri" w:eastAsia="仿宋_GB2312" w:cs="Arial"/>
          <w:color w:val="auto"/>
          <w:sz w:val="32"/>
          <w:szCs w:val="32"/>
          <w:highlight w:val="none"/>
        </w:rPr>
        <w:t>，</w:t>
      </w:r>
      <w:r>
        <w:rPr>
          <w:rFonts w:hint="eastAsia" w:ascii="仿宋_GB2312" w:hAnsi="Calibri" w:eastAsia="仿宋_GB2312" w:cs="Arial"/>
          <w:color w:val="auto"/>
          <w:sz w:val="32"/>
          <w:szCs w:val="32"/>
          <w:highlight w:val="none"/>
          <w:lang w:eastAsia="zh-CN"/>
        </w:rPr>
        <w:t>及时回收综合利用</w:t>
      </w:r>
      <w:r>
        <w:rPr>
          <w:rFonts w:hint="eastAsia" w:ascii="仿宋_GB2312" w:hAnsi="Calibri" w:eastAsia="仿宋_GB2312" w:cs="Arial"/>
          <w:color w:val="auto"/>
          <w:sz w:val="32"/>
          <w:szCs w:val="32"/>
          <w:highlight w:val="none"/>
          <w:lang w:val="en-US" w:eastAsia="zh-CN"/>
        </w:rPr>
        <w:t>或</w:t>
      </w:r>
      <w:r>
        <w:rPr>
          <w:rFonts w:hint="eastAsia" w:ascii="仿宋_GB2312" w:hAnsi="Calibri" w:eastAsia="仿宋_GB2312" w:cs="Arial"/>
          <w:color w:val="auto"/>
          <w:sz w:val="32"/>
          <w:szCs w:val="32"/>
          <w:highlight w:val="none"/>
        </w:rPr>
        <w:t>及时清运至</w:t>
      </w:r>
      <w:r>
        <w:rPr>
          <w:rFonts w:hint="eastAsia" w:ascii="仿宋_GB2312" w:eastAsia="仿宋_GB2312" w:cs="Arial"/>
          <w:color w:val="auto"/>
          <w:sz w:val="32"/>
          <w:szCs w:val="32"/>
          <w:highlight w:val="none"/>
          <w:lang w:val="en-US" w:eastAsia="zh-CN"/>
        </w:rPr>
        <w:t>正规处置场所；</w:t>
      </w:r>
      <w:r>
        <w:rPr>
          <w:rFonts w:hint="eastAsia" w:ascii="仿宋_GB2312" w:hAnsi="Calibri" w:eastAsia="仿宋_GB2312" w:cs="Arial"/>
          <w:color w:val="auto"/>
          <w:sz w:val="32"/>
          <w:szCs w:val="32"/>
          <w:highlight w:val="none"/>
          <w:lang w:val="en-US" w:eastAsia="zh-CN"/>
        </w:rPr>
        <w:t>产生的</w:t>
      </w:r>
      <w:r>
        <w:rPr>
          <w:rFonts w:hint="eastAsia" w:ascii="仿宋_GB2312" w:hAnsi="Calibri" w:eastAsia="仿宋_GB2312" w:cs="Arial"/>
          <w:color w:val="auto"/>
          <w:sz w:val="32"/>
          <w:szCs w:val="32"/>
          <w:highlight w:val="none"/>
        </w:rPr>
        <w:t>生活垃圾集中收集后</w:t>
      </w:r>
      <w:r>
        <w:rPr>
          <w:rFonts w:hint="default" w:ascii="仿宋_GB2312" w:hAnsi="Calibri" w:eastAsia="仿宋_GB2312" w:cs="Arial"/>
          <w:color w:val="auto"/>
          <w:sz w:val="32"/>
          <w:szCs w:val="32"/>
          <w:highlight w:val="none"/>
          <w:lang w:eastAsia="zh-CN"/>
        </w:rPr>
        <w:t>规范处置</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严格</w:t>
      </w:r>
      <w:r>
        <w:rPr>
          <w:rFonts w:hint="eastAsia" w:ascii="仿宋_GB2312" w:hAnsi="仿宋_GB2312" w:eastAsia="仿宋_GB2312" w:cs="仿宋_GB2312"/>
          <w:color w:val="auto"/>
          <w:sz w:val="32"/>
          <w:szCs w:val="32"/>
          <w:highlight w:val="none"/>
        </w:rPr>
        <w:t>执行《一般工业固体废物贮存和填埋污染控制标准》（GB18599-20</w:t>
      </w:r>
      <w:r>
        <w:rPr>
          <w:rFonts w:hint="eastAsia" w:ascii="仿宋_GB2312" w:hAnsi="仿宋_GB2312" w:eastAsia="仿宋_GB2312" w:cs="仿宋_GB2312"/>
          <w:color w:val="auto"/>
          <w:sz w:val="32"/>
          <w:szCs w:val="32"/>
          <w:highlight w:val="none"/>
          <w:lang w:val="en-US" w:eastAsia="zh-CN"/>
        </w:rPr>
        <w:t>20</w:t>
      </w:r>
      <w:r>
        <w:rPr>
          <w:rFonts w:hint="eastAsia" w:ascii="仿宋_GB2312" w:hAnsi="仿宋_GB2312" w:eastAsia="仿宋_GB2312" w:cs="仿宋_GB2312"/>
          <w:color w:val="auto"/>
          <w:sz w:val="32"/>
          <w:szCs w:val="32"/>
          <w:highlight w:val="none"/>
        </w:rPr>
        <w:t>）</w:t>
      </w:r>
      <w:r>
        <w:rPr>
          <w:rFonts w:hint="eastAsia" w:ascii="仿宋_GB2312" w:eastAsia="仿宋_GB2312" w:cs="Arial"/>
          <w:color w:val="auto"/>
          <w:sz w:val="32"/>
          <w:szCs w:val="32"/>
          <w:highlight w:val="none"/>
          <w:lang w:val="en-US" w:eastAsia="zh-CN"/>
        </w:rPr>
        <w:t>。产生的废活性炭、废油泥等危险废物委托有资质的单位进行处置，严格执行《危险废物贮存污染控制标准》（GB18597-2023）、《危险废物收集贮存运输技术规范》（HJ2025-2012）、《危险废物转移联单制度》等相关法律法规及管理要求，张贴危险废物标识，建立危险废物台账，如实记载危险废物种类、数量、性质、产生环节、流向、贮存、利用处置等信息。</w:t>
      </w:r>
    </w:p>
    <w:p w14:paraId="4AA74BA2">
      <w:pPr>
        <w:keepNext w:val="0"/>
        <w:keepLines w:val="0"/>
        <w:pageBreakBefore w:val="0"/>
        <w:widowControl w:val="0"/>
        <w:numPr>
          <w:ilvl w:val="0"/>
          <w:numId w:val="1"/>
        </w:numPr>
        <w:kinsoku/>
        <w:wordWrap/>
        <w:overflowPunct/>
        <w:topLinePunct w:val="0"/>
        <w:autoSpaceDE w:val="0"/>
        <w:autoSpaceDN w:val="0"/>
        <w:bidi w:val="0"/>
        <w:adjustRightInd w:val="0"/>
        <w:snapToGrid/>
        <w:spacing w:line="52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执行“三同时”制度</w:t>
      </w:r>
    </w:p>
    <w:p w14:paraId="1A3F4A4C">
      <w:pPr>
        <w:keepNext w:val="0"/>
        <w:keepLines w:val="0"/>
        <w:pageBreakBefore w:val="0"/>
        <w:widowControl w:val="0"/>
        <w:numPr>
          <w:ilvl w:val="0"/>
          <w:numId w:val="0"/>
        </w:numPr>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本项目建设必须严格执行生态环境保护设施与主体工程同时设计、同时施工、同时投产使用的生态环境保护“三同时”制度。</w:t>
      </w:r>
    </w:p>
    <w:p w14:paraId="5D0C9246">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（一）要将生态环境保护措施纳入初步设计报告并落实环保设施投资概算。</w:t>
      </w:r>
    </w:p>
    <w:p w14:paraId="59EB69CD">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（二）要将生态环境保护设施建设纳入施工合同，保证生态环境保护设施建设进度和资金。</w:t>
      </w:r>
    </w:p>
    <w:p w14:paraId="4E167FAF">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（三）项目竣工后须按规定程序实施竣工环境保护验收，验收合格后方可正式投运。</w:t>
      </w:r>
    </w:p>
    <w:p w14:paraId="52680C22">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四、其他要求</w:t>
      </w:r>
    </w:p>
    <w:p w14:paraId="2555F530">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东乌珠穆沁旗生态环境综合行政执法大队对该项目建设期间及运行期间各项生态环境保护措施落实情况进行监督检查和管理。</w:t>
      </w:r>
    </w:p>
    <w:p w14:paraId="27896F5A">
      <w:pPr>
        <w:keepNext w:val="0"/>
        <w:keepLines w:val="0"/>
        <w:pageBreakBefore w:val="0"/>
        <w:widowControl w:val="0"/>
        <w:kinsoku/>
        <w:wordWrap/>
        <w:overflowPunct/>
        <w:topLinePunct w:val="0"/>
        <w:autoSpaceDE w:val="0"/>
        <w:autoSpaceDN w:val="0"/>
        <w:bidi w:val="0"/>
        <w:adjustRightInd w:val="0"/>
        <w:snapToGrid/>
        <w:spacing w:line="560" w:lineRule="exact"/>
        <w:ind w:firstLine="4160" w:firstLineChars="13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锡林郭勒盟生态环境局</w:t>
      </w:r>
    </w:p>
    <w:p w14:paraId="45D16266">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jc w:val="center"/>
        <w:rPr>
          <w:rFonts w:hint="default" w:ascii="仿宋_GB2312" w:hAnsi="Calibri" w:eastAsia="仿宋_GB2312" w:cs="Arial"/>
          <w:color w:val="auto"/>
          <w:sz w:val="32"/>
          <w:szCs w:val="32"/>
          <w:highlight w:val="none"/>
          <w:lang w:val="en-US" w:eastAsia="zh-CN"/>
        </w:rPr>
      </w:pPr>
      <w:r>
        <w:rPr>
          <w:rFonts w:hint="eastAsia" w:ascii="仿宋_GB2312" w:hAnsi="Calibri" w:eastAsia="仿宋_GB2312" w:cs="Arial"/>
          <w:color w:val="auto"/>
          <w:sz w:val="32"/>
          <w:szCs w:val="32"/>
          <w:highlight w:val="none"/>
        </w:rPr>
        <w:t xml:space="preserve">                  </w:t>
      </w:r>
      <w:r>
        <w:rPr>
          <w:rFonts w:hint="eastAsia" w:ascii="仿宋_GB2312" w:hAnsi="Calibri" w:eastAsia="仿宋_GB2312" w:cs="Arial"/>
          <w:color w:val="auto"/>
          <w:sz w:val="32"/>
          <w:szCs w:val="32"/>
          <w:highlight w:val="none"/>
          <w:lang w:eastAsia="zh-CN"/>
        </w:rPr>
        <w:t>202</w:t>
      </w:r>
      <w:r>
        <w:rPr>
          <w:rFonts w:hint="eastAsia" w:ascii="仿宋_GB2312" w:hAnsi="Calibri" w:eastAsia="仿宋_GB2312" w:cs="Arial"/>
          <w:color w:val="auto"/>
          <w:sz w:val="32"/>
          <w:szCs w:val="32"/>
          <w:highlight w:val="none"/>
          <w:lang w:val="en-US" w:eastAsia="zh-CN"/>
        </w:rPr>
        <w:t>5</w:t>
      </w:r>
      <w:r>
        <w:rPr>
          <w:rFonts w:hint="eastAsia" w:ascii="仿宋_GB2312" w:hAnsi="Calibri" w:eastAsia="仿宋_GB2312" w:cs="Arial"/>
          <w:color w:val="auto"/>
          <w:sz w:val="32"/>
          <w:szCs w:val="32"/>
          <w:highlight w:val="none"/>
          <w:lang w:eastAsia="zh-CN"/>
        </w:rPr>
        <w:t>年</w:t>
      </w:r>
      <w:r>
        <w:rPr>
          <w:rFonts w:hint="eastAsia" w:ascii="仿宋_GB2312" w:hAnsi="Calibri" w:eastAsia="仿宋_GB2312" w:cs="Arial"/>
          <w:color w:val="auto"/>
          <w:sz w:val="32"/>
          <w:szCs w:val="32"/>
          <w:highlight w:val="none"/>
          <w:lang w:val="en-US" w:eastAsia="zh-CN"/>
        </w:rPr>
        <w:t>9</w:t>
      </w:r>
      <w:r>
        <w:rPr>
          <w:rFonts w:hint="eastAsia" w:ascii="仿宋_GB2312" w:hAnsi="Calibri" w:eastAsia="仿宋_GB2312" w:cs="Arial"/>
          <w:color w:val="auto"/>
          <w:sz w:val="32"/>
          <w:szCs w:val="32"/>
          <w:highlight w:val="none"/>
          <w:lang w:eastAsia="zh-CN"/>
        </w:rPr>
        <w:t>月</w:t>
      </w:r>
      <w:r>
        <w:rPr>
          <w:rFonts w:hint="eastAsia" w:ascii="仿宋_GB2312" w:hAnsi="Calibri" w:eastAsia="仿宋_GB2312" w:cs="Arial"/>
          <w:color w:val="auto"/>
          <w:sz w:val="32"/>
          <w:szCs w:val="32"/>
          <w:highlight w:val="none"/>
          <w:lang w:val="en-US" w:eastAsia="zh-CN"/>
        </w:rPr>
        <w:t>16</w:t>
      </w:r>
      <w:r>
        <w:rPr>
          <w:rFonts w:hint="eastAsia" w:ascii="仿宋_GB2312" w:hAnsi="Calibri" w:eastAsia="仿宋_GB2312" w:cs="Arial"/>
          <w:color w:val="auto"/>
          <w:sz w:val="32"/>
          <w:szCs w:val="32"/>
          <w:highlight w:val="none"/>
          <w:lang w:eastAsia="zh-CN"/>
        </w:rPr>
        <w:t>日</w:t>
      </w:r>
    </w:p>
    <w:p w14:paraId="10A42233">
      <w:pPr>
        <w:keepNext w:val="0"/>
        <w:keepLines w:val="0"/>
        <w:pageBreakBefore w:val="0"/>
        <w:widowControl w:val="0"/>
        <w:kinsoku/>
        <w:wordWrap/>
        <w:overflowPunct/>
        <w:topLinePunct w:val="0"/>
        <w:autoSpaceDE w:val="0"/>
        <w:autoSpaceDN w:val="0"/>
        <w:bidi w:val="0"/>
        <w:adjustRightInd w:val="0"/>
        <w:spacing w:line="560" w:lineRule="exact"/>
        <w:jc w:val="both"/>
        <w:rPr>
          <w:rFonts w:hint="default" w:ascii="仿宋_GB2312" w:hAnsi="Calibri" w:eastAsia="仿宋_GB2312" w:cs="Arial"/>
          <w:color w:val="auto"/>
          <w:sz w:val="32"/>
          <w:szCs w:val="32"/>
          <w:highlight w:val="none"/>
          <w:lang w:val="en-US" w:eastAsia="zh-CN"/>
        </w:rPr>
      </w:pPr>
    </w:p>
    <w:p w14:paraId="0CA625FD">
      <w:pPr>
        <w:keepNext w:val="0"/>
        <w:keepLines w:val="0"/>
        <w:pageBreakBefore w:val="0"/>
        <w:widowControl w:val="0"/>
        <w:kinsoku/>
        <w:wordWrap/>
        <w:overflowPunct/>
        <w:topLinePunct w:val="0"/>
        <w:autoSpaceDE/>
        <w:autoSpaceDN/>
        <w:bidi w:val="0"/>
        <w:adjustRightInd/>
        <w:spacing w:line="560" w:lineRule="exact"/>
        <w:jc w:val="both"/>
        <w:textAlignment w:val="auto"/>
        <w:rPr>
          <w:rFonts w:hint="default" w:ascii="仿宋_GB2312" w:hAnsi="仿宋_GB2312" w:eastAsia="仿宋_GB2312" w:cs="仿宋_GB2312"/>
          <w:color w:val="auto"/>
          <w:kern w:val="2"/>
          <w:sz w:val="24"/>
          <w:szCs w:val="24"/>
          <w:highlight w:val="none"/>
          <w:lang w:val="en-US" w:eastAsia="zh-CN" w:bidi="ar-SA"/>
        </w:rPr>
      </w:pPr>
      <w:r>
        <w:rPr>
          <w:rFonts w:hint="eastAsia" w:ascii="仿宋_GB2312" w:hAnsi="仿宋_GB2312" w:eastAsia="仿宋_GB2312" w:cs="仿宋_GB2312"/>
          <w:color w:val="auto"/>
          <w:kern w:val="2"/>
          <w:sz w:val="24"/>
          <w:szCs w:val="24"/>
          <w:highlight w:val="none"/>
          <w:lang w:val="en-US" w:eastAsia="zh-CN" w:bidi="ar-SA"/>
        </w:rPr>
        <mc:AlternateContent>
          <mc:Choice Requires="wps">
            <w:drawing>
              <wp:anchor distT="0" distB="0" distL="114300" distR="114300" simplePos="0" relativeHeight="251659264" behindDoc="0" locked="0" layoutInCell="1" allowOverlap="1">
                <wp:simplePos x="0" y="0"/>
                <wp:positionH relativeFrom="column">
                  <wp:posOffset>12700</wp:posOffset>
                </wp:positionH>
                <wp:positionV relativeFrom="paragraph">
                  <wp:posOffset>25400</wp:posOffset>
                </wp:positionV>
                <wp:extent cx="5220335" cy="10795"/>
                <wp:effectExtent l="0" t="4445" r="18415" b="13335"/>
                <wp:wrapNone/>
                <wp:docPr id="12" name="直接箭头连接符 12"/>
                <wp:cNvGraphicFramePr/>
                <a:graphic xmlns:a="http://schemas.openxmlformats.org/drawingml/2006/main">
                  <a:graphicData uri="http://schemas.microsoft.com/office/word/2010/wordprocessingShape">
                    <wps:wsp>
                      <wps:cNvCnPr/>
                      <wps:spPr>
                        <a:xfrm flipV="1">
                          <a:off x="0" y="0"/>
                          <a:ext cx="5220335" cy="1079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pt;margin-top:2pt;height:0.85pt;width:411.05pt;z-index:251659264;mso-width-relative:page;mso-height-relative:page;" filled="f" stroked="t" coordsize="21600,21600" o:gfxdata="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Mu6p5TVAAAABQEAAA8AAAAAAAAAAQAgAAAAIgAA&#10;AGRycy9kb3ducmV2LnhtbFBLAQIUABQAAAAIAIdO4kBCcdFbCwIAAAYEAAAOAAAAAAAAAAEAIAAA&#10;ACQBAABkcnMvZTJvRG9jLnhtbFBLBQYAAAAABgAGAFkBAAChBQ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color w:val="auto"/>
          <w:kern w:val="2"/>
          <w:sz w:val="24"/>
          <w:szCs w:val="24"/>
          <w:highlight w:val="none"/>
          <w:lang w:val="en-US" w:eastAsia="zh-CN" w:bidi="ar-SA"/>
        </w:rPr>
        <w:t>抄送：盟生态环境综合行政执法支队       盟生态环境局东乌珠穆沁旗分局</w:t>
      </w:r>
    </w:p>
    <w:p w14:paraId="68A44406">
      <w:pPr>
        <w:pStyle w:val="3"/>
        <w:keepNext w:val="0"/>
        <w:keepLines w:val="0"/>
        <w:pageBreakBefore w:val="0"/>
        <w:widowControl w:val="0"/>
        <w:pBdr>
          <w:top w:val="single" w:color="auto" w:sz="4" w:space="0"/>
          <w:bottom w:val="single" w:color="auto" w:sz="4" w:space="0"/>
        </w:pBdr>
        <w:kinsoku/>
        <w:wordWrap/>
        <w:overflowPunct/>
        <w:topLinePunct w:val="0"/>
        <w:autoSpaceDE/>
        <w:autoSpaceDN/>
        <w:bidi w:val="0"/>
        <w:adjustRightInd/>
        <w:spacing w:before="62" w:beforeLines="20" w:line="560" w:lineRule="exact"/>
        <w:jc w:val="both"/>
        <w:textAlignment w:val="auto"/>
        <w:rPr>
          <w:rFonts w:ascii="Calibri" w:hAnsi="Calibri" w:eastAsia="宋体" w:cs="Arial"/>
          <w:color w:val="auto"/>
          <w:szCs w:val="21"/>
          <w:highlight w:val="none"/>
        </w:rPr>
      </w:pPr>
      <w:r>
        <w:rPr>
          <w:rFonts w:hint="eastAsia" w:ascii="仿宋_GB2312" w:hAnsi="仿宋_GB2312" w:eastAsia="仿宋_GB2312" w:cs="仿宋_GB2312"/>
          <w:color w:val="auto"/>
          <w:kern w:val="2"/>
          <w:sz w:val="28"/>
          <w:szCs w:val="28"/>
          <w:highlight w:val="none"/>
          <w:lang w:val="en-US" w:eastAsia="zh-CN" w:bidi="ar-SA"/>
        </w:rPr>
        <w:t>锡林郭勒盟生态环境局办公室             2025年9月16日印发</w:t>
      </w:r>
    </w:p>
    <w:p w14:paraId="4ACD6116">
      <w:pPr>
        <w:ind w:firstLine="210" w:firstLineChars="100"/>
        <w:rPr>
          <w:highlight w:val="none"/>
        </w:rPr>
      </w:pPr>
    </w:p>
    <w:sectPr>
      <w:footerReference r:id="rId3" w:type="default"/>
      <w:pgSz w:w="11906" w:h="16838"/>
      <w:pgMar w:top="2098" w:right="1474" w:bottom="1984" w:left="1587"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B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78EABC">
    <w:pPr>
      <w:pStyle w:val="3"/>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9BF903">
                          <w:pPr>
                            <w:pStyle w:val="3"/>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249BF903">
                    <w:pPr>
                      <w:pStyle w:val="3"/>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t xml:space="preserve"> —</w:t>
                    </w:r>
                  </w:p>
                </w:txbxContent>
              </v:textbox>
            </v:shape>
          </w:pict>
        </mc:Fallback>
      </mc:AlternateContent>
    </w: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4EC8A4">
                          <w:pPr>
                            <w:pStyle w:val="3"/>
                            <w:rPr>
                              <w:rFonts w:hint="eastAsia" w:asciiTheme="minorEastAsia" w:hAnsiTheme="minorEastAsia" w:eastAsiaTheme="minorEastAsia" w:cstheme="minorEastAsia"/>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624EC8A4">
                    <w:pPr>
                      <w:pStyle w:val="3"/>
                      <w:rPr>
                        <w:rFonts w:hint="eastAsia" w:asciiTheme="minorEastAsia" w:hAnsiTheme="minorEastAsia" w:eastAsiaTheme="minorEastAsia" w:cstheme="minorEastAsia"/>
                        <w:sz w:val="28"/>
                        <w:szCs w:val="28"/>
                      </w:rPr>
                    </w:pPr>
                  </w:p>
                </w:txbxContent>
              </v:textbox>
            </v:shape>
          </w:pict>
        </mc:Fallback>
      </mc:AlternateContent>
    </w: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071382">
                          <w:pPr>
                            <w:rPr>
                              <w:rFonts w:hint="eastAsia"/>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14:paraId="62071382">
                    <w:pPr>
                      <w:rPr>
                        <w:rFonts w:hint="eastAsia"/>
                      </w:rPr>
                    </w:pP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56E0BA">
                          <w:pPr>
                            <w:pStyle w:val="3"/>
                            <w:rPr>
                              <w:rFonts w:hint="eastAsia" w:asciiTheme="minorEastAsia" w:hAnsiTheme="minorEastAsia" w:eastAsiaTheme="minorEastAsia" w:cstheme="minorEastAsia"/>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6256E0BA">
                    <w:pPr>
                      <w:pStyle w:val="3"/>
                      <w:rPr>
                        <w:rFonts w:hint="eastAsia" w:asciiTheme="minorEastAsia" w:hAnsiTheme="minorEastAsia" w:eastAsiaTheme="minorEastAsia" w:cstheme="minorEastAsia"/>
                        <w:sz w:val="28"/>
                        <w:szCs w:val="28"/>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018EB6"/>
    <w:multiLevelType w:val="singleLevel"/>
    <w:tmpl w:val="3B018EB6"/>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4E4AF6"/>
    <w:rsid w:val="00FF362D"/>
    <w:rsid w:val="01246D1A"/>
    <w:rsid w:val="014B4068"/>
    <w:rsid w:val="01BD5936"/>
    <w:rsid w:val="01D134FA"/>
    <w:rsid w:val="0261487E"/>
    <w:rsid w:val="03C94DF8"/>
    <w:rsid w:val="04BC5D9C"/>
    <w:rsid w:val="05882122"/>
    <w:rsid w:val="05E7509A"/>
    <w:rsid w:val="07B90CB8"/>
    <w:rsid w:val="080261BB"/>
    <w:rsid w:val="082445AA"/>
    <w:rsid w:val="08397703"/>
    <w:rsid w:val="088766C0"/>
    <w:rsid w:val="09102D8D"/>
    <w:rsid w:val="09615163"/>
    <w:rsid w:val="0CF63E15"/>
    <w:rsid w:val="0D136775"/>
    <w:rsid w:val="0D980131"/>
    <w:rsid w:val="0E1E1CB4"/>
    <w:rsid w:val="0F5D6655"/>
    <w:rsid w:val="1127555F"/>
    <w:rsid w:val="117143B2"/>
    <w:rsid w:val="118063A3"/>
    <w:rsid w:val="11C75D80"/>
    <w:rsid w:val="11EA01E5"/>
    <w:rsid w:val="125F420A"/>
    <w:rsid w:val="12C67865"/>
    <w:rsid w:val="13126856"/>
    <w:rsid w:val="13425D97"/>
    <w:rsid w:val="14682881"/>
    <w:rsid w:val="15437DF0"/>
    <w:rsid w:val="1A937147"/>
    <w:rsid w:val="1AB3725D"/>
    <w:rsid w:val="1AF06347"/>
    <w:rsid w:val="1B0D4B61"/>
    <w:rsid w:val="1B1541F5"/>
    <w:rsid w:val="1B8151F1"/>
    <w:rsid w:val="1D5929B3"/>
    <w:rsid w:val="1E0B1987"/>
    <w:rsid w:val="1F463C49"/>
    <w:rsid w:val="1FD53DA5"/>
    <w:rsid w:val="2051028E"/>
    <w:rsid w:val="208E79CF"/>
    <w:rsid w:val="2100305C"/>
    <w:rsid w:val="211D3C0E"/>
    <w:rsid w:val="22120B18"/>
    <w:rsid w:val="23BB613A"/>
    <w:rsid w:val="23C62DFC"/>
    <w:rsid w:val="25CE54D7"/>
    <w:rsid w:val="268B161A"/>
    <w:rsid w:val="26E52AD8"/>
    <w:rsid w:val="28221B0A"/>
    <w:rsid w:val="288822B5"/>
    <w:rsid w:val="29424212"/>
    <w:rsid w:val="29982084"/>
    <w:rsid w:val="2AC84BEB"/>
    <w:rsid w:val="2AFA0B1C"/>
    <w:rsid w:val="2B553B0E"/>
    <w:rsid w:val="2BAB49C5"/>
    <w:rsid w:val="2BC639DD"/>
    <w:rsid w:val="2E075A2A"/>
    <w:rsid w:val="2E0E2D85"/>
    <w:rsid w:val="2E1F501B"/>
    <w:rsid w:val="2F4F1437"/>
    <w:rsid w:val="2F552934"/>
    <w:rsid w:val="2F6824F8"/>
    <w:rsid w:val="2F8F5CD7"/>
    <w:rsid w:val="2FA15A0A"/>
    <w:rsid w:val="30037BF4"/>
    <w:rsid w:val="30CD2F5B"/>
    <w:rsid w:val="30FD3114"/>
    <w:rsid w:val="310444A3"/>
    <w:rsid w:val="31A55C86"/>
    <w:rsid w:val="334E7EA3"/>
    <w:rsid w:val="33895520"/>
    <w:rsid w:val="342F5CDB"/>
    <w:rsid w:val="34B166F0"/>
    <w:rsid w:val="34E268A9"/>
    <w:rsid w:val="35A95897"/>
    <w:rsid w:val="35F766F6"/>
    <w:rsid w:val="38C073F1"/>
    <w:rsid w:val="39A53079"/>
    <w:rsid w:val="3A105C66"/>
    <w:rsid w:val="3B3836C7"/>
    <w:rsid w:val="3C8F267D"/>
    <w:rsid w:val="3CAF1767"/>
    <w:rsid w:val="3CCC5366"/>
    <w:rsid w:val="3DD84CED"/>
    <w:rsid w:val="3EB4443D"/>
    <w:rsid w:val="3EBD5197"/>
    <w:rsid w:val="3ECB598F"/>
    <w:rsid w:val="3EE04D72"/>
    <w:rsid w:val="41070D79"/>
    <w:rsid w:val="414601C0"/>
    <w:rsid w:val="415428DD"/>
    <w:rsid w:val="436F39FE"/>
    <w:rsid w:val="43BC6374"/>
    <w:rsid w:val="43E066A9"/>
    <w:rsid w:val="44641089"/>
    <w:rsid w:val="4605689B"/>
    <w:rsid w:val="46446ED5"/>
    <w:rsid w:val="479F062A"/>
    <w:rsid w:val="47B32517"/>
    <w:rsid w:val="47C076C6"/>
    <w:rsid w:val="47ED7875"/>
    <w:rsid w:val="489359B4"/>
    <w:rsid w:val="496477F7"/>
    <w:rsid w:val="49D96075"/>
    <w:rsid w:val="4B552AA6"/>
    <w:rsid w:val="4B670384"/>
    <w:rsid w:val="4C0360C1"/>
    <w:rsid w:val="4DE66FB2"/>
    <w:rsid w:val="4E0C2BE5"/>
    <w:rsid w:val="4E685C19"/>
    <w:rsid w:val="50B213CE"/>
    <w:rsid w:val="5119144D"/>
    <w:rsid w:val="52EA0FEF"/>
    <w:rsid w:val="54603F5B"/>
    <w:rsid w:val="5494758A"/>
    <w:rsid w:val="553B42E8"/>
    <w:rsid w:val="557D01FC"/>
    <w:rsid w:val="56391260"/>
    <w:rsid w:val="57995095"/>
    <w:rsid w:val="58006EC2"/>
    <w:rsid w:val="58012C64"/>
    <w:rsid w:val="5A6C17A9"/>
    <w:rsid w:val="5AB10EDB"/>
    <w:rsid w:val="5C547A3A"/>
    <w:rsid w:val="5C666C4B"/>
    <w:rsid w:val="5D373EE0"/>
    <w:rsid w:val="5E2E29DB"/>
    <w:rsid w:val="5E714676"/>
    <w:rsid w:val="5E7C0CB8"/>
    <w:rsid w:val="5F096FA4"/>
    <w:rsid w:val="5F1F4CE5"/>
    <w:rsid w:val="5F623CFA"/>
    <w:rsid w:val="5F954394"/>
    <w:rsid w:val="5FA6467B"/>
    <w:rsid w:val="6235508F"/>
    <w:rsid w:val="62AC1363"/>
    <w:rsid w:val="62AE1C06"/>
    <w:rsid w:val="62B94D98"/>
    <w:rsid w:val="63E91153"/>
    <w:rsid w:val="641A4CCC"/>
    <w:rsid w:val="64DF78E7"/>
    <w:rsid w:val="6509385A"/>
    <w:rsid w:val="685A2794"/>
    <w:rsid w:val="691C1682"/>
    <w:rsid w:val="6AD42215"/>
    <w:rsid w:val="6B623CC4"/>
    <w:rsid w:val="6B8E4AB9"/>
    <w:rsid w:val="6BFF57BE"/>
    <w:rsid w:val="6C6B3F54"/>
    <w:rsid w:val="6D4D192F"/>
    <w:rsid w:val="6E387165"/>
    <w:rsid w:val="6E750C6A"/>
    <w:rsid w:val="6F084B83"/>
    <w:rsid w:val="6F1E6154"/>
    <w:rsid w:val="6F55769C"/>
    <w:rsid w:val="6F5953DE"/>
    <w:rsid w:val="6F9B4E77"/>
    <w:rsid w:val="70510FD3"/>
    <w:rsid w:val="716331BC"/>
    <w:rsid w:val="716A30B7"/>
    <w:rsid w:val="72E12285"/>
    <w:rsid w:val="72FB703D"/>
    <w:rsid w:val="73A4210F"/>
    <w:rsid w:val="746F1200"/>
    <w:rsid w:val="752E4C17"/>
    <w:rsid w:val="77550B81"/>
    <w:rsid w:val="787A3D0F"/>
    <w:rsid w:val="792E3203"/>
    <w:rsid w:val="7A15284A"/>
    <w:rsid w:val="7A342CD0"/>
    <w:rsid w:val="7ABD49D6"/>
    <w:rsid w:val="7B9559F0"/>
    <w:rsid w:val="7D272678"/>
    <w:rsid w:val="7D9C1EA2"/>
    <w:rsid w:val="7E633B84"/>
    <w:rsid w:val="7F34107C"/>
    <w:rsid w:val="7FDD17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annotation text"/>
    <w:basedOn w:val="1"/>
    <w:semiHidden/>
    <w:qFormat/>
    <w:uiPriority w:val="0"/>
    <w:pPr>
      <w:jc w:val="left"/>
    </w:pPr>
    <w:rPr>
      <w:kern w:val="0"/>
      <w:sz w:val="24"/>
      <w:szCs w:val="20"/>
    </w:rPr>
  </w:style>
  <w:style w:type="paragraph" w:styleId="3">
    <w:name w:val="footer"/>
    <w:basedOn w:val="1"/>
    <w:next w:val="1"/>
    <w:semiHidden/>
    <w:unhideWhenUsed/>
    <w:qFormat/>
    <w:uiPriority w:val="99"/>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Body text|1"/>
    <w:basedOn w:val="1"/>
    <w:qFormat/>
    <w:uiPriority w:val="0"/>
    <w:pPr>
      <w:spacing w:line="449" w:lineRule="auto"/>
      <w:ind w:firstLine="400"/>
    </w:pPr>
    <w:rPr>
      <w:rFonts w:ascii="宋体" w:hAnsi="宋体" w:cs="宋体"/>
      <w:sz w:val="22"/>
      <w:szCs w:val="22"/>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1618</Words>
  <Characters>1778</Characters>
  <Lines>0</Lines>
  <Paragraphs>0</Paragraphs>
  <TotalTime>8</TotalTime>
  <ScaleCrop>false</ScaleCrop>
  <LinksUpToDate>false</LinksUpToDate>
  <CharactersWithSpaces>1827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2024-12-19T02:59:00Z</dcterms:created>
  <dc:creator>Administrator</dc:creator>
  <cp:lastModifiedBy>sargai</cp:lastModifiedBy>
  <cp:lastPrinted>2025-09-15T01:09:00Z</cp:lastPrinted>
  <dcterms:modified xsi:type="dcterms:W3CDTF">2025-09-17T02:12:06Z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48ABBDBD901A4185AD8B704FB94A4520_13</vt:lpwstr>
  </property>
  <property fmtid="{D5CDD505-2E9C-101B-9397-08002B2CF9AE}" pid="4" name="KSOTemplateDocerSaveRecord">
    <vt:lpwstr>eyJoZGlkIjoiNzQ5YzIwZGE2ZmU0ZDQ1NzU1ODA3Y2ZhM2Y3NzgzNmIiLCJ1c2VySWQiOiIyNzY5NTQ3NjAifQ==</vt:lpwstr>
  </property>
</Properties>
</file>