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26</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4F63992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关于国电电力内蒙古锡林浩特市胜利电厂</w:t>
      </w:r>
    </w:p>
    <w:p w14:paraId="3E27D5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厂用电替代二期50MW光伏项目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国能北电胜利能源有限公司：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你单位报送的《国电电力内蒙古锡林浩特市胜利电厂厂用电替代二期50MW光伏项目环境影响报告表》已收悉。经研究，现批复如下：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AEBA8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国电电力内蒙古锡林浩特市胜利电厂厂用电替代二期50MW光伏项目位于内蒙古自治区锡林郭勒盟锡林浩特市胜利一号露天煤矿至胜利发电厂输煤系统沿线及南排土场北侧，属新建光伏发电项目</w:t>
      </w:r>
      <w:r>
        <w:rPr>
          <w:rFonts w:hint="eastAsia"/>
          <w:highlight w:val="none"/>
        </w:rPr>
        <w:t>，总装机容量50MW（直流侧58.15468MWp），占地面积5222</w:t>
      </w:r>
      <w:r>
        <w:rPr>
          <w:rFonts w:hint="eastAsia"/>
          <w:highlight w:val="none"/>
          <w:lang w:val="en-US" w:eastAsia="zh-CN"/>
        </w:rPr>
        <w:t>00</w:t>
      </w:r>
      <w:r>
        <w:rPr>
          <w:rFonts w:hint="eastAsia"/>
          <w:highlight w:val="none"/>
          <w:lang w:eastAsia="zh-CN"/>
        </w:rPr>
        <w:t>平方米</w:t>
      </w:r>
      <w:r>
        <w:rPr>
          <w:rFonts w:hint="eastAsia"/>
          <w:highlight w:val="none"/>
        </w:rPr>
        <w:t>（永久占地128</w:t>
      </w:r>
      <w:r>
        <w:rPr>
          <w:rFonts w:hint="eastAsia"/>
          <w:highlight w:val="none"/>
          <w:lang w:val="en-US" w:eastAsia="zh-CN"/>
        </w:rPr>
        <w:t>00</w:t>
      </w:r>
      <w:r>
        <w:rPr>
          <w:rFonts w:hint="eastAsia"/>
          <w:highlight w:val="none"/>
          <w:lang w:eastAsia="zh-CN"/>
        </w:rPr>
        <w:t>平方米</w:t>
      </w:r>
      <w:r>
        <w:rPr>
          <w:rFonts w:hint="eastAsia"/>
          <w:highlight w:val="none"/>
        </w:rPr>
        <w:t>，临时占地5094</w:t>
      </w:r>
      <w:r>
        <w:rPr>
          <w:rFonts w:hint="eastAsia"/>
          <w:highlight w:val="none"/>
          <w:lang w:val="en-US" w:eastAsia="zh-CN"/>
        </w:rPr>
        <w:t>00</w:t>
      </w:r>
      <w:r>
        <w:rPr>
          <w:rFonts w:hint="eastAsia"/>
          <w:highlight w:val="none"/>
          <w:lang w:eastAsia="zh-CN"/>
        </w:rPr>
        <w:t>平方米</w:t>
      </w:r>
      <w:r>
        <w:rPr>
          <w:rFonts w:hint="eastAsia"/>
          <w:highlight w:val="none"/>
        </w:rPr>
        <w:t>）。</w:t>
      </w:r>
      <w:r>
        <w:rPr>
          <w:rFonts w:hint="eastAsia"/>
        </w:rPr>
        <w:t>项目利用胜利电厂输煤系统沿线及排土场建设光伏阵列，配套13台箱变及1座35kV降压站，所发电量全部自发自用。总投资25593万元，其中环保投资500万元，占比1.95%。</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鼓励</w:t>
      </w:r>
      <w:r>
        <w:rPr>
          <w:rFonts w:hint="eastAsia"/>
          <w:highlight w:val="none"/>
        </w:rPr>
        <w:t>类项目。根据《锡林郭勒盟生态环境准入清单》，项目地块一、地块二及地块三位于</w:t>
      </w:r>
      <w:r>
        <w:rPr>
          <w:rFonts w:hint="eastAsia"/>
          <w:highlight w:val="none"/>
          <w:lang w:eastAsia="zh-CN"/>
        </w:rPr>
        <w:t>“锡林浩特市采矿用地重点管控单元（ZH15250220003）</w:t>
      </w:r>
      <w:r>
        <w:rPr>
          <w:rFonts w:hint="eastAsia"/>
          <w:highlight w:val="none"/>
          <w:lang w:val="en-US" w:eastAsia="zh-CN"/>
        </w:rPr>
        <w:t>/</w:t>
      </w:r>
      <w:r>
        <w:rPr>
          <w:rFonts w:hint="eastAsia"/>
          <w:highlight w:val="none"/>
        </w:rPr>
        <w:t>重点管控单元</w:t>
      </w:r>
      <w:r>
        <w:rPr>
          <w:rFonts w:hint="eastAsia"/>
          <w:highlight w:val="none"/>
          <w:lang w:eastAsia="zh-CN"/>
        </w:rPr>
        <w:t>”</w:t>
      </w:r>
      <w:r>
        <w:rPr>
          <w:rFonts w:hint="eastAsia"/>
          <w:highlight w:val="none"/>
        </w:rPr>
        <w:t>，项目地块</w:t>
      </w:r>
      <w:r>
        <w:rPr>
          <w:rFonts w:hint="eastAsia"/>
          <w:highlight w:val="none"/>
          <w:lang w:val="en-US" w:eastAsia="zh-CN"/>
        </w:rPr>
        <w:t>四</w:t>
      </w:r>
      <w:r>
        <w:rPr>
          <w:rFonts w:hint="eastAsia"/>
          <w:highlight w:val="none"/>
        </w:rPr>
        <w:t>、地块</w:t>
      </w:r>
      <w:r>
        <w:rPr>
          <w:rFonts w:hint="eastAsia"/>
          <w:highlight w:val="none"/>
          <w:lang w:val="en-US" w:eastAsia="zh-CN"/>
        </w:rPr>
        <w:t>五</w:t>
      </w:r>
      <w:r>
        <w:rPr>
          <w:rFonts w:hint="eastAsia"/>
          <w:highlight w:val="none"/>
        </w:rPr>
        <w:t>位于</w:t>
      </w:r>
      <w:r>
        <w:rPr>
          <w:rFonts w:hint="eastAsia"/>
          <w:highlight w:val="none"/>
          <w:lang w:eastAsia="zh-CN"/>
        </w:rPr>
        <w:t>“锡林浩特市采矿用地重点管控单元（ZH15250220003）</w:t>
      </w:r>
      <w:r>
        <w:rPr>
          <w:rFonts w:hint="eastAsia"/>
          <w:highlight w:val="none"/>
          <w:lang w:val="en-US" w:eastAsia="zh-CN"/>
        </w:rPr>
        <w:t>/</w:t>
      </w:r>
      <w:r>
        <w:rPr>
          <w:rFonts w:hint="eastAsia"/>
          <w:highlight w:val="none"/>
        </w:rPr>
        <w:t>重点管控单元和锡林浩特市一般生态空间</w:t>
      </w:r>
      <w:r>
        <w:rPr>
          <w:rFonts w:hint="eastAsia"/>
          <w:highlight w:val="none"/>
          <w:lang w:eastAsia="zh-CN"/>
        </w:rPr>
        <w:t>－</w:t>
      </w:r>
      <w:r>
        <w:rPr>
          <w:rFonts w:hint="eastAsia"/>
          <w:highlight w:val="none"/>
        </w:rPr>
        <w:t>防风固沙生态功能重要区优先保护单元（ZH15250210010）</w:t>
      </w:r>
      <w:r>
        <w:rPr>
          <w:rFonts w:hint="eastAsia"/>
          <w:highlight w:val="none"/>
          <w:lang w:eastAsia="zh-CN"/>
        </w:rPr>
        <w:t>”</w:t>
      </w:r>
      <w:r>
        <w:rPr>
          <w:rFonts w:hint="eastAsia"/>
          <w:highlight w:val="none"/>
        </w:rPr>
        <w:t>，项目地块</w:t>
      </w:r>
      <w:r>
        <w:rPr>
          <w:rFonts w:hint="eastAsia"/>
          <w:highlight w:val="none"/>
          <w:lang w:val="en-US" w:eastAsia="zh-CN"/>
        </w:rPr>
        <w:t>六</w:t>
      </w:r>
      <w:r>
        <w:rPr>
          <w:rFonts w:hint="eastAsia"/>
          <w:highlight w:val="none"/>
        </w:rPr>
        <w:t>位于</w:t>
      </w:r>
      <w:r>
        <w:rPr>
          <w:rFonts w:hint="eastAsia"/>
          <w:highlight w:val="none"/>
          <w:lang w:eastAsia="zh-CN"/>
        </w:rPr>
        <w:t>“内蒙古锡林郭勒经济技术开发区重点管控单元（ZH15250220004）”</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5383B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w:t>
      </w:r>
      <w:r>
        <w:rPr>
          <w:rFonts w:hint="eastAsia"/>
          <w:lang w:val="en-US" w:eastAsia="zh-CN"/>
        </w:rPr>
        <w:t>项目施工期应当加强施工现场环境污染管理，严格控制施工作业范围和开挖区域，施工场地尽量做到挖填同步，并对施工区扰动地表采取碾压、洒水等临时防护措施，现场设备材料应堆放合理整齐，做到工完、料完、场地清，坚持文明施工、环保施工，从而减少对周围环境质量的影响。项目营运期主要大气污染物为检修时的道路扬尘，巡视检修车辆进场前应利用洒水车对站区道路进行洒水抑尘，加强距检修道路较近的村庄路段的洒水抑尘力度，控制车速。</w:t>
      </w:r>
    </w:p>
    <w:p w14:paraId="04DBDD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w:t>
      </w:r>
      <w:r>
        <w:rPr>
          <w:rFonts w:hint="eastAsia"/>
          <w:lang w:val="en-US" w:eastAsia="zh-CN"/>
        </w:rPr>
        <w:t>项目</w:t>
      </w:r>
      <w:r>
        <w:rPr>
          <w:rFonts w:hint="eastAsia"/>
        </w:rPr>
        <w:t>施工期产生的</w:t>
      </w:r>
      <w:r>
        <w:rPr>
          <w:rFonts w:hint="eastAsia"/>
          <w:lang w:val="en-US" w:eastAsia="zh-CN"/>
        </w:rPr>
        <w:t>主要废水为</w:t>
      </w:r>
      <w:r>
        <w:rPr>
          <w:rFonts w:hint="eastAsia"/>
        </w:rPr>
        <w:t>施工废水和生活污水</w:t>
      </w:r>
      <w:r>
        <w:rPr>
          <w:rFonts w:hint="eastAsia"/>
          <w:lang w:eastAsia="zh-CN"/>
        </w:rPr>
        <w:t>，施工期生产废水主要包括施工机械、运输车辆的冲洗废水，经临时沉淀池沉淀后回用</w:t>
      </w:r>
      <w:r>
        <w:rPr>
          <w:rFonts w:hint="eastAsia"/>
          <w:lang w:val="en-US" w:eastAsia="zh-CN"/>
        </w:rPr>
        <w:t>于</w:t>
      </w:r>
      <w:r>
        <w:rPr>
          <w:rFonts w:hint="eastAsia"/>
          <w:lang w:eastAsia="zh-CN"/>
        </w:rPr>
        <w:t>道路洒水降尘；</w:t>
      </w:r>
      <w:r>
        <w:rPr>
          <w:rFonts w:hint="eastAsia"/>
          <w:highlight w:val="none"/>
          <w:lang w:val="en-US" w:eastAsia="zh-CN"/>
        </w:rPr>
        <w:t>施工期</w:t>
      </w:r>
      <w:r>
        <w:rPr>
          <w:rFonts w:hint="eastAsia"/>
          <w:highlight w:val="none"/>
          <w:lang w:eastAsia="zh-CN"/>
        </w:rPr>
        <w:t>生活污水排入</w:t>
      </w:r>
      <w:r>
        <w:rPr>
          <w:rFonts w:hint="eastAsia"/>
          <w:highlight w:val="none"/>
          <w:lang w:val="en-US" w:eastAsia="zh-CN"/>
        </w:rPr>
        <w:t>可移动型环保厕所</w:t>
      </w:r>
      <w:r>
        <w:rPr>
          <w:rFonts w:hint="eastAsia"/>
          <w:highlight w:val="none"/>
          <w:lang w:eastAsia="zh-CN"/>
        </w:rPr>
        <w:t>，拉运至</w:t>
      </w:r>
      <w:r>
        <w:rPr>
          <w:rFonts w:hint="eastAsia"/>
          <w:highlight w:val="none"/>
          <w:lang w:val="en-US" w:eastAsia="zh-CN"/>
        </w:rPr>
        <w:t>胜利电厂</w:t>
      </w:r>
      <w:r>
        <w:rPr>
          <w:rFonts w:hint="eastAsia"/>
          <w:highlight w:val="none"/>
          <w:lang w:eastAsia="zh-CN"/>
        </w:rPr>
        <w:t>污水处理</w:t>
      </w:r>
      <w:r>
        <w:rPr>
          <w:rFonts w:hint="eastAsia"/>
          <w:highlight w:val="none"/>
          <w:lang w:val="en-US" w:eastAsia="zh-CN"/>
        </w:rPr>
        <w:t>设施进一步处理</w:t>
      </w:r>
      <w:r>
        <w:rPr>
          <w:rFonts w:hint="eastAsia"/>
          <w:highlight w:val="none"/>
          <w:lang w:eastAsia="zh-CN"/>
        </w:rPr>
        <w:t>。</w:t>
      </w:r>
      <w:r>
        <w:rPr>
          <w:rFonts w:hint="eastAsia"/>
          <w:lang w:val="en-US" w:eastAsia="zh-CN"/>
        </w:rPr>
        <w:t>项目运营期</w:t>
      </w:r>
      <w:r>
        <w:rPr>
          <w:rFonts w:hint="eastAsia"/>
          <w:lang w:eastAsia="zh-CN"/>
        </w:rPr>
        <w:t>光伏组件清洗使用胜利电厂中水，废水自然蒸发或浇灌草地，不得外排。</w:t>
      </w:r>
    </w:p>
    <w:p w14:paraId="5F1350C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50741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w:t>
      </w:r>
      <w:r>
        <w:rPr>
          <w:rFonts w:hint="eastAsia" w:ascii="仿宋_GB2312" w:hAnsi="仿宋_GB2312" w:eastAsia="仿宋_GB2312" w:cs="仿宋_GB2312"/>
          <w:sz w:val="32"/>
          <w:szCs w:val="32"/>
          <w:highlight w:val="none"/>
          <w:lang w:val="en-US" w:eastAsia="zh-CN"/>
        </w:rPr>
        <w:t>施工期应加强施工组织和管理，合理安排施工进度，环保施工、快速施工，并因地制宜地制定有效的临时降噪措施。</w:t>
      </w:r>
    </w:p>
    <w:p w14:paraId="6FB7C01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w:t>
      </w:r>
      <w:r>
        <w:rPr>
          <w:rFonts w:hint="eastAsia"/>
          <w:lang w:val="en-US" w:eastAsia="zh-CN"/>
        </w:rPr>
        <w:t>项目运营期非正常工况下产生的箱变事故油经贮油池收集后，委托有资质的单位及时拉运处置，不在场内暂存；</w:t>
      </w:r>
      <w:r>
        <w:rPr>
          <w:rFonts w:hint="eastAsia"/>
        </w:rPr>
        <w:t>日常设备维修过</w:t>
      </w:r>
      <w:r>
        <w:rPr>
          <w:rFonts w:hint="eastAsia"/>
          <w:lang w:eastAsia="zh-CN"/>
        </w:rPr>
        <w:t>程中</w:t>
      </w:r>
      <w:r>
        <w:rPr>
          <w:rFonts w:hint="eastAsia"/>
        </w:rPr>
        <w:t>产生的维修垃圾（包括废油）及油污属于危险废物，经专门容器收集后暂存</w:t>
      </w:r>
      <w:r>
        <w:rPr>
          <w:rFonts w:hint="eastAsia"/>
          <w:lang w:val="en-US" w:eastAsia="zh-CN"/>
        </w:rPr>
        <w:t>于</w:t>
      </w:r>
      <w:r>
        <w:rPr>
          <w:rFonts w:hint="eastAsia"/>
        </w:rPr>
        <w:t>胜利电厂</w:t>
      </w:r>
      <w:r>
        <w:rPr>
          <w:rFonts w:hint="eastAsia"/>
          <w:lang w:val="en-US" w:eastAsia="zh-CN"/>
        </w:rPr>
        <w:t>危废库</w:t>
      </w:r>
      <w:r>
        <w:rPr>
          <w:rFonts w:hint="eastAsia"/>
          <w:lang w:eastAsia="zh-CN"/>
        </w:rPr>
        <w:t>，</w:t>
      </w:r>
      <w:r>
        <w:rPr>
          <w:rFonts w:hint="eastAsia"/>
          <w:lang w:val="en-US" w:eastAsia="zh-CN"/>
        </w:rPr>
        <w:t>定期由有资质的单位进行处置。</w:t>
      </w:r>
    </w:p>
    <w:p w14:paraId="2863936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3B769E27">
      <w:pPr>
        <w:pStyle w:val="11"/>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w:t>
      </w:r>
      <w:r>
        <w:rPr>
          <w:rFonts w:hint="eastAsia" w:ascii="楷体" w:hAnsi="楷体" w:eastAsia="楷体" w:cs="楷体"/>
          <w:b/>
          <w:bCs/>
          <w:sz w:val="32"/>
          <w:szCs w:val="32"/>
          <w:highlight w:val="none"/>
          <w:lang w:val="en-US" w:eastAsia="zh-CN"/>
        </w:rPr>
        <w:t>按照环评要求做好生态环境影响保护措施，减少生态扰动。施工结束后，及时对场地进行平整和植被恢复工作。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w:t>
      </w:r>
      <w:r>
        <w:rPr>
          <w:rFonts w:hint="eastAsia"/>
          <w:lang w:eastAsia="zh-CN"/>
        </w:rPr>
        <w:t>）</w:t>
      </w:r>
      <w:r>
        <w:rPr>
          <w:rFonts w:hint="eastAsia"/>
        </w:rPr>
        <w:t>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w:t>
      </w:r>
      <w:r>
        <w:rPr>
          <w:rFonts w:hint="eastAsia"/>
          <w:lang w:eastAsia="zh-CN"/>
        </w:rPr>
        <w:t>）</w:t>
      </w:r>
      <w:r>
        <w:rPr>
          <w:rFonts w:hint="eastAsia"/>
        </w:rPr>
        <w:t>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5C1C883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FC7317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bookmarkStart w:id="0" w:name="_GoBack"/>
      <w:bookmarkEnd w:id="0"/>
      <w:r>
        <w:rPr>
          <w:rFonts w:hint="eastAsia"/>
        </w:rPr>
        <w:t>锡林郭勒盟生态环境局</w:t>
      </w:r>
    </w:p>
    <w:p w14:paraId="354320CB">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rPr>
      </w:pPr>
      <w:r>
        <w:rPr>
          <w:rFonts w:hint="eastAsia"/>
          <w:lang w:val="en-US" w:eastAsia="zh-CN"/>
        </w:rPr>
        <w:t>2025年10月14日</w:t>
      </w: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2025年10月14日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5"/>
                            <w:rPr>
                              <w:rFonts w:hint="eastAsia" w:ascii="楷体" w:hAnsi="楷体" w:eastAsia="楷体" w:cs="楷体"/>
                              <w:sz w:val="28"/>
                              <w:szCs w:val="28"/>
                            </w:rPr>
                          </w:pPr>
                        </w:p>
                        <w:p w14:paraId="1AD90072">
                          <w:pPr>
                            <w:pStyle w:val="5"/>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5"/>
                      <w:rPr>
                        <w:rFonts w:hint="eastAsia" w:ascii="楷体" w:hAnsi="楷体" w:eastAsia="楷体" w:cs="楷体"/>
                        <w:sz w:val="28"/>
                        <w:szCs w:val="28"/>
                      </w:rPr>
                    </w:pPr>
                  </w:p>
                  <w:p w14:paraId="1AD90072">
                    <w:pPr>
                      <w:pStyle w:val="5"/>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17350FB"/>
    <w:rsid w:val="018207C5"/>
    <w:rsid w:val="01C012ED"/>
    <w:rsid w:val="0227136C"/>
    <w:rsid w:val="02313F99"/>
    <w:rsid w:val="02505281"/>
    <w:rsid w:val="025F0B06"/>
    <w:rsid w:val="02F31FD9"/>
    <w:rsid w:val="04565F0C"/>
    <w:rsid w:val="048B5BE2"/>
    <w:rsid w:val="05577185"/>
    <w:rsid w:val="05E800DE"/>
    <w:rsid w:val="06652463"/>
    <w:rsid w:val="069060E4"/>
    <w:rsid w:val="06A709CA"/>
    <w:rsid w:val="06F747D9"/>
    <w:rsid w:val="074D5C69"/>
    <w:rsid w:val="07C00BA1"/>
    <w:rsid w:val="07CC1A54"/>
    <w:rsid w:val="09AC4ECD"/>
    <w:rsid w:val="09D74664"/>
    <w:rsid w:val="0B4E5BBB"/>
    <w:rsid w:val="0B506547"/>
    <w:rsid w:val="0C302987"/>
    <w:rsid w:val="0C5111EA"/>
    <w:rsid w:val="0CB61617"/>
    <w:rsid w:val="0CFB58CF"/>
    <w:rsid w:val="0D756ED0"/>
    <w:rsid w:val="0DD8176C"/>
    <w:rsid w:val="0DFB5D03"/>
    <w:rsid w:val="0E1C4DF8"/>
    <w:rsid w:val="0E4929AB"/>
    <w:rsid w:val="0EC8358F"/>
    <w:rsid w:val="0F684E4E"/>
    <w:rsid w:val="0FCD5369"/>
    <w:rsid w:val="10C76C75"/>
    <w:rsid w:val="10E2302E"/>
    <w:rsid w:val="11BF3626"/>
    <w:rsid w:val="120B303E"/>
    <w:rsid w:val="129F05ED"/>
    <w:rsid w:val="13BA2040"/>
    <w:rsid w:val="140E071C"/>
    <w:rsid w:val="142B6BEC"/>
    <w:rsid w:val="1486051A"/>
    <w:rsid w:val="15F8467B"/>
    <w:rsid w:val="164125A5"/>
    <w:rsid w:val="16645E6C"/>
    <w:rsid w:val="16DE2E67"/>
    <w:rsid w:val="16E276A1"/>
    <w:rsid w:val="17B85C2A"/>
    <w:rsid w:val="17C476FF"/>
    <w:rsid w:val="17C664D0"/>
    <w:rsid w:val="18BA4999"/>
    <w:rsid w:val="18C140E3"/>
    <w:rsid w:val="18CB25F9"/>
    <w:rsid w:val="1917525C"/>
    <w:rsid w:val="195F581C"/>
    <w:rsid w:val="19B62042"/>
    <w:rsid w:val="1ABF755B"/>
    <w:rsid w:val="1B1B6AA2"/>
    <w:rsid w:val="1B2B5375"/>
    <w:rsid w:val="1BD45D53"/>
    <w:rsid w:val="1C191C7C"/>
    <w:rsid w:val="1C6B38EC"/>
    <w:rsid w:val="1C810BEC"/>
    <w:rsid w:val="1C9F6765"/>
    <w:rsid w:val="1CBC1555"/>
    <w:rsid w:val="1CDA7555"/>
    <w:rsid w:val="1CEB326A"/>
    <w:rsid w:val="1CF3211F"/>
    <w:rsid w:val="1D274141"/>
    <w:rsid w:val="1D71334C"/>
    <w:rsid w:val="1DD42D4F"/>
    <w:rsid w:val="1DD548E1"/>
    <w:rsid w:val="1E980356"/>
    <w:rsid w:val="1ECE699F"/>
    <w:rsid w:val="1EEB3D1B"/>
    <w:rsid w:val="1F187782"/>
    <w:rsid w:val="1F2D56A1"/>
    <w:rsid w:val="1FEE1AC6"/>
    <w:rsid w:val="200D03CB"/>
    <w:rsid w:val="20336CE1"/>
    <w:rsid w:val="20E944E0"/>
    <w:rsid w:val="21B06E88"/>
    <w:rsid w:val="22197924"/>
    <w:rsid w:val="22D45251"/>
    <w:rsid w:val="22EC5646"/>
    <w:rsid w:val="2328433D"/>
    <w:rsid w:val="24B85AC3"/>
    <w:rsid w:val="24CC2727"/>
    <w:rsid w:val="24E40586"/>
    <w:rsid w:val="24FD755C"/>
    <w:rsid w:val="25105990"/>
    <w:rsid w:val="252D60F3"/>
    <w:rsid w:val="256A0B3D"/>
    <w:rsid w:val="265175A7"/>
    <w:rsid w:val="26FC6074"/>
    <w:rsid w:val="272C0399"/>
    <w:rsid w:val="27386837"/>
    <w:rsid w:val="28DD6492"/>
    <w:rsid w:val="298D1A91"/>
    <w:rsid w:val="29A053DC"/>
    <w:rsid w:val="29A9603F"/>
    <w:rsid w:val="29F91705"/>
    <w:rsid w:val="2A346916"/>
    <w:rsid w:val="2A5833C3"/>
    <w:rsid w:val="2A631FAC"/>
    <w:rsid w:val="2AD74E2E"/>
    <w:rsid w:val="2B0269A3"/>
    <w:rsid w:val="2B7500B4"/>
    <w:rsid w:val="2C1D6E5D"/>
    <w:rsid w:val="2C7C6522"/>
    <w:rsid w:val="2D185661"/>
    <w:rsid w:val="2D654973"/>
    <w:rsid w:val="2E70730F"/>
    <w:rsid w:val="2EBD7A3C"/>
    <w:rsid w:val="2EC22E44"/>
    <w:rsid w:val="2ED578D6"/>
    <w:rsid w:val="2F0E519C"/>
    <w:rsid w:val="2F3E4FAD"/>
    <w:rsid w:val="2FA953FC"/>
    <w:rsid w:val="2FEB6D20"/>
    <w:rsid w:val="311C0372"/>
    <w:rsid w:val="31396A7E"/>
    <w:rsid w:val="31460E11"/>
    <w:rsid w:val="3179422E"/>
    <w:rsid w:val="323048E9"/>
    <w:rsid w:val="32560617"/>
    <w:rsid w:val="32AF31AF"/>
    <w:rsid w:val="333E5341"/>
    <w:rsid w:val="344D1C8E"/>
    <w:rsid w:val="348A3C65"/>
    <w:rsid w:val="34CE2DFE"/>
    <w:rsid w:val="34FA563A"/>
    <w:rsid w:val="35C67F79"/>
    <w:rsid w:val="35C948C7"/>
    <w:rsid w:val="35E56568"/>
    <w:rsid w:val="36A30098"/>
    <w:rsid w:val="36FA6F28"/>
    <w:rsid w:val="370339F0"/>
    <w:rsid w:val="37403D5B"/>
    <w:rsid w:val="377817DA"/>
    <w:rsid w:val="37C823FE"/>
    <w:rsid w:val="380B3B4E"/>
    <w:rsid w:val="388929F1"/>
    <w:rsid w:val="38F54B56"/>
    <w:rsid w:val="391F6A17"/>
    <w:rsid w:val="39D06507"/>
    <w:rsid w:val="39DF7F56"/>
    <w:rsid w:val="3A1D0633"/>
    <w:rsid w:val="3A7F4DBA"/>
    <w:rsid w:val="3B3D2A8B"/>
    <w:rsid w:val="3B4A51A8"/>
    <w:rsid w:val="3B5A5793"/>
    <w:rsid w:val="3B5E2A01"/>
    <w:rsid w:val="3BF27D19"/>
    <w:rsid w:val="3C1674D0"/>
    <w:rsid w:val="3C547AC7"/>
    <w:rsid w:val="3C573FED"/>
    <w:rsid w:val="3C885F88"/>
    <w:rsid w:val="3CBC3E83"/>
    <w:rsid w:val="3CFC1E6C"/>
    <w:rsid w:val="3D5B369C"/>
    <w:rsid w:val="3D651D55"/>
    <w:rsid w:val="3E736A22"/>
    <w:rsid w:val="3F0C1354"/>
    <w:rsid w:val="3F41048B"/>
    <w:rsid w:val="3FB93405"/>
    <w:rsid w:val="3FDF4CAD"/>
    <w:rsid w:val="402D0ECF"/>
    <w:rsid w:val="4086373C"/>
    <w:rsid w:val="40B72674"/>
    <w:rsid w:val="41590791"/>
    <w:rsid w:val="4185518C"/>
    <w:rsid w:val="41984EBF"/>
    <w:rsid w:val="41AD1BAE"/>
    <w:rsid w:val="41FF4F3E"/>
    <w:rsid w:val="42DD4FD8"/>
    <w:rsid w:val="42EE2EEE"/>
    <w:rsid w:val="435E53D2"/>
    <w:rsid w:val="43916338"/>
    <w:rsid w:val="43E947BE"/>
    <w:rsid w:val="44534DE1"/>
    <w:rsid w:val="448F3867"/>
    <w:rsid w:val="44962EB9"/>
    <w:rsid w:val="44E73A68"/>
    <w:rsid w:val="45673B36"/>
    <w:rsid w:val="45C078E0"/>
    <w:rsid w:val="46935C55"/>
    <w:rsid w:val="46C040A0"/>
    <w:rsid w:val="46CC756B"/>
    <w:rsid w:val="46F24AE2"/>
    <w:rsid w:val="46F65AB6"/>
    <w:rsid w:val="472D3C48"/>
    <w:rsid w:val="47637D1D"/>
    <w:rsid w:val="47864444"/>
    <w:rsid w:val="481B7AFF"/>
    <w:rsid w:val="481D611E"/>
    <w:rsid w:val="486004D6"/>
    <w:rsid w:val="493B1763"/>
    <w:rsid w:val="49C84105"/>
    <w:rsid w:val="4A011472"/>
    <w:rsid w:val="4A111CB3"/>
    <w:rsid w:val="4A3F2651"/>
    <w:rsid w:val="4A6203A8"/>
    <w:rsid w:val="4AE61FF8"/>
    <w:rsid w:val="4B047772"/>
    <w:rsid w:val="4B0715AA"/>
    <w:rsid w:val="4B092D89"/>
    <w:rsid w:val="4B0D769D"/>
    <w:rsid w:val="4B1410C5"/>
    <w:rsid w:val="4B353CD2"/>
    <w:rsid w:val="4B4B32CD"/>
    <w:rsid w:val="4B6C6F7C"/>
    <w:rsid w:val="4B890B2B"/>
    <w:rsid w:val="4BAD3BC3"/>
    <w:rsid w:val="4C1F4975"/>
    <w:rsid w:val="4C2B51F3"/>
    <w:rsid w:val="4C926232"/>
    <w:rsid w:val="4D0119CD"/>
    <w:rsid w:val="4D0F38CF"/>
    <w:rsid w:val="4D123EA4"/>
    <w:rsid w:val="4D9A7FE1"/>
    <w:rsid w:val="4D9E2A9F"/>
    <w:rsid w:val="4E097E94"/>
    <w:rsid w:val="4E8559DE"/>
    <w:rsid w:val="4F260926"/>
    <w:rsid w:val="4F94402F"/>
    <w:rsid w:val="4FBC0F82"/>
    <w:rsid w:val="4FFB301B"/>
    <w:rsid w:val="50D47DA5"/>
    <w:rsid w:val="51CB2E5E"/>
    <w:rsid w:val="52307478"/>
    <w:rsid w:val="52A64E63"/>
    <w:rsid w:val="53ED479A"/>
    <w:rsid w:val="540A2EDA"/>
    <w:rsid w:val="55983288"/>
    <w:rsid w:val="56063A10"/>
    <w:rsid w:val="56157207"/>
    <w:rsid w:val="57DE1C43"/>
    <w:rsid w:val="57ED7CDD"/>
    <w:rsid w:val="58197E1A"/>
    <w:rsid w:val="581D5CC6"/>
    <w:rsid w:val="585B3B3E"/>
    <w:rsid w:val="58807A14"/>
    <w:rsid w:val="594924D9"/>
    <w:rsid w:val="5A5A6003"/>
    <w:rsid w:val="5A9164F8"/>
    <w:rsid w:val="5AE30668"/>
    <w:rsid w:val="5BBD4F0B"/>
    <w:rsid w:val="5C3A6E47"/>
    <w:rsid w:val="5C7C63A1"/>
    <w:rsid w:val="5CB810DD"/>
    <w:rsid w:val="5D4F6922"/>
    <w:rsid w:val="5DCA244C"/>
    <w:rsid w:val="5EAE2BA6"/>
    <w:rsid w:val="5FB25DFC"/>
    <w:rsid w:val="600850D5"/>
    <w:rsid w:val="604C0EF7"/>
    <w:rsid w:val="60A56859"/>
    <w:rsid w:val="60FA5EB0"/>
    <w:rsid w:val="614D5EC2"/>
    <w:rsid w:val="618C2F57"/>
    <w:rsid w:val="62131FDF"/>
    <w:rsid w:val="628306A0"/>
    <w:rsid w:val="62CC631F"/>
    <w:rsid w:val="63473BF7"/>
    <w:rsid w:val="638C75A0"/>
    <w:rsid w:val="63B3128D"/>
    <w:rsid w:val="63E12AF6"/>
    <w:rsid w:val="651D1811"/>
    <w:rsid w:val="653A1F3B"/>
    <w:rsid w:val="65C50E3A"/>
    <w:rsid w:val="65FA3636"/>
    <w:rsid w:val="67493F46"/>
    <w:rsid w:val="675D6DC0"/>
    <w:rsid w:val="67B8077F"/>
    <w:rsid w:val="67C972D1"/>
    <w:rsid w:val="67CB129B"/>
    <w:rsid w:val="67D57A24"/>
    <w:rsid w:val="67D6379C"/>
    <w:rsid w:val="67E71F3C"/>
    <w:rsid w:val="68623D98"/>
    <w:rsid w:val="689A40B9"/>
    <w:rsid w:val="68A47C9B"/>
    <w:rsid w:val="68C25589"/>
    <w:rsid w:val="694251E2"/>
    <w:rsid w:val="6A103F70"/>
    <w:rsid w:val="6A884BFC"/>
    <w:rsid w:val="6A985F74"/>
    <w:rsid w:val="6AEC0524"/>
    <w:rsid w:val="6B4001B5"/>
    <w:rsid w:val="6C386F35"/>
    <w:rsid w:val="6D0C15C3"/>
    <w:rsid w:val="6D4025A3"/>
    <w:rsid w:val="6D605AE9"/>
    <w:rsid w:val="6F7C6062"/>
    <w:rsid w:val="6FEF5D43"/>
    <w:rsid w:val="70F133F4"/>
    <w:rsid w:val="710812D5"/>
    <w:rsid w:val="71223A23"/>
    <w:rsid w:val="7214383E"/>
    <w:rsid w:val="72381204"/>
    <w:rsid w:val="72ED47BB"/>
    <w:rsid w:val="73DF154D"/>
    <w:rsid w:val="73F77193"/>
    <w:rsid w:val="74C44B0A"/>
    <w:rsid w:val="74E15101"/>
    <w:rsid w:val="755824D8"/>
    <w:rsid w:val="7617148C"/>
    <w:rsid w:val="762C0553"/>
    <w:rsid w:val="76C40854"/>
    <w:rsid w:val="76D16A2D"/>
    <w:rsid w:val="773B448B"/>
    <w:rsid w:val="77636CFD"/>
    <w:rsid w:val="77AF1B9B"/>
    <w:rsid w:val="77F94847"/>
    <w:rsid w:val="78255DA7"/>
    <w:rsid w:val="78B04D31"/>
    <w:rsid w:val="791412EC"/>
    <w:rsid w:val="79784463"/>
    <w:rsid w:val="799A618E"/>
    <w:rsid w:val="79D435A8"/>
    <w:rsid w:val="7A73769A"/>
    <w:rsid w:val="7AEE530B"/>
    <w:rsid w:val="7BF34CC8"/>
    <w:rsid w:val="7C0400B6"/>
    <w:rsid w:val="7D146DE8"/>
    <w:rsid w:val="7D4A3157"/>
    <w:rsid w:val="7D7D0332"/>
    <w:rsid w:val="7E3736CB"/>
    <w:rsid w:val="7E5D1143"/>
    <w:rsid w:val="7F052E8D"/>
    <w:rsid w:val="7F377B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line="360" w:lineRule="auto"/>
    </w:pPr>
    <w:rPr>
      <w:sz w:val="24"/>
      <w:szCs w:val="20"/>
    </w:rPr>
  </w:style>
  <w:style w:type="paragraph" w:customStyle="1" w:styleId="3">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4">
    <w:name w:val="Body Text Indent"/>
    <w:basedOn w:val="1"/>
    <w:next w:val="1"/>
    <w:qFormat/>
    <w:uiPriority w:val="0"/>
    <w:pPr>
      <w:keepNext/>
      <w:spacing w:line="360" w:lineRule="auto"/>
      <w:ind w:firstLine="200" w:firstLineChars="200"/>
    </w:pPr>
    <w:rPr>
      <w:sz w:val="24"/>
    </w:rPr>
  </w:style>
  <w:style w:type="paragraph" w:styleId="5">
    <w:name w:val="footer"/>
    <w:basedOn w:val="1"/>
    <w:qFormat/>
    <w:uiPriority w:val="99"/>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w:basedOn w:val="2"/>
    <w:next w:val="1"/>
    <w:qFormat/>
    <w:uiPriority w:val="0"/>
    <w:pPr>
      <w:adjustRightInd/>
      <w:spacing w:line="240" w:lineRule="auto"/>
      <w:ind w:left="0" w:firstLine="420" w:firstLineChars="100"/>
      <w:textAlignment w:val="auto"/>
    </w:pPr>
    <w:rPr>
      <w:spacing w:val="0"/>
      <w:kern w:val="2"/>
      <w:sz w:val="21"/>
      <w:szCs w:val="24"/>
    </w:rPr>
  </w:style>
  <w:style w:type="paragraph" w:styleId="8">
    <w:name w:val="Body Text First Indent 2"/>
    <w:basedOn w:val="4"/>
    <w:next w:val="7"/>
    <w:qFormat/>
    <w:uiPriority w:val="0"/>
    <w:pPr>
      <w:ind w:firstLine="420" w:firstLineChars="200"/>
    </w:pPr>
  </w:style>
  <w:style w:type="paragraph" w:customStyle="1" w:styleId="11">
    <w:name w:val="列出段落1"/>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1737</Words>
  <Characters>1889</Characters>
  <Lines>0</Lines>
  <Paragraphs>0</Paragraphs>
  <TotalTime>29</TotalTime>
  <ScaleCrop>false</ScaleCrop>
  <LinksUpToDate>false</LinksUpToDate>
  <CharactersWithSpaces>1898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2025-10-14T01:35:33Z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